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22B2" w:rsidRPr="00FA7AE7" w:rsidRDefault="00B222B2" w:rsidP="00B222B2">
      <w:pPr>
        <w:pStyle w:val="Heading1"/>
        <w:rPr>
          <w:rFonts w:asciiTheme="majorBidi" w:hAnsiTheme="majorBidi"/>
        </w:rPr>
      </w:pPr>
      <w:r w:rsidRPr="00FA7AE7">
        <w:rPr>
          <w:rFonts w:asciiTheme="majorBidi" w:hAnsiTheme="majorBidi"/>
        </w:rPr>
        <w:t>Appendix A</w:t>
      </w:r>
    </w:p>
    <w:p w:rsidR="00B222B2" w:rsidRPr="00FA7AE7" w:rsidRDefault="00B222B2" w:rsidP="00B222B2">
      <w:pPr>
        <w:spacing w:line="360" w:lineRule="auto"/>
        <w:rPr>
          <w:rFonts w:asciiTheme="majorBidi" w:hAnsiTheme="majorBidi" w:cstheme="majorBidi"/>
          <w:b/>
          <w:bCs/>
        </w:rPr>
      </w:pPr>
      <w:r w:rsidRPr="00FA7AE7">
        <w:rPr>
          <w:rFonts w:asciiTheme="majorBidi" w:hAnsiTheme="majorBidi" w:cstheme="majorBidi"/>
          <w:b/>
          <w:bCs/>
        </w:rPr>
        <w:t xml:space="preserve">Table A1. </w:t>
      </w:r>
      <w:r w:rsidRPr="00FA7AE7">
        <w:rPr>
          <w:rFonts w:asciiTheme="majorBidi" w:hAnsiTheme="majorBidi" w:cstheme="majorBidi"/>
        </w:rPr>
        <w:t>Theoretical Integration: Mapping SCT, TPB, and COR onto the Dynamic Resource-Accumulation Framework</w:t>
      </w:r>
    </w:p>
    <w:tbl>
      <w:tblPr>
        <w:tblStyle w:val="PlainTable2"/>
        <w:tblW w:w="0" w:type="auto"/>
        <w:tblLook w:val="04A0" w:firstRow="1" w:lastRow="0" w:firstColumn="1" w:lastColumn="0" w:noHBand="0" w:noVBand="1"/>
      </w:tblPr>
      <w:tblGrid>
        <w:gridCol w:w="1701"/>
        <w:gridCol w:w="2205"/>
        <w:gridCol w:w="1817"/>
        <w:gridCol w:w="3637"/>
      </w:tblGrid>
      <w:tr w:rsidR="00B222B2" w:rsidRPr="00FA7AE7" w:rsidTr="0002056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B222B2" w:rsidRPr="00FA7AE7" w:rsidRDefault="00B222B2" w:rsidP="00020560">
            <w:pPr>
              <w:spacing w:after="160"/>
              <w:rPr>
                <w:rFonts w:asciiTheme="majorBidi" w:hAnsiTheme="majorBidi" w:cstheme="majorBidi"/>
                <w:b w:val="0"/>
                <w:bCs w:val="0"/>
              </w:rPr>
            </w:pPr>
            <w:r w:rsidRPr="00FA7AE7">
              <w:rPr>
                <w:rFonts w:asciiTheme="majorBidi" w:hAnsiTheme="majorBidi" w:cstheme="majorBidi"/>
                <w:b w:val="0"/>
                <w:bCs w:val="0"/>
              </w:rPr>
              <w:t>Core Theory &amp; Function</w:t>
            </w:r>
          </w:p>
        </w:tc>
        <w:tc>
          <w:tcPr>
            <w:tcW w:w="0" w:type="auto"/>
            <w:hideMark/>
          </w:tcPr>
          <w:p w:rsidR="00B222B2" w:rsidRPr="00FA7AE7" w:rsidRDefault="00B222B2" w:rsidP="00020560">
            <w:pPr>
              <w:spacing w:after="160"/>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FA7AE7">
              <w:rPr>
                <w:rFonts w:asciiTheme="majorBidi" w:hAnsiTheme="majorBidi" w:cstheme="majorBidi"/>
                <w:b w:val="0"/>
                <w:bCs w:val="0"/>
              </w:rPr>
              <w:t>Key Construct/Principle</w:t>
            </w:r>
          </w:p>
        </w:tc>
        <w:tc>
          <w:tcPr>
            <w:tcW w:w="0" w:type="auto"/>
            <w:hideMark/>
          </w:tcPr>
          <w:p w:rsidR="00B222B2" w:rsidRPr="00FA7AE7" w:rsidRDefault="00B222B2" w:rsidP="00020560">
            <w:pPr>
              <w:spacing w:after="160"/>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FA7AE7">
              <w:rPr>
                <w:rFonts w:asciiTheme="majorBidi" w:hAnsiTheme="majorBidi" w:cstheme="majorBidi"/>
                <w:b w:val="0"/>
                <w:bCs w:val="0"/>
              </w:rPr>
              <w:t>Corresponding Construct in Our Model</w:t>
            </w:r>
          </w:p>
        </w:tc>
        <w:tc>
          <w:tcPr>
            <w:tcW w:w="0" w:type="auto"/>
            <w:hideMark/>
          </w:tcPr>
          <w:p w:rsidR="00B222B2" w:rsidRPr="00FA7AE7" w:rsidRDefault="00B222B2" w:rsidP="00020560">
            <w:pPr>
              <w:spacing w:after="160"/>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FA7AE7">
              <w:rPr>
                <w:rFonts w:asciiTheme="majorBidi" w:hAnsiTheme="majorBidi" w:cstheme="majorBidi"/>
                <w:b w:val="0"/>
                <w:bCs w:val="0"/>
              </w:rPr>
              <w:t>Proposed Role in KS → IWB Process</w:t>
            </w:r>
          </w:p>
        </w:tc>
      </w:tr>
      <w:tr w:rsidR="00B222B2" w:rsidRPr="00FA7AE7" w:rsidTr="000205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B222B2" w:rsidRPr="00FA7AE7" w:rsidRDefault="00B222B2" w:rsidP="00020560">
            <w:pPr>
              <w:spacing w:after="160"/>
              <w:rPr>
                <w:rFonts w:asciiTheme="majorBidi" w:hAnsiTheme="majorBidi" w:cstheme="majorBidi"/>
                <w:b w:val="0"/>
                <w:bCs w:val="0"/>
              </w:rPr>
            </w:pPr>
            <w:r w:rsidRPr="00FA7AE7">
              <w:rPr>
                <w:rFonts w:asciiTheme="majorBidi" w:hAnsiTheme="majorBidi" w:cstheme="majorBidi"/>
                <w:b w:val="0"/>
                <w:bCs w:val="0"/>
              </w:rPr>
              <w:t>Social Cognitive Theory (SCT)</w:t>
            </w:r>
          </w:p>
        </w:tc>
        <w:tc>
          <w:tcPr>
            <w:tcW w:w="0" w:type="auto"/>
            <w:hideMark/>
          </w:tcPr>
          <w:p w:rsidR="00B222B2" w:rsidRPr="00FA7AE7" w:rsidRDefault="00B222B2" w:rsidP="00020560">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Environmental Factor</w:t>
            </w:r>
          </w:p>
        </w:tc>
        <w:tc>
          <w:tcPr>
            <w:tcW w:w="0" w:type="auto"/>
            <w:hideMark/>
          </w:tcPr>
          <w:p w:rsidR="00B222B2" w:rsidRPr="00FA7AE7" w:rsidRDefault="00B222B2" w:rsidP="00020560">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Knowledge Sharing (KS)</w:t>
            </w:r>
          </w:p>
        </w:tc>
        <w:tc>
          <w:tcPr>
            <w:tcW w:w="0" w:type="auto"/>
            <w:hideMark/>
          </w:tcPr>
          <w:p w:rsidR="00B222B2" w:rsidRPr="00FA7AE7" w:rsidRDefault="00B222B2" w:rsidP="00020560">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Catalyst/Antecedent: Provides behavioral models, informational resources, and social cues.</w:t>
            </w:r>
          </w:p>
        </w:tc>
      </w:tr>
      <w:tr w:rsidR="00B222B2" w:rsidRPr="00FA7AE7" w:rsidTr="00020560">
        <w:tc>
          <w:tcPr>
            <w:cnfStyle w:val="001000000000" w:firstRow="0" w:lastRow="0" w:firstColumn="1" w:lastColumn="0" w:oddVBand="0" w:evenVBand="0" w:oddHBand="0" w:evenHBand="0" w:firstRowFirstColumn="0" w:firstRowLastColumn="0" w:lastRowFirstColumn="0" w:lastRowLastColumn="0"/>
            <w:tcW w:w="0" w:type="auto"/>
            <w:hideMark/>
          </w:tcPr>
          <w:p w:rsidR="00B222B2" w:rsidRPr="00FA7AE7" w:rsidRDefault="00B222B2" w:rsidP="00020560">
            <w:pPr>
              <w:spacing w:after="160"/>
              <w:rPr>
                <w:rFonts w:asciiTheme="majorBidi" w:hAnsiTheme="majorBidi" w:cstheme="majorBidi"/>
                <w:b w:val="0"/>
                <w:bCs w:val="0"/>
              </w:rPr>
            </w:pPr>
            <w:r w:rsidRPr="00FA7AE7">
              <w:rPr>
                <w:rFonts w:asciiTheme="majorBidi" w:hAnsiTheme="majorBidi" w:cstheme="majorBidi"/>
                <w:b w:val="0"/>
                <w:bCs w:val="0"/>
                <w:i/>
                <w:iCs/>
              </w:rPr>
              <w:t>Generative Mechanism</w:t>
            </w:r>
          </w:p>
        </w:tc>
        <w:tc>
          <w:tcPr>
            <w:tcW w:w="0" w:type="auto"/>
            <w:hideMark/>
          </w:tcPr>
          <w:p w:rsidR="00B222B2" w:rsidRPr="00FA7AE7" w:rsidRDefault="00B222B2" w:rsidP="00020560">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(Modeling, Social Persuasion)</w:t>
            </w:r>
          </w:p>
        </w:tc>
        <w:tc>
          <w:tcPr>
            <w:tcW w:w="0" w:type="auto"/>
            <w:hideMark/>
          </w:tcPr>
          <w:p w:rsidR="00B222B2" w:rsidRPr="00FA7AE7" w:rsidRDefault="00B222B2" w:rsidP="00020560">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0" w:type="auto"/>
            <w:hideMark/>
          </w:tcPr>
          <w:p w:rsidR="00B222B2" w:rsidRPr="00FA7AE7" w:rsidRDefault="00B222B2" w:rsidP="00020560">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r>
      <w:tr w:rsidR="00B222B2" w:rsidRPr="00FA7AE7" w:rsidTr="000205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B222B2" w:rsidRPr="00FA7AE7" w:rsidRDefault="00B222B2" w:rsidP="00020560">
            <w:pPr>
              <w:spacing w:after="160"/>
              <w:rPr>
                <w:rFonts w:asciiTheme="majorBidi" w:hAnsiTheme="majorBidi" w:cstheme="majorBidi"/>
                <w:b w:val="0"/>
                <w:bCs w:val="0"/>
              </w:rPr>
            </w:pPr>
          </w:p>
        </w:tc>
        <w:tc>
          <w:tcPr>
            <w:tcW w:w="0" w:type="auto"/>
            <w:hideMark/>
          </w:tcPr>
          <w:p w:rsidR="00B222B2" w:rsidRPr="00FA7AE7" w:rsidRDefault="00B222B2" w:rsidP="00020560">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Personal Factor: Self-Efficacy</w:t>
            </w:r>
          </w:p>
        </w:tc>
        <w:tc>
          <w:tcPr>
            <w:tcW w:w="0" w:type="auto"/>
            <w:hideMark/>
          </w:tcPr>
          <w:p w:rsidR="00B222B2" w:rsidRPr="00FA7AE7" w:rsidRDefault="00B222B2" w:rsidP="00020560">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Creative Self-Efficacy (CSE)</w:t>
            </w:r>
          </w:p>
        </w:tc>
        <w:tc>
          <w:tcPr>
            <w:tcW w:w="0" w:type="auto"/>
            <w:hideMark/>
          </w:tcPr>
          <w:p w:rsidR="00B222B2" w:rsidRPr="00FA7AE7" w:rsidRDefault="00B222B2" w:rsidP="00020560">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Core Personal Resource/Moderator: Belief in creative capability; the basis of PBC (TPB).</w:t>
            </w:r>
          </w:p>
        </w:tc>
      </w:tr>
      <w:tr w:rsidR="00B222B2" w:rsidRPr="00FA7AE7" w:rsidTr="00020560">
        <w:tc>
          <w:tcPr>
            <w:cnfStyle w:val="001000000000" w:firstRow="0" w:lastRow="0" w:firstColumn="1" w:lastColumn="0" w:oddVBand="0" w:evenVBand="0" w:oddHBand="0" w:evenHBand="0" w:firstRowFirstColumn="0" w:firstRowLastColumn="0" w:lastRowFirstColumn="0" w:lastRowLastColumn="0"/>
            <w:tcW w:w="0" w:type="auto"/>
            <w:hideMark/>
          </w:tcPr>
          <w:p w:rsidR="00B222B2" w:rsidRPr="00FA7AE7" w:rsidRDefault="00B222B2" w:rsidP="00020560">
            <w:pPr>
              <w:spacing w:after="160"/>
              <w:rPr>
                <w:rFonts w:asciiTheme="majorBidi" w:hAnsiTheme="majorBidi" w:cstheme="majorBidi"/>
                <w:b w:val="0"/>
                <w:bCs w:val="0"/>
              </w:rPr>
            </w:pPr>
            <w:r w:rsidRPr="00FA7AE7">
              <w:rPr>
                <w:rFonts w:asciiTheme="majorBidi" w:hAnsiTheme="majorBidi" w:cstheme="majorBidi"/>
                <w:b w:val="0"/>
                <w:bCs w:val="0"/>
              </w:rPr>
              <w:t>Theory of Planned Behavior (TPB)</w:t>
            </w:r>
          </w:p>
        </w:tc>
        <w:tc>
          <w:tcPr>
            <w:tcW w:w="0" w:type="auto"/>
            <w:hideMark/>
          </w:tcPr>
          <w:p w:rsidR="00B222B2" w:rsidRPr="00FA7AE7" w:rsidRDefault="00B222B2" w:rsidP="00020560">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Attitude toward the Behavior</w:t>
            </w:r>
          </w:p>
        </w:tc>
        <w:tc>
          <w:tcPr>
            <w:tcW w:w="0" w:type="auto"/>
            <w:hideMark/>
          </w:tcPr>
          <w:p w:rsidR="00B222B2" w:rsidRPr="00FA7AE7" w:rsidRDefault="00B222B2" w:rsidP="00020560">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Work Motivation (WM)</w:t>
            </w:r>
          </w:p>
        </w:tc>
        <w:tc>
          <w:tcPr>
            <w:tcW w:w="0" w:type="auto"/>
            <w:hideMark/>
          </w:tcPr>
          <w:p w:rsidR="00B222B2" w:rsidRPr="00FA7AE7" w:rsidRDefault="00B222B2" w:rsidP="00020560">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Mediator (Attitudinal Pathway): Positive evaluation and willingness to engage in IWB.</w:t>
            </w:r>
          </w:p>
        </w:tc>
      </w:tr>
      <w:tr w:rsidR="00B222B2" w:rsidRPr="00FA7AE7" w:rsidTr="000205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B222B2" w:rsidRPr="00FA7AE7" w:rsidRDefault="00B222B2" w:rsidP="00020560">
            <w:pPr>
              <w:spacing w:after="160"/>
              <w:rPr>
                <w:rFonts w:asciiTheme="majorBidi" w:hAnsiTheme="majorBidi" w:cstheme="majorBidi"/>
                <w:b w:val="0"/>
                <w:bCs w:val="0"/>
              </w:rPr>
            </w:pPr>
            <w:r w:rsidRPr="00FA7AE7">
              <w:rPr>
                <w:rFonts w:asciiTheme="majorBidi" w:hAnsiTheme="majorBidi" w:cstheme="majorBidi"/>
                <w:b w:val="0"/>
                <w:bCs w:val="0"/>
                <w:i/>
                <w:iCs/>
              </w:rPr>
              <w:t>Structural Intention Model</w:t>
            </w:r>
          </w:p>
        </w:tc>
        <w:tc>
          <w:tcPr>
            <w:tcW w:w="0" w:type="auto"/>
            <w:hideMark/>
          </w:tcPr>
          <w:p w:rsidR="00B222B2" w:rsidRPr="00FA7AE7" w:rsidRDefault="00B222B2" w:rsidP="00020560">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Subjective Norm</w:t>
            </w:r>
          </w:p>
        </w:tc>
        <w:tc>
          <w:tcPr>
            <w:tcW w:w="0" w:type="auto"/>
            <w:hideMark/>
          </w:tcPr>
          <w:p w:rsidR="00B222B2" w:rsidRPr="00FA7AE7" w:rsidRDefault="00B222B2" w:rsidP="00020560">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Work Engagement (WE)</w:t>
            </w:r>
          </w:p>
        </w:tc>
        <w:tc>
          <w:tcPr>
            <w:tcW w:w="0" w:type="auto"/>
            <w:hideMark/>
          </w:tcPr>
          <w:p w:rsidR="00B222B2" w:rsidRPr="00FA7AE7" w:rsidRDefault="00B222B2" w:rsidP="00020560">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Mediator (Normative-Affective Pathway): Energetic state fueled by normative support for innovation.</w:t>
            </w:r>
          </w:p>
        </w:tc>
      </w:tr>
      <w:tr w:rsidR="00B222B2" w:rsidRPr="00FA7AE7" w:rsidTr="00020560">
        <w:tc>
          <w:tcPr>
            <w:cnfStyle w:val="001000000000" w:firstRow="0" w:lastRow="0" w:firstColumn="1" w:lastColumn="0" w:oddVBand="0" w:evenVBand="0" w:oddHBand="0" w:evenHBand="0" w:firstRowFirstColumn="0" w:firstRowLastColumn="0" w:lastRowFirstColumn="0" w:lastRowLastColumn="0"/>
            <w:tcW w:w="0" w:type="auto"/>
            <w:hideMark/>
          </w:tcPr>
          <w:p w:rsidR="00B222B2" w:rsidRPr="00FA7AE7" w:rsidRDefault="00B222B2" w:rsidP="00020560">
            <w:pPr>
              <w:spacing w:after="160"/>
              <w:rPr>
                <w:rFonts w:asciiTheme="majorBidi" w:hAnsiTheme="majorBidi" w:cstheme="majorBidi"/>
                <w:b w:val="0"/>
                <w:bCs w:val="0"/>
              </w:rPr>
            </w:pPr>
          </w:p>
        </w:tc>
        <w:tc>
          <w:tcPr>
            <w:tcW w:w="0" w:type="auto"/>
            <w:hideMark/>
          </w:tcPr>
          <w:p w:rsidR="00B222B2" w:rsidRPr="00FA7AE7" w:rsidRDefault="00B222B2" w:rsidP="00020560">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Perceived Behavioral Control (PBC)</w:t>
            </w:r>
          </w:p>
        </w:tc>
        <w:tc>
          <w:tcPr>
            <w:tcW w:w="0" w:type="auto"/>
            <w:hideMark/>
          </w:tcPr>
          <w:p w:rsidR="00B222B2" w:rsidRPr="00FA7AE7" w:rsidRDefault="00B222B2" w:rsidP="00020560">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(Manifests as CSE)</w:t>
            </w:r>
          </w:p>
        </w:tc>
        <w:tc>
          <w:tcPr>
            <w:tcW w:w="0" w:type="auto"/>
            <w:hideMark/>
          </w:tcPr>
          <w:p w:rsidR="00B222B2" w:rsidRPr="00FA7AE7" w:rsidRDefault="00B222B2" w:rsidP="00020560">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Incorporated as CSE.</w:t>
            </w:r>
          </w:p>
        </w:tc>
      </w:tr>
      <w:tr w:rsidR="00B222B2" w:rsidRPr="00FA7AE7" w:rsidTr="000205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B222B2" w:rsidRPr="00FA7AE7" w:rsidRDefault="00B222B2" w:rsidP="00020560">
            <w:pPr>
              <w:spacing w:after="160"/>
              <w:rPr>
                <w:rFonts w:asciiTheme="majorBidi" w:hAnsiTheme="majorBidi" w:cstheme="majorBidi"/>
                <w:b w:val="0"/>
                <w:bCs w:val="0"/>
              </w:rPr>
            </w:pPr>
            <w:r w:rsidRPr="00FA7AE7">
              <w:rPr>
                <w:rFonts w:asciiTheme="majorBidi" w:hAnsiTheme="majorBidi" w:cstheme="majorBidi"/>
                <w:b w:val="0"/>
                <w:bCs w:val="0"/>
              </w:rPr>
              <w:t>Conservation of Resources (COR) Theory</w:t>
            </w:r>
          </w:p>
        </w:tc>
        <w:tc>
          <w:tcPr>
            <w:tcW w:w="0" w:type="auto"/>
            <w:hideMark/>
          </w:tcPr>
          <w:p w:rsidR="00B222B2" w:rsidRPr="00FA7AE7" w:rsidRDefault="00B222B2" w:rsidP="00020560">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Personal Resource</w:t>
            </w:r>
          </w:p>
        </w:tc>
        <w:tc>
          <w:tcPr>
            <w:tcW w:w="0" w:type="auto"/>
            <w:hideMark/>
          </w:tcPr>
          <w:p w:rsidR="00B222B2" w:rsidRPr="00FA7AE7" w:rsidRDefault="00B222B2" w:rsidP="00020560">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Creative Self-Efficacy (CSE)</w:t>
            </w:r>
          </w:p>
        </w:tc>
        <w:tc>
          <w:tcPr>
            <w:tcW w:w="0" w:type="auto"/>
            <w:hideMark/>
          </w:tcPr>
          <w:p w:rsidR="00B222B2" w:rsidRPr="00FA7AE7" w:rsidRDefault="00B222B2" w:rsidP="00020560">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Generative Moderator: A key resource that amplifies the gain spiral from KS to WM/WE to IWB.</w:t>
            </w:r>
          </w:p>
        </w:tc>
      </w:tr>
      <w:tr w:rsidR="00B222B2" w:rsidRPr="00FA7AE7" w:rsidTr="00020560">
        <w:tc>
          <w:tcPr>
            <w:cnfStyle w:val="001000000000" w:firstRow="0" w:lastRow="0" w:firstColumn="1" w:lastColumn="0" w:oddVBand="0" w:evenVBand="0" w:oddHBand="0" w:evenHBand="0" w:firstRowFirstColumn="0" w:firstRowLastColumn="0" w:lastRowFirstColumn="0" w:lastRowLastColumn="0"/>
            <w:tcW w:w="0" w:type="auto"/>
            <w:hideMark/>
          </w:tcPr>
          <w:p w:rsidR="00B222B2" w:rsidRPr="00FA7AE7" w:rsidRDefault="00B222B2" w:rsidP="00020560">
            <w:pPr>
              <w:spacing w:after="160"/>
              <w:rPr>
                <w:rFonts w:asciiTheme="majorBidi" w:hAnsiTheme="majorBidi" w:cstheme="majorBidi"/>
                <w:b w:val="0"/>
                <w:bCs w:val="0"/>
              </w:rPr>
            </w:pPr>
            <w:r w:rsidRPr="00FA7AE7">
              <w:rPr>
                <w:rFonts w:asciiTheme="majorBidi" w:hAnsiTheme="majorBidi" w:cstheme="majorBidi"/>
                <w:b w:val="0"/>
                <w:bCs w:val="0"/>
                <w:i/>
                <w:iCs/>
              </w:rPr>
              <w:t>Resource Contingency Logic</w:t>
            </w:r>
          </w:p>
        </w:tc>
        <w:tc>
          <w:tcPr>
            <w:tcW w:w="0" w:type="auto"/>
            <w:hideMark/>
          </w:tcPr>
          <w:p w:rsidR="00B222B2" w:rsidRPr="00FA7AE7" w:rsidRDefault="00B222B2" w:rsidP="00020560">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Environmental Resource</w:t>
            </w:r>
          </w:p>
        </w:tc>
        <w:tc>
          <w:tcPr>
            <w:tcW w:w="0" w:type="auto"/>
            <w:hideMark/>
          </w:tcPr>
          <w:p w:rsidR="00B222B2" w:rsidRPr="00FA7AE7" w:rsidRDefault="00B222B2" w:rsidP="00020560">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Knowledge Sharing (KS)</w:t>
            </w:r>
          </w:p>
        </w:tc>
        <w:tc>
          <w:tcPr>
            <w:tcW w:w="0" w:type="auto"/>
            <w:hideMark/>
          </w:tcPr>
          <w:p w:rsidR="00B222B2" w:rsidRPr="00FA7AE7" w:rsidRDefault="00B222B2" w:rsidP="00020560">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A valuable resource to be acquired and utilized.</w:t>
            </w:r>
          </w:p>
        </w:tc>
      </w:tr>
      <w:tr w:rsidR="00B222B2" w:rsidRPr="00FA7AE7" w:rsidTr="000205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B222B2" w:rsidRPr="00FA7AE7" w:rsidRDefault="00B222B2" w:rsidP="00020560">
            <w:pPr>
              <w:spacing w:after="160"/>
              <w:rPr>
                <w:rFonts w:asciiTheme="majorBidi" w:hAnsiTheme="majorBidi" w:cstheme="majorBidi"/>
                <w:b w:val="0"/>
                <w:bCs w:val="0"/>
              </w:rPr>
            </w:pPr>
          </w:p>
        </w:tc>
        <w:tc>
          <w:tcPr>
            <w:tcW w:w="0" w:type="auto"/>
            <w:hideMark/>
          </w:tcPr>
          <w:p w:rsidR="00B222B2" w:rsidRPr="00FA7AE7" w:rsidRDefault="00B222B2" w:rsidP="00020560">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Resource Gain Spirals</w:t>
            </w:r>
          </w:p>
        </w:tc>
        <w:tc>
          <w:tcPr>
            <w:tcW w:w="0" w:type="auto"/>
            <w:hideMark/>
          </w:tcPr>
          <w:p w:rsidR="00B222B2" w:rsidRPr="00FA7AE7" w:rsidRDefault="00B222B2" w:rsidP="00020560">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The entire mediated model</w:t>
            </w:r>
          </w:p>
        </w:tc>
        <w:tc>
          <w:tcPr>
            <w:tcW w:w="0" w:type="auto"/>
            <w:hideMark/>
          </w:tcPr>
          <w:p w:rsidR="00B222B2" w:rsidRPr="00FA7AE7" w:rsidRDefault="00B222B2" w:rsidP="00020560">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Describes the conditional process where CSE enriches the translation of KS into WM/WE and IWB.</w:t>
            </w:r>
          </w:p>
        </w:tc>
      </w:tr>
    </w:tbl>
    <w:p w:rsidR="00BC6A58" w:rsidRPr="00FA7AE7" w:rsidRDefault="00BC6A58">
      <w:pPr>
        <w:rPr>
          <w:rFonts w:asciiTheme="majorBidi" w:hAnsiTheme="majorBidi" w:cstheme="majorBidi"/>
        </w:rPr>
      </w:pPr>
    </w:p>
    <w:p w:rsidR="00B222B2" w:rsidRPr="00FA7AE7" w:rsidRDefault="00B222B2">
      <w:pPr>
        <w:rPr>
          <w:rFonts w:asciiTheme="majorBidi" w:hAnsiTheme="majorBidi" w:cstheme="majorBidi"/>
        </w:rPr>
      </w:pPr>
    </w:p>
    <w:p w:rsidR="00B222B2" w:rsidRPr="00FA7AE7" w:rsidRDefault="00B222B2">
      <w:pPr>
        <w:rPr>
          <w:rFonts w:asciiTheme="majorBidi" w:hAnsiTheme="majorBidi" w:cstheme="majorBidi"/>
        </w:rPr>
      </w:pPr>
      <w:r w:rsidRPr="00FA7AE7">
        <w:rPr>
          <w:rFonts w:asciiTheme="majorBidi" w:hAnsiTheme="majorBidi" w:cstheme="majorBidi"/>
          <w:b/>
          <w:bCs/>
          <w:noProof/>
        </w:rPr>
        <w:drawing>
          <wp:inline distT="0" distB="0" distL="0" distR="0" wp14:anchorId="3E5626A1" wp14:editId="0A14BBD1">
            <wp:extent cx="5943600" cy="316928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3169285"/>
                    </a:xfrm>
                    <a:prstGeom prst="rect">
                      <a:avLst/>
                    </a:prstGeom>
                  </pic:spPr>
                </pic:pic>
              </a:graphicData>
            </a:graphic>
          </wp:inline>
        </w:drawing>
      </w:r>
    </w:p>
    <w:p w:rsidR="00B222B2" w:rsidRPr="00FA7AE7" w:rsidRDefault="00B222B2">
      <w:pPr>
        <w:rPr>
          <w:rFonts w:asciiTheme="majorBidi" w:hAnsiTheme="majorBidi" w:cstheme="majorBidi"/>
          <w:i/>
          <w:iCs/>
        </w:rPr>
      </w:pPr>
      <w:r w:rsidRPr="00FA7AE7">
        <w:rPr>
          <w:rFonts w:asciiTheme="majorBidi" w:hAnsiTheme="majorBidi" w:cstheme="majorBidi"/>
          <w:b/>
          <w:bCs/>
        </w:rPr>
        <w:t xml:space="preserve">Figure A1. </w:t>
      </w:r>
      <w:r w:rsidRPr="00FA7AE7">
        <w:rPr>
          <w:rFonts w:asciiTheme="majorBidi" w:hAnsiTheme="majorBidi" w:cstheme="majorBidi"/>
          <w:i/>
          <w:iCs/>
        </w:rPr>
        <w:t>The Dynamic Resource-Accumulation Framework for Cross-Cultural Strategy Enactment.</w:t>
      </w:r>
    </w:p>
    <w:p w:rsidR="00B222B2" w:rsidRPr="00FA7AE7" w:rsidRDefault="00B222B2">
      <w:pPr>
        <w:rPr>
          <w:rFonts w:asciiTheme="majorBidi" w:hAnsiTheme="majorBidi" w:cstheme="majorBidi"/>
        </w:rPr>
      </w:pPr>
      <w:r w:rsidRPr="00FA7AE7">
        <w:rPr>
          <w:rFonts w:asciiTheme="majorBidi" w:hAnsiTheme="majorBidi" w:cstheme="majorBidi"/>
        </w:rPr>
        <w:t>The figure illustrates a multilevel, process-oriented framework integrating Social Cognitive Theory (SCT), the Theory of Planned Behavior (TPB), and Conservation of Resources (COR) theory. The KS functions as a strategic environmental resource that is translated into innovative work behavior through attitudinal (work motivation) and normative-affective (work engagement) pathways. Creative self-efficacy operates as a catalytic personal resource moderating both direct and indirect effects, thereby enabling a resource gain spiral underlying innovation strategy enactment in culturally embedded organizational contexts.</w:t>
      </w:r>
    </w:p>
    <w:p w:rsidR="00B222B2" w:rsidRPr="00FA7AE7" w:rsidRDefault="00B222B2">
      <w:pPr>
        <w:rPr>
          <w:rFonts w:asciiTheme="majorBidi" w:hAnsiTheme="majorBidi" w:cstheme="majorBidi"/>
        </w:rPr>
      </w:pPr>
    </w:p>
    <w:p w:rsidR="00B222B2" w:rsidRPr="00FA7AE7" w:rsidRDefault="00B222B2">
      <w:pPr>
        <w:spacing w:line="259" w:lineRule="auto"/>
        <w:rPr>
          <w:rFonts w:asciiTheme="majorBidi" w:eastAsiaTheme="majorEastAsia" w:hAnsiTheme="majorBidi" w:cstheme="majorBidi"/>
          <w:color w:val="2F5496" w:themeColor="accent1" w:themeShade="BF"/>
          <w:sz w:val="32"/>
          <w:szCs w:val="32"/>
        </w:rPr>
      </w:pPr>
      <w:r w:rsidRPr="00FA7AE7">
        <w:rPr>
          <w:rFonts w:asciiTheme="majorBidi" w:hAnsiTheme="majorBidi" w:cstheme="majorBidi"/>
        </w:rPr>
        <w:br w:type="page"/>
      </w:r>
    </w:p>
    <w:p w:rsidR="00317202" w:rsidRPr="00FA7AE7" w:rsidRDefault="00317202" w:rsidP="006B60E2">
      <w:pPr>
        <w:pStyle w:val="Heading1"/>
        <w:spacing w:line="360" w:lineRule="auto"/>
        <w:rPr>
          <w:rFonts w:asciiTheme="majorBidi" w:hAnsiTheme="majorBidi"/>
          <w:kern w:val="0"/>
          <w:sz w:val="24"/>
          <w:szCs w:val="24"/>
          <w14:ligatures w14:val="none"/>
        </w:rPr>
      </w:pPr>
      <w:r w:rsidRPr="00FA7AE7">
        <w:rPr>
          <w:rFonts w:asciiTheme="majorBidi" w:hAnsiTheme="majorBidi"/>
          <w:sz w:val="24"/>
          <w:szCs w:val="24"/>
        </w:rPr>
        <w:lastRenderedPageBreak/>
        <w:t>A</w:t>
      </w:r>
      <w:r w:rsidR="0052261D" w:rsidRPr="00FA7AE7">
        <w:rPr>
          <w:rFonts w:asciiTheme="majorBidi" w:hAnsiTheme="majorBidi"/>
          <w:sz w:val="24"/>
          <w:szCs w:val="24"/>
        </w:rPr>
        <w:t>ppendix</w:t>
      </w:r>
      <w:r w:rsidRPr="00FA7AE7">
        <w:rPr>
          <w:rFonts w:asciiTheme="majorBidi" w:hAnsiTheme="majorBidi"/>
          <w:sz w:val="24"/>
          <w:szCs w:val="24"/>
        </w:rPr>
        <w:t xml:space="preserve"> B: Detailed Theoretical Justification of Research Context</w:t>
      </w:r>
    </w:p>
    <w:p w:rsidR="00317202" w:rsidRPr="00FA7AE7" w:rsidRDefault="00317202" w:rsidP="006B60E2">
      <w:pPr>
        <w:pStyle w:val="ds-markdown-paragraph"/>
        <w:shd w:val="clear" w:color="auto" w:fill="FFFFFF"/>
        <w:spacing w:before="240" w:beforeAutospacing="0" w:after="240" w:afterAutospacing="0" w:line="360" w:lineRule="auto"/>
        <w:rPr>
          <w:rFonts w:asciiTheme="majorBidi" w:hAnsiTheme="majorBidi" w:cstheme="majorBidi"/>
          <w:color w:val="0F1115"/>
        </w:rPr>
      </w:pPr>
      <w:r w:rsidRPr="00FA7AE7">
        <w:rPr>
          <w:rStyle w:val="Strong"/>
          <w:rFonts w:asciiTheme="majorBidi" w:hAnsiTheme="majorBidi" w:cstheme="majorBidi"/>
          <w:color w:val="0F1115"/>
        </w:rPr>
        <w:t>B.1 Collectivist Cultural Setting</w:t>
      </w:r>
    </w:p>
    <w:p w:rsidR="00317202" w:rsidRPr="00FA7AE7" w:rsidRDefault="00317202" w:rsidP="006B60E2">
      <w:pPr>
        <w:pStyle w:val="ds-markdown-paragraph"/>
        <w:shd w:val="clear" w:color="auto" w:fill="FFFFFF"/>
        <w:spacing w:before="240" w:beforeAutospacing="0" w:after="240" w:afterAutospacing="0" w:line="360" w:lineRule="auto"/>
        <w:rPr>
          <w:rFonts w:asciiTheme="majorBidi" w:hAnsiTheme="majorBidi" w:cstheme="majorBidi"/>
          <w:color w:val="0F1115"/>
        </w:rPr>
      </w:pPr>
      <w:r w:rsidRPr="00FA7AE7">
        <w:rPr>
          <w:rFonts w:asciiTheme="majorBidi" w:hAnsiTheme="majorBidi" w:cstheme="majorBidi"/>
          <w:color w:val="0F1115"/>
        </w:rPr>
        <w:t xml:space="preserve">Indonesia constitutes a high-collectivism context, evidenced by its low individualism score in Hofstede's framework </w:t>
      </w:r>
      <w:r w:rsidR="006B60E2" w:rsidRPr="00FA7AE7">
        <w:rPr>
          <w:rFonts w:asciiTheme="majorBidi" w:hAnsiTheme="majorBidi" w:cstheme="majorBidi"/>
        </w:rPr>
        <w:fldChar w:fldCharType="begin" w:fldLock="1"/>
      </w:r>
      <w:r w:rsidR="00DD1B16">
        <w:rPr>
          <w:rFonts w:asciiTheme="majorBidi" w:hAnsiTheme="majorBidi" w:cstheme="majorBidi"/>
        </w:rPr>
        <w:instrText>ADDIN CSL_CITATION {"citationItems":[{"id":"ITEM-1","itemData":{"DOI":"10.2307/2393257","ISSN":"00018392","abstract":"P3-19: Quatro características das culturas nacionais: relação com a autoridade; relação do indivíduo com a sociedade; conceito individual de masculinidade e feminilidade; formas de lidar com conflitos e incertezas; perspectiva de longo prazo.","author":[{"dropping-particle":"","family":"Triandis","given":"Harry C.","non-dropping-particle":"","parse-names":false,"suffix":""},{"dropping-particle":"","family":"Hofstede","given":"Geert","non-dropping-particle":"","parse-names":false,"suffix":""}],"container-title":"Administrative Science Quarterly","id":"ITEM-1","issue":"1","issued":{"date-parts":[["1993","3"]]},"page":"132","publisher":"McGraw-Hill","title":"Cultures and Organizations: Software of the Mind.","type":"article-journal","volume":"38"},"uris":["http://www.mendeley.com/documents/?uuid=30ebf0e4-7692-495c-a4b8-c4f868a6f679"]},{"id":"ITEM-2","itemData":{"DOI":"10.2307/4134391","ISSN":"03637425","abstract":"Geert Hofstede has completely rewritten, revised and updated Culture's Consequences for the twenty-first century, he has broadened the book's cross-disciplinary appeal, expanded the coverage of countries examined from 40 to more than 50, reformulated his arguments and a large amount of new literature has been included. The book is structured around five major dimensions: power distance; uncertainty avoidance; individualism versus collectivism; masculinity versus femininity; and long term versus short-term orientation.","author":[{"dropping-particle":"","family":"Bhagat","given":"Rabi S.","non-dropping-particle":"","parse-names":false,"suffix":""},{"dropping-particle":"","family":"Hofstede","given":"Geert","non-dropping-particle":"","parse-names":false,"suffix":""}],"container-title":"The Academy of Management Review","id":"ITEM-2","issue":"3","issued":{"date-parts":[["2002"]]},"page":"460","title":"Culture's Consequences: Comparing Values, Behaviors, Institutions, and Organizations across Nations","type":"webpage","volume":"27"},"uris":["http://www.mendeley.com/documents/?uuid=2f758c7f-1d0b-43d0-b6e8-d1edfebaa77d"]}],"mendeley":{"formattedCitation":"(Bhagat &amp; Hofstede, 2002; Triandis &amp; Hofstede, 1993)","plainTextFormattedCitation":"(Bhagat &amp; Hofstede, 2002; Triandis &amp; Hofstede, 1993)","previouslyFormattedCitation":"[1], [2]"},"properties":{"noteIndex":0},"schema":"https://github.com/citation-style-language/schema/raw/master/csl-citation.json"}</w:instrText>
      </w:r>
      <w:r w:rsidR="006B60E2" w:rsidRPr="00FA7AE7">
        <w:rPr>
          <w:rFonts w:asciiTheme="majorBidi" w:hAnsiTheme="majorBidi" w:cstheme="majorBidi"/>
        </w:rPr>
        <w:fldChar w:fldCharType="separate"/>
      </w:r>
      <w:r w:rsidR="00DD1B16" w:rsidRPr="00DD1B16">
        <w:rPr>
          <w:rFonts w:asciiTheme="majorBidi" w:hAnsiTheme="majorBidi" w:cstheme="majorBidi"/>
          <w:noProof/>
        </w:rPr>
        <w:t>(Bhagat &amp; Hofstede, 2002; Triandis &amp; Hofstede, 1993)</w:t>
      </w:r>
      <w:r w:rsidR="006B60E2" w:rsidRPr="00FA7AE7">
        <w:rPr>
          <w:rFonts w:asciiTheme="majorBidi" w:hAnsiTheme="majorBidi" w:cstheme="majorBidi"/>
        </w:rPr>
        <w:fldChar w:fldCharType="end"/>
      </w:r>
      <w:r w:rsidRPr="00FA7AE7">
        <w:rPr>
          <w:rFonts w:asciiTheme="majorBidi" w:hAnsiTheme="majorBidi" w:cstheme="majorBidi"/>
          <w:color w:val="0F1115"/>
        </w:rPr>
        <w:t xml:space="preserve"> and high in-group collectivism in the GLOBE study </w:t>
      </w:r>
      <w:r w:rsidR="006B60E2" w:rsidRPr="00FA7AE7">
        <w:rPr>
          <w:rFonts w:asciiTheme="majorBidi" w:hAnsiTheme="majorBidi" w:cstheme="majorBidi"/>
        </w:rPr>
        <w:fldChar w:fldCharType="begin" w:fldLock="1"/>
      </w:r>
      <w:r w:rsidR="00DD1B16">
        <w:rPr>
          <w:rFonts w:asciiTheme="majorBidi" w:hAnsiTheme="majorBidi" w:cstheme="majorBidi"/>
        </w:rPr>
        <w:instrText>ADDIN CSL_CITATION {"citationItems":[{"id":"ITEM-1","itemData":{"DOI":"10.5860/choice.42-4132","ISSN":"0009-4978","abstract":"this is a book review","author":[{"dropping-particle":"","family":"House, R. J., Hanges, P. J., Javidan, M., Dorfman, P. W., &amp; Gupta","given":"V. (Eds.).","non-dropping-particle":"","parse-names":false,"suffix":""}],"container-title":"Choice Reviews Online","id":"ITEM-1","issue":"07","issued":{"date-parts":[["2005"]]},"number-of-pages":"42-4132-42-4132","title":"Culture, leadership, and organizations: the GLOBE study of 62 societies","type":"book","volume":"42"},"uris":["http://www.mendeley.com/documents/?uuid=70728679-9b33-4264-a15a-2f7ffe51e1da"]}],"mendeley":{"formattedCitation":"(House, R. J., Hanges, P. J., Javidan, M., Dorfman, P. W., &amp; Gupta, 2005)","plainTextFormattedCitation":"(House, R. J., Hanges, P. J., Javidan, M., Dorfman, P. W., &amp; Gupta, 2005)","previouslyFormattedCitation":"[3]"},"properties":{"noteIndex":0},"schema":"https://github.com/citation-style-language/schema/raw/master/csl-citation.json"}</w:instrText>
      </w:r>
      <w:r w:rsidR="006B60E2" w:rsidRPr="00FA7AE7">
        <w:rPr>
          <w:rFonts w:asciiTheme="majorBidi" w:hAnsiTheme="majorBidi" w:cstheme="majorBidi"/>
        </w:rPr>
        <w:fldChar w:fldCharType="separate"/>
      </w:r>
      <w:r w:rsidR="00DD1B16" w:rsidRPr="00DD1B16">
        <w:rPr>
          <w:rFonts w:asciiTheme="majorBidi" w:hAnsiTheme="majorBidi" w:cstheme="majorBidi"/>
          <w:noProof/>
        </w:rPr>
        <w:t>(House, R. J., Hanges, P. J., Javidan, M., Dorfman, P. W., &amp; Gupta, 2005)</w:t>
      </w:r>
      <w:r w:rsidR="006B60E2" w:rsidRPr="00FA7AE7">
        <w:rPr>
          <w:rFonts w:asciiTheme="majorBidi" w:hAnsiTheme="majorBidi" w:cstheme="majorBidi"/>
        </w:rPr>
        <w:fldChar w:fldCharType="end"/>
      </w:r>
      <w:r w:rsidRPr="00FA7AE7">
        <w:rPr>
          <w:rFonts w:asciiTheme="majorBidi" w:hAnsiTheme="majorBidi" w:cstheme="majorBidi"/>
          <w:color w:val="0F1115"/>
        </w:rPr>
        <w:t>. This cultural profile—characterized by group harmony, strong in-group ties, and conformity to social norms—heightens the salience of the </w:t>
      </w:r>
      <w:r w:rsidRPr="00FA7AE7">
        <w:rPr>
          <w:rStyle w:val="Emphasis"/>
          <w:rFonts w:asciiTheme="majorBidi" w:hAnsiTheme="majorBidi" w:cstheme="majorBidi"/>
          <w:color w:val="0F1115"/>
        </w:rPr>
        <w:t>subjective norm</w:t>
      </w:r>
      <w:r w:rsidRPr="00FA7AE7">
        <w:rPr>
          <w:rFonts w:asciiTheme="majorBidi" w:hAnsiTheme="majorBidi" w:cstheme="majorBidi"/>
          <w:color w:val="0F1115"/>
        </w:rPr>
        <w:t xml:space="preserve"> construct from TPB </w:t>
      </w:r>
      <w:r w:rsidR="006B60E2" w:rsidRPr="00FA7AE7">
        <w:rPr>
          <w:rFonts w:asciiTheme="majorBidi" w:hAnsiTheme="majorBidi" w:cstheme="majorBidi"/>
          <w:color w:val="0F1115"/>
          <w:shd w:val="clear" w:color="auto" w:fill="FFFFFF"/>
        </w:rPr>
        <w:fldChar w:fldCharType="begin" w:fldLock="1"/>
      </w:r>
      <w:r w:rsidR="00DD1B16">
        <w:rPr>
          <w:rFonts w:asciiTheme="majorBidi" w:hAnsiTheme="majorBidi" w:cstheme="majorBidi"/>
          <w:color w:val="0F1115"/>
          <w:shd w:val="clear" w:color="auto" w:fill="FFFFFF"/>
        </w:rPr>
        <w:instrText>ADDIN CSL_CITATION {"citationItems":[{"id":"ITEM-1","itemData":{"DOI":"10.1016/0749-5978(91)90020-T","ISSN":"07495978","author":[{"dropping-particle":"","family":"Ajzen","given":"Icek","non-dropping-particle":"","parse-names":false,"suffix":""}],"container-title":"Organizational Behavior and Human Decision Processes","id":"ITEM-1","issue":"2","issued":{"date-parts":[["1991","12"]]},"page":"179-211","title":"The theory of planned behavior","type":"article-journal","volume":"50"},"uris":["http://www.mendeley.com/documents/?uuid=f274b637-1907-49c8-a7b6-e00bfed88530"]}],"mendeley":{"formattedCitation":"(Ajzen, 1991)","plainTextFormattedCitation":"(Ajzen, 1991)","previouslyFormattedCitation":"[4]"},"properties":{"noteIndex":0},"schema":"https://github.com/citation-style-language/schema/raw/master/csl-citation.json"}</w:instrText>
      </w:r>
      <w:r w:rsidR="006B60E2" w:rsidRPr="00FA7AE7">
        <w:rPr>
          <w:rFonts w:asciiTheme="majorBidi" w:hAnsiTheme="majorBidi" w:cstheme="majorBidi"/>
          <w:color w:val="0F1115"/>
          <w:shd w:val="clear" w:color="auto" w:fill="FFFFFF"/>
        </w:rPr>
        <w:fldChar w:fldCharType="separate"/>
      </w:r>
      <w:r w:rsidR="00DD1B16" w:rsidRPr="00DD1B16">
        <w:rPr>
          <w:rFonts w:asciiTheme="majorBidi" w:hAnsiTheme="majorBidi" w:cstheme="majorBidi"/>
          <w:noProof/>
          <w:color w:val="0F1115"/>
          <w:shd w:val="clear" w:color="auto" w:fill="FFFFFF"/>
        </w:rPr>
        <w:t>(Ajzen, 1991)</w:t>
      </w:r>
      <w:r w:rsidR="006B60E2" w:rsidRPr="00FA7AE7">
        <w:rPr>
          <w:rFonts w:asciiTheme="majorBidi" w:hAnsiTheme="majorBidi" w:cstheme="majorBidi"/>
          <w:color w:val="0F1115"/>
          <w:shd w:val="clear" w:color="auto" w:fill="FFFFFF"/>
        </w:rPr>
        <w:fldChar w:fldCharType="end"/>
      </w:r>
      <w:r w:rsidRPr="00FA7AE7">
        <w:rPr>
          <w:rFonts w:asciiTheme="majorBidi" w:hAnsiTheme="majorBidi" w:cstheme="majorBidi"/>
          <w:color w:val="0F1115"/>
        </w:rPr>
        <w:t>. Consequently, the normative-affective pathway via work engagement becomes pronounced, as social and obligation-based cues inherent in KS influence individuals' sense of belonging and duty.</w:t>
      </w:r>
    </w:p>
    <w:p w:rsidR="00317202" w:rsidRPr="00FA7AE7" w:rsidRDefault="00317202" w:rsidP="006B60E2">
      <w:pPr>
        <w:pStyle w:val="ds-markdown-paragraph"/>
        <w:shd w:val="clear" w:color="auto" w:fill="FFFFFF"/>
        <w:spacing w:before="240" w:beforeAutospacing="0" w:after="240" w:afterAutospacing="0" w:line="360" w:lineRule="auto"/>
        <w:rPr>
          <w:rFonts w:asciiTheme="majorBidi" w:hAnsiTheme="majorBidi" w:cstheme="majorBidi"/>
          <w:color w:val="0F1115"/>
        </w:rPr>
      </w:pPr>
      <w:r w:rsidRPr="00FA7AE7">
        <w:rPr>
          <w:rFonts w:asciiTheme="majorBidi" w:hAnsiTheme="majorBidi" w:cstheme="majorBidi"/>
          <w:color w:val="0F1115"/>
        </w:rPr>
        <w:t xml:space="preserve">We treat national culture as a contextual proxy, justified by the relative homogeneity of collectivist values in Indonesia—particularly within the Javanese-majority region of East Java where data were collected. Beyond Hofstede, </w:t>
      </w:r>
      <w:proofErr w:type="spellStart"/>
      <w:r w:rsidRPr="00FA7AE7">
        <w:rPr>
          <w:rFonts w:asciiTheme="majorBidi" w:hAnsiTheme="majorBidi" w:cstheme="majorBidi"/>
          <w:color w:val="0F1115"/>
        </w:rPr>
        <w:t>Triandis</w:t>
      </w:r>
      <w:proofErr w:type="spellEnd"/>
      <w:r w:rsidRPr="00FA7AE7">
        <w:rPr>
          <w:rFonts w:asciiTheme="majorBidi" w:hAnsiTheme="majorBidi" w:cstheme="majorBidi"/>
          <w:color w:val="0F1115"/>
        </w:rPr>
        <w:t xml:space="preserve"> </w:t>
      </w:r>
      <w:r w:rsidR="006B60E2" w:rsidRPr="00FA7AE7">
        <w:rPr>
          <w:rFonts w:asciiTheme="majorBidi" w:hAnsiTheme="majorBidi" w:cstheme="majorBidi"/>
          <w:color w:val="0F1115"/>
          <w:shd w:val="clear" w:color="auto" w:fill="FFFFFF"/>
        </w:rPr>
        <w:fldChar w:fldCharType="begin" w:fldLock="1"/>
      </w:r>
      <w:r w:rsidR="00DD1B16">
        <w:rPr>
          <w:rFonts w:asciiTheme="majorBidi" w:hAnsiTheme="majorBidi" w:cstheme="majorBidi"/>
          <w:color w:val="0F1115"/>
          <w:shd w:val="clear" w:color="auto" w:fill="FFFFFF"/>
        </w:rPr>
        <w:instrText>ADDIN CSL_CITATION {"citationItems":[{"id":"ITEM-1","itemData":{"DOI":"10.4324/9780429499845","ISBN":"9780429968396","abstract":"An examination of the differences between collectivists (those who view themselves primarily as part of a whole, and who are motivated by the norms and duties imposed by the collective entity) and individualists (those who are motivated by their own preferences and needs).","author":[{"dropping-particle":"","family":"Triandis","given":"Harry C.","non-dropping-particle":"","parse-names":false,"suffix":""}],"container-title":"Individualism and Collectivism","id":"ITEM-1","issued":{"date-parts":[["2018","10","9"]]},"number-of-pages":"1-259","publisher":"Routledge","title":"Individualism and collectivism","type":"book"},"label":"part","suppress-author":1,"uris":["http://www.mendeley.com/documents/?uuid=c1f1a9c3-95bd-4a47-9935-bbf29cad3623"]}],"mendeley":{"formattedCitation":"(2018)","plainTextFormattedCitation":"(2018)","previouslyFormattedCitation":"[5]"},"properties":{"noteIndex":0},"schema":"https://github.com/citation-style-language/schema/raw/master/csl-citation.json"}</w:instrText>
      </w:r>
      <w:r w:rsidR="006B60E2" w:rsidRPr="00FA7AE7">
        <w:rPr>
          <w:rFonts w:asciiTheme="majorBidi" w:hAnsiTheme="majorBidi" w:cstheme="majorBidi"/>
          <w:color w:val="0F1115"/>
          <w:shd w:val="clear" w:color="auto" w:fill="FFFFFF"/>
        </w:rPr>
        <w:fldChar w:fldCharType="separate"/>
      </w:r>
      <w:r w:rsidR="00DD1B16" w:rsidRPr="00DD1B16">
        <w:rPr>
          <w:rFonts w:asciiTheme="majorBidi" w:hAnsiTheme="majorBidi" w:cstheme="majorBidi"/>
          <w:noProof/>
          <w:color w:val="0F1115"/>
          <w:shd w:val="clear" w:color="auto" w:fill="FFFFFF"/>
        </w:rPr>
        <w:t>(2018)</w:t>
      </w:r>
      <w:r w:rsidR="006B60E2" w:rsidRPr="00FA7AE7">
        <w:rPr>
          <w:rFonts w:asciiTheme="majorBidi" w:hAnsiTheme="majorBidi" w:cstheme="majorBidi"/>
          <w:color w:val="0F1115"/>
          <w:shd w:val="clear" w:color="auto" w:fill="FFFFFF"/>
        </w:rPr>
        <w:fldChar w:fldCharType="end"/>
      </w:r>
      <w:r w:rsidRPr="00FA7AE7">
        <w:rPr>
          <w:rFonts w:asciiTheme="majorBidi" w:hAnsiTheme="majorBidi" w:cstheme="majorBidi"/>
          <w:color w:val="0F1115"/>
        </w:rPr>
        <w:t xml:space="preserve"> distinguishes vertical and horizontal collectivism, noting that in hierarchical collectivist societies like Javanese culture, normative conformity is reinforced by strong power distance. This configuration makes innovation-related behaviors evaluated not only on instrumental value but also on alignment with relational obligations and group harmony.</w:t>
      </w:r>
    </w:p>
    <w:p w:rsidR="00317202" w:rsidRPr="00FA7AE7" w:rsidRDefault="00317202" w:rsidP="006B60E2">
      <w:pPr>
        <w:pStyle w:val="ds-markdown-paragraph"/>
        <w:shd w:val="clear" w:color="auto" w:fill="FFFFFF"/>
        <w:spacing w:before="240" w:beforeAutospacing="0" w:after="240" w:afterAutospacing="0" w:line="360" w:lineRule="auto"/>
        <w:rPr>
          <w:rFonts w:asciiTheme="majorBidi" w:hAnsiTheme="majorBidi" w:cstheme="majorBidi"/>
          <w:color w:val="0F1115"/>
        </w:rPr>
      </w:pPr>
      <w:r w:rsidRPr="00FA7AE7">
        <w:rPr>
          <w:rStyle w:val="Strong"/>
          <w:rFonts w:asciiTheme="majorBidi" w:hAnsiTheme="majorBidi" w:cstheme="majorBidi"/>
          <w:color w:val="0F1115"/>
        </w:rPr>
        <w:t>B.2 Empirical Validation from Indonesian SME Studies</w:t>
      </w:r>
    </w:p>
    <w:p w:rsidR="00317202" w:rsidRPr="00FA7AE7" w:rsidRDefault="00317202" w:rsidP="006B60E2">
      <w:pPr>
        <w:pStyle w:val="ds-markdown-paragraph"/>
        <w:shd w:val="clear" w:color="auto" w:fill="FFFFFF"/>
        <w:spacing w:before="240" w:beforeAutospacing="0" w:after="240" w:afterAutospacing="0" w:line="360" w:lineRule="auto"/>
        <w:rPr>
          <w:rFonts w:asciiTheme="majorBidi" w:hAnsiTheme="majorBidi" w:cstheme="majorBidi"/>
          <w:color w:val="0F1115"/>
        </w:rPr>
      </w:pPr>
      <w:r w:rsidRPr="00FA7AE7">
        <w:rPr>
          <w:rFonts w:asciiTheme="majorBidi" w:hAnsiTheme="majorBidi" w:cstheme="majorBidi"/>
          <w:color w:val="0F1115"/>
        </w:rPr>
        <w:t>Recent empirical work confirms this pattern:</w:t>
      </w:r>
    </w:p>
    <w:p w:rsidR="00317202" w:rsidRPr="00FA7AE7" w:rsidRDefault="00317202" w:rsidP="006B60E2">
      <w:pPr>
        <w:pStyle w:val="ds-markdown-paragraph"/>
        <w:numPr>
          <w:ilvl w:val="0"/>
          <w:numId w:val="2"/>
        </w:numPr>
        <w:shd w:val="clear" w:color="auto" w:fill="FFFFFF"/>
        <w:spacing w:after="0" w:afterAutospacing="0" w:line="360" w:lineRule="auto"/>
        <w:rPr>
          <w:rFonts w:asciiTheme="majorBidi" w:hAnsiTheme="majorBidi" w:cstheme="majorBidi"/>
          <w:color w:val="0F1115"/>
        </w:rPr>
      </w:pPr>
      <w:proofErr w:type="spellStart"/>
      <w:r w:rsidRPr="00FA7AE7">
        <w:rPr>
          <w:rFonts w:asciiTheme="majorBidi" w:hAnsiTheme="majorBidi" w:cstheme="majorBidi"/>
          <w:color w:val="0F1115"/>
        </w:rPr>
        <w:t>Singgih</w:t>
      </w:r>
      <w:proofErr w:type="spellEnd"/>
      <w:r w:rsidRPr="00FA7AE7">
        <w:rPr>
          <w:rFonts w:asciiTheme="majorBidi" w:hAnsiTheme="majorBidi" w:cstheme="majorBidi"/>
          <w:color w:val="0F1115"/>
        </w:rPr>
        <w:t xml:space="preserve"> and </w:t>
      </w:r>
      <w:proofErr w:type="spellStart"/>
      <w:r w:rsidRPr="00FA7AE7">
        <w:rPr>
          <w:rFonts w:asciiTheme="majorBidi" w:hAnsiTheme="majorBidi" w:cstheme="majorBidi"/>
          <w:color w:val="0F1115"/>
        </w:rPr>
        <w:t>Famiola</w:t>
      </w:r>
      <w:proofErr w:type="spellEnd"/>
      <w:r w:rsidRPr="00FA7AE7">
        <w:rPr>
          <w:rFonts w:asciiTheme="majorBidi" w:hAnsiTheme="majorBidi" w:cstheme="majorBidi"/>
          <w:color w:val="0F1115"/>
        </w:rPr>
        <w:t xml:space="preserve"> </w:t>
      </w:r>
      <w:r w:rsidR="006B60E2" w:rsidRPr="00FA7AE7">
        <w:rPr>
          <w:rFonts w:asciiTheme="majorBidi" w:hAnsiTheme="majorBidi" w:cstheme="majorBidi"/>
          <w:color w:val="0F1115"/>
          <w:shd w:val="clear" w:color="auto" w:fill="FFFFFF"/>
        </w:rPr>
        <w:fldChar w:fldCharType="begin" w:fldLock="1"/>
      </w:r>
      <w:r w:rsidR="00DD1B16">
        <w:rPr>
          <w:rFonts w:asciiTheme="majorBidi" w:hAnsiTheme="majorBidi" w:cstheme="majorBidi"/>
          <w:color w:val="0F1115"/>
          <w:shd w:val="clear" w:color="auto" w:fill="FFFFFF"/>
        </w:rPr>
        <w:instrText>ADDIN CSL_CITATION {"citationItems":[{"id":"ITEM-1","itemData":{"DOI":"10.1007/978-3-031-78361-6_3","abstract":"In response to growing environmental concerns and global sustainability goals, businesses are increasingly adopting more sustainable practices, a move strongly supported by stakeholders worldwide. However, for companies in Indonesia, a developing country, balancing the need to consider environmental impacts with pursuing profits poses a challenge. Small and Medium Enterprises (SMEs) are vital to Indonesia’s economy and play a crucial role in this context. To address this challenge, this paper aims to examine the sustainability values and practices of certified B Corps SMEs in Indonesia, using secondary data from B Corp. Through thematic analysis, a better understanding of the environmental, social, and governance characteristics of Indonesian SMEs’ practices can be gained.","author":[{"dropping-particle":"","family":"Singgih","given":"Giorgio Gatica","non-dropping-particle":"","parse-names":false,"suffix":""},{"dropping-particle":"","family":"Famiola","given":"Melia","non-dropping-particle":"","parse-names":false,"suffix":""}],"id":"ITEM-1","issued":{"date-parts":[["2024"]]},"page":"39-74","title":"Core Values of Sustainable Innovation in Indonesian SMEs","type":"chapter"},"label":"part","suppress-author":1,"uris":["http://www.mendeley.com/documents/?uuid=6e0f113b-1c86-49e0-94ba-891cf4fbf6be"]}],"mendeley":{"formattedCitation":"(2024)","plainTextFormattedCitation":"(2024)","previouslyFormattedCitation":"[6]"},"properties":{"noteIndex":0},"schema":"https://github.com/citation-style-language/schema/raw/master/csl-citation.json"}</w:instrText>
      </w:r>
      <w:r w:rsidR="006B60E2" w:rsidRPr="00FA7AE7">
        <w:rPr>
          <w:rFonts w:asciiTheme="majorBidi" w:hAnsiTheme="majorBidi" w:cstheme="majorBidi"/>
          <w:color w:val="0F1115"/>
          <w:shd w:val="clear" w:color="auto" w:fill="FFFFFF"/>
        </w:rPr>
        <w:fldChar w:fldCharType="separate"/>
      </w:r>
      <w:r w:rsidR="00DD1B16" w:rsidRPr="00DD1B16">
        <w:rPr>
          <w:rFonts w:asciiTheme="majorBidi" w:hAnsiTheme="majorBidi" w:cstheme="majorBidi"/>
          <w:noProof/>
          <w:color w:val="0F1115"/>
          <w:shd w:val="clear" w:color="auto" w:fill="FFFFFF"/>
        </w:rPr>
        <w:t>(2024)</w:t>
      </w:r>
      <w:r w:rsidR="006B60E2" w:rsidRPr="00FA7AE7">
        <w:rPr>
          <w:rFonts w:asciiTheme="majorBidi" w:hAnsiTheme="majorBidi" w:cstheme="majorBidi"/>
          <w:color w:val="0F1115"/>
          <w:shd w:val="clear" w:color="auto" w:fill="FFFFFF"/>
        </w:rPr>
        <w:fldChar w:fldCharType="end"/>
      </w:r>
      <w:r w:rsidRPr="00FA7AE7">
        <w:rPr>
          <w:rFonts w:asciiTheme="majorBidi" w:hAnsiTheme="majorBidi" w:cstheme="majorBidi"/>
          <w:color w:val="0F1115"/>
        </w:rPr>
        <w:t xml:space="preserve"> found sustainability innovation in Indonesian B Corps emerges through collective value alignment rather than individual entrepreneurial initiative.</w:t>
      </w:r>
    </w:p>
    <w:p w:rsidR="00317202" w:rsidRPr="00FA7AE7" w:rsidRDefault="00317202" w:rsidP="006B60E2">
      <w:pPr>
        <w:pStyle w:val="ds-markdown-paragraph"/>
        <w:numPr>
          <w:ilvl w:val="0"/>
          <w:numId w:val="2"/>
        </w:numPr>
        <w:shd w:val="clear" w:color="auto" w:fill="FFFFFF"/>
        <w:spacing w:after="0" w:afterAutospacing="0" w:line="360" w:lineRule="auto"/>
        <w:rPr>
          <w:rFonts w:asciiTheme="majorBidi" w:hAnsiTheme="majorBidi" w:cstheme="majorBidi"/>
          <w:color w:val="0F1115"/>
        </w:rPr>
      </w:pPr>
      <w:proofErr w:type="spellStart"/>
      <w:r w:rsidRPr="00FA7AE7">
        <w:rPr>
          <w:rFonts w:asciiTheme="majorBidi" w:hAnsiTheme="majorBidi" w:cstheme="majorBidi"/>
          <w:color w:val="0F1115"/>
        </w:rPr>
        <w:t>Yulianto</w:t>
      </w:r>
      <w:proofErr w:type="spellEnd"/>
      <w:r w:rsidRPr="00FA7AE7">
        <w:rPr>
          <w:rFonts w:asciiTheme="majorBidi" w:hAnsiTheme="majorBidi" w:cstheme="majorBidi"/>
          <w:color w:val="0F1115"/>
        </w:rPr>
        <w:t xml:space="preserve"> et al. </w:t>
      </w:r>
      <w:r w:rsidR="006B60E2" w:rsidRPr="00FA7AE7">
        <w:rPr>
          <w:rFonts w:asciiTheme="majorBidi" w:hAnsiTheme="majorBidi" w:cstheme="majorBidi"/>
          <w:color w:val="0F1115"/>
          <w:shd w:val="clear" w:color="auto" w:fill="FFFFFF"/>
        </w:rPr>
        <w:fldChar w:fldCharType="begin" w:fldLock="1"/>
      </w:r>
      <w:r w:rsidR="00DD1B16">
        <w:rPr>
          <w:rFonts w:asciiTheme="majorBidi" w:hAnsiTheme="majorBidi" w:cstheme="majorBidi"/>
          <w:color w:val="0F1115"/>
          <w:shd w:val="clear" w:color="auto" w:fill="FFFFFF"/>
        </w:rPr>
        <w:instrText>ADDIN CSL_CITATION {"citationItems":[{"id":"ITEM-1","itemData":{"author":[{"dropping-particle":"","family":"Yulianto","given":"H","non-dropping-particle":"","parse-names":false,"suffix":""}],"container-title":"Esaprom Journal","id":"ITEM-1","issued":{"date-parts":[["2025"]]},"title":"The Socio-Cultural Digital Innovation Capacity for Business Sustainability of Traditional Craft SMEs","type":"article-journal"},"label":"part","suppress-author":1,"uris":["http://www.mendeley.com/documents/?uuid=f9d37179-0c62-4c00-ae26-26563a721e78"]}],"mendeley":{"formattedCitation":"(2025)","plainTextFormattedCitation":"(2025)","previouslyFormattedCitation":"[7]"},"properties":{"noteIndex":0},"schema":"https://github.com/citation-style-language/schema/raw/master/csl-citation.json"}</w:instrText>
      </w:r>
      <w:r w:rsidR="006B60E2" w:rsidRPr="00FA7AE7">
        <w:rPr>
          <w:rFonts w:asciiTheme="majorBidi" w:hAnsiTheme="majorBidi" w:cstheme="majorBidi"/>
          <w:color w:val="0F1115"/>
          <w:shd w:val="clear" w:color="auto" w:fill="FFFFFF"/>
        </w:rPr>
        <w:fldChar w:fldCharType="separate"/>
      </w:r>
      <w:r w:rsidR="00DD1B16" w:rsidRPr="00DD1B16">
        <w:rPr>
          <w:rFonts w:asciiTheme="majorBidi" w:hAnsiTheme="majorBidi" w:cstheme="majorBidi"/>
          <w:noProof/>
          <w:color w:val="0F1115"/>
          <w:shd w:val="clear" w:color="auto" w:fill="FFFFFF"/>
        </w:rPr>
        <w:t>(2025)</w:t>
      </w:r>
      <w:r w:rsidR="006B60E2" w:rsidRPr="00FA7AE7">
        <w:rPr>
          <w:rFonts w:asciiTheme="majorBidi" w:hAnsiTheme="majorBidi" w:cstheme="majorBidi"/>
          <w:color w:val="0F1115"/>
          <w:shd w:val="clear" w:color="auto" w:fill="FFFFFF"/>
        </w:rPr>
        <w:fldChar w:fldCharType="end"/>
      </w:r>
      <w:r w:rsidRPr="00FA7AE7">
        <w:rPr>
          <w:rFonts w:asciiTheme="majorBidi" w:hAnsiTheme="majorBidi" w:cstheme="majorBidi"/>
          <w:color w:val="0F1115"/>
        </w:rPr>
        <w:t xml:space="preserve"> demonstrated socio-cultural preservation—not just digital capability—is a stronger predictor of business competitiveness in traditional craft SMEs.</w:t>
      </w:r>
    </w:p>
    <w:p w:rsidR="00317202" w:rsidRPr="00FA7AE7" w:rsidRDefault="00317202" w:rsidP="006B60E2">
      <w:pPr>
        <w:pStyle w:val="ds-markdown-paragraph"/>
        <w:shd w:val="clear" w:color="auto" w:fill="FFFFFF"/>
        <w:spacing w:before="240" w:beforeAutospacing="0" w:after="240" w:afterAutospacing="0" w:line="360" w:lineRule="auto"/>
        <w:rPr>
          <w:rFonts w:asciiTheme="majorBidi" w:hAnsiTheme="majorBidi" w:cstheme="majorBidi"/>
          <w:color w:val="0F1115"/>
        </w:rPr>
      </w:pPr>
      <w:r w:rsidRPr="00FA7AE7">
        <w:rPr>
          <w:rStyle w:val="Strong"/>
          <w:rFonts w:asciiTheme="majorBidi" w:hAnsiTheme="majorBidi" w:cstheme="majorBidi"/>
          <w:color w:val="0F1115"/>
        </w:rPr>
        <w:t>B.3 High-VUCA, Resource-Constrained Environment</w:t>
      </w:r>
    </w:p>
    <w:p w:rsidR="00317202" w:rsidRPr="00FA7AE7" w:rsidRDefault="00317202" w:rsidP="006B60E2">
      <w:pPr>
        <w:pStyle w:val="ds-markdown-paragraph"/>
        <w:shd w:val="clear" w:color="auto" w:fill="FFFFFF"/>
        <w:spacing w:before="240" w:beforeAutospacing="0" w:after="240" w:afterAutospacing="0" w:line="360" w:lineRule="auto"/>
        <w:rPr>
          <w:rFonts w:asciiTheme="majorBidi" w:hAnsiTheme="majorBidi" w:cstheme="majorBidi"/>
          <w:color w:val="0F1115"/>
        </w:rPr>
      </w:pPr>
      <w:r w:rsidRPr="00FA7AE7">
        <w:rPr>
          <w:rFonts w:asciiTheme="majorBidi" w:hAnsiTheme="majorBidi" w:cstheme="majorBidi"/>
          <w:color w:val="0F1115"/>
        </w:rPr>
        <w:t xml:space="preserve">Creative SMEs in emerging economies operate under significant volatility and resource scarcity, amplifying COR theory's relevance. When material resources are limited, psychological </w:t>
      </w:r>
      <w:r w:rsidRPr="00FA7AE7">
        <w:rPr>
          <w:rFonts w:asciiTheme="majorBidi" w:hAnsiTheme="majorBidi" w:cstheme="majorBidi"/>
          <w:color w:val="0F1115"/>
        </w:rPr>
        <w:lastRenderedPageBreak/>
        <w:t>resources (CSE) and social resources (KS) become critical currencies for survival and innovation.</w:t>
      </w:r>
    </w:p>
    <w:p w:rsidR="00317202" w:rsidRPr="00FA7AE7" w:rsidRDefault="00317202" w:rsidP="006B60E2">
      <w:pPr>
        <w:pStyle w:val="ds-markdown-paragraph"/>
        <w:shd w:val="clear" w:color="auto" w:fill="FFFFFF"/>
        <w:spacing w:before="240" w:beforeAutospacing="0" w:after="240" w:afterAutospacing="0" w:line="360" w:lineRule="auto"/>
        <w:rPr>
          <w:rFonts w:asciiTheme="majorBidi" w:hAnsiTheme="majorBidi" w:cstheme="majorBidi"/>
          <w:color w:val="0F1115"/>
        </w:rPr>
      </w:pPr>
      <w:r w:rsidRPr="00FA7AE7">
        <w:rPr>
          <w:rStyle w:val="Strong"/>
          <w:rFonts w:asciiTheme="majorBidi" w:hAnsiTheme="majorBidi" w:cstheme="majorBidi"/>
          <w:color w:val="0F1115"/>
        </w:rPr>
        <w:t>B.4 Underexplored Domain</w:t>
      </w:r>
    </w:p>
    <w:p w:rsidR="00317202" w:rsidRPr="00FA7AE7" w:rsidRDefault="00317202" w:rsidP="006B60E2">
      <w:pPr>
        <w:pStyle w:val="ds-markdown-paragraph"/>
        <w:shd w:val="clear" w:color="auto" w:fill="FFFFFF"/>
        <w:spacing w:before="240" w:beforeAutospacing="0" w:after="240" w:afterAutospacing="0" w:line="360" w:lineRule="auto"/>
        <w:rPr>
          <w:rFonts w:asciiTheme="majorBidi" w:hAnsiTheme="majorBidi" w:cstheme="majorBidi"/>
          <w:color w:val="0F1115"/>
        </w:rPr>
      </w:pPr>
      <w:r w:rsidRPr="00FA7AE7">
        <w:rPr>
          <w:rFonts w:asciiTheme="majorBidi" w:hAnsiTheme="majorBidi" w:cstheme="majorBidi"/>
          <w:color w:val="0F1115"/>
        </w:rPr>
        <w:t xml:space="preserve">The publishing industry is a traditional creative sector undergoing digital disruption, where innovation necessitates creative recombination of cultural knowledge—central to our KS-IWB model. This focus addresses calls to broaden the geographical and industrial scope of OB research </w:t>
      </w:r>
      <w:r w:rsidR="00CE2872" w:rsidRPr="00FA7AE7">
        <w:rPr>
          <w:rFonts w:asciiTheme="majorBidi" w:hAnsiTheme="majorBidi" w:cstheme="majorBidi"/>
        </w:rPr>
        <w:fldChar w:fldCharType="begin" w:fldLock="1"/>
      </w:r>
      <w:r w:rsidR="00DD1B16">
        <w:rPr>
          <w:rFonts w:asciiTheme="majorBidi" w:hAnsiTheme="majorBidi" w:cstheme="majorBidi"/>
        </w:rPr>
        <w:instrText>ADDIN CSL_CITATION {"citationItems":[{"id":"ITEM-1","itemData":{"DOI":"10.5465/amj.2007.28166121","ISSN":"0001-4273","author":[{"dropping-particle":"","family":"Tsui","given":"Anne S.","non-dropping-particle":"","parse-names":false,"suffix":""}],"container-title":"Academy of Management Journal","id":"ITEM-1","issue":"6","issued":{"date-parts":[["2007","12"]]},"page":"1353-1364","title":"From Homogenization to Pluralism: International Management Research in the Academy and Beyond","type":"article-journal","volume":"50"},"uris":["http://www.mendeley.com/documents/?uuid=39620285-0528-41c0-b863-50fae6433708"]}],"mendeley":{"formattedCitation":"(Tsui, 2007)","plainTextFormattedCitation":"(Tsui, 2007)","previouslyFormattedCitation":"[8]"},"properties":{"noteIndex":0},"schema":"https://github.com/citation-style-language/schema/raw/master/csl-citation.json"}</w:instrText>
      </w:r>
      <w:r w:rsidR="00CE2872" w:rsidRPr="00FA7AE7">
        <w:rPr>
          <w:rFonts w:asciiTheme="majorBidi" w:hAnsiTheme="majorBidi" w:cstheme="majorBidi"/>
        </w:rPr>
        <w:fldChar w:fldCharType="separate"/>
      </w:r>
      <w:r w:rsidR="00DD1B16" w:rsidRPr="00DD1B16">
        <w:rPr>
          <w:rFonts w:asciiTheme="majorBidi" w:hAnsiTheme="majorBidi" w:cstheme="majorBidi"/>
          <w:noProof/>
        </w:rPr>
        <w:t>(Tsui, 2007)</w:t>
      </w:r>
      <w:r w:rsidR="00CE2872" w:rsidRPr="00FA7AE7">
        <w:rPr>
          <w:rFonts w:asciiTheme="majorBidi" w:hAnsiTheme="majorBidi" w:cstheme="majorBidi"/>
        </w:rPr>
        <w:fldChar w:fldCharType="end"/>
      </w:r>
      <w:r w:rsidRPr="00FA7AE7">
        <w:rPr>
          <w:rFonts w:asciiTheme="majorBidi" w:hAnsiTheme="majorBidi" w:cstheme="majorBidi"/>
          <w:color w:val="0F1115"/>
        </w:rPr>
        <w:t>.</w:t>
      </w:r>
    </w:p>
    <w:p w:rsidR="00317202" w:rsidRPr="00FA7AE7" w:rsidRDefault="00317202" w:rsidP="0052261D">
      <w:pPr>
        <w:rPr>
          <w:rFonts w:asciiTheme="majorBidi" w:hAnsiTheme="majorBidi" w:cstheme="majorBidi"/>
        </w:rPr>
      </w:pPr>
    </w:p>
    <w:p w:rsidR="00FA7AE7" w:rsidRDefault="00FA7AE7">
      <w:pPr>
        <w:spacing w:line="259" w:lineRule="auto"/>
        <w:rPr>
          <w:rFonts w:asciiTheme="majorBidi" w:eastAsiaTheme="majorEastAsia" w:hAnsiTheme="majorBidi" w:cstheme="majorBidi"/>
          <w:color w:val="2F5496" w:themeColor="accent1" w:themeShade="BF"/>
          <w:sz w:val="32"/>
          <w:szCs w:val="32"/>
        </w:rPr>
      </w:pPr>
      <w:r>
        <w:rPr>
          <w:rFonts w:asciiTheme="majorBidi" w:hAnsiTheme="majorBidi"/>
        </w:rPr>
        <w:br w:type="page"/>
      </w:r>
    </w:p>
    <w:p w:rsidR="008F5666" w:rsidRPr="008F5666" w:rsidRDefault="00B222B2" w:rsidP="00896CB3">
      <w:pPr>
        <w:pStyle w:val="Heading1"/>
        <w:rPr>
          <w:kern w:val="0"/>
          <w14:ligatures w14:val="none"/>
        </w:rPr>
      </w:pPr>
      <w:r w:rsidRPr="008F5666">
        <w:lastRenderedPageBreak/>
        <w:t xml:space="preserve">Appendix </w:t>
      </w:r>
      <w:r w:rsidR="0052261D" w:rsidRPr="008F5666">
        <w:t>C</w:t>
      </w:r>
      <w:r w:rsidR="008F5666" w:rsidRPr="008F5666">
        <w:t xml:space="preserve">. </w:t>
      </w:r>
      <w:r w:rsidR="008F5666" w:rsidRPr="008F5666">
        <w:t>Measurement Instruments</w:t>
      </w:r>
    </w:p>
    <w:p w:rsidR="00B222B2" w:rsidRPr="008F5666" w:rsidRDefault="00B222B2" w:rsidP="00B222B2">
      <w:pPr>
        <w:spacing w:line="360" w:lineRule="auto"/>
        <w:rPr>
          <w:rFonts w:asciiTheme="majorBidi" w:hAnsiTheme="majorBidi" w:cstheme="majorBidi"/>
        </w:rPr>
      </w:pPr>
      <w:r w:rsidRPr="008F5666">
        <w:rPr>
          <w:rFonts w:asciiTheme="majorBidi" w:hAnsiTheme="majorBidi" w:cstheme="majorBidi"/>
          <w:b/>
          <w:bCs/>
        </w:rPr>
        <w:t xml:space="preserve">Table </w:t>
      </w:r>
      <w:r w:rsidR="0052261D" w:rsidRPr="008F5666">
        <w:rPr>
          <w:rFonts w:asciiTheme="majorBidi" w:hAnsiTheme="majorBidi" w:cstheme="majorBidi"/>
          <w:b/>
          <w:bCs/>
        </w:rPr>
        <w:t>C</w:t>
      </w:r>
      <w:r w:rsidRPr="008F5666">
        <w:rPr>
          <w:rFonts w:asciiTheme="majorBidi" w:hAnsiTheme="majorBidi" w:cstheme="majorBidi"/>
          <w:b/>
          <w:bCs/>
        </w:rPr>
        <w:t xml:space="preserve">1. </w:t>
      </w:r>
      <w:r w:rsidR="008F5666" w:rsidRPr="008F5666">
        <w:rPr>
          <w:rFonts w:asciiTheme="majorBidi" w:hAnsiTheme="majorBidi" w:cstheme="majorBidi"/>
          <w:color w:val="0F1115"/>
          <w:shd w:val="clear" w:color="auto" w:fill="FFFFFF"/>
        </w:rPr>
        <w:t>Construct Measurement Summary</w:t>
      </w:r>
    </w:p>
    <w:tbl>
      <w:tblPr>
        <w:tblStyle w:val="PlainTable2"/>
        <w:tblW w:w="0" w:type="auto"/>
        <w:tblLook w:val="04A0" w:firstRow="1" w:lastRow="0" w:firstColumn="1" w:lastColumn="0" w:noHBand="0" w:noVBand="1"/>
      </w:tblPr>
      <w:tblGrid>
        <w:gridCol w:w="1708"/>
        <w:gridCol w:w="1469"/>
        <w:gridCol w:w="846"/>
        <w:gridCol w:w="2147"/>
        <w:gridCol w:w="3190"/>
      </w:tblGrid>
      <w:tr w:rsidR="00B222B2" w:rsidRPr="00FA7AE7" w:rsidTr="0002056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B222B2" w:rsidRPr="00FA7AE7" w:rsidRDefault="00B222B2" w:rsidP="00020560">
            <w:pPr>
              <w:spacing w:after="160" w:line="360" w:lineRule="auto"/>
              <w:rPr>
                <w:rFonts w:asciiTheme="majorBidi" w:hAnsiTheme="majorBidi" w:cstheme="majorBidi"/>
                <w:b w:val="0"/>
                <w:bCs w:val="0"/>
              </w:rPr>
            </w:pPr>
            <w:r w:rsidRPr="00FA7AE7">
              <w:rPr>
                <w:rFonts w:asciiTheme="majorBidi" w:hAnsiTheme="majorBidi" w:cstheme="majorBidi"/>
                <w:b w:val="0"/>
                <w:bCs w:val="0"/>
              </w:rPr>
              <w:t>Construct</w:t>
            </w:r>
          </w:p>
        </w:tc>
        <w:tc>
          <w:tcPr>
            <w:tcW w:w="0" w:type="auto"/>
            <w:hideMark/>
          </w:tcPr>
          <w:p w:rsidR="00B222B2" w:rsidRPr="00FA7AE7" w:rsidRDefault="00B222B2" w:rsidP="00020560">
            <w:pPr>
              <w:spacing w:after="160"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FA7AE7">
              <w:rPr>
                <w:rFonts w:asciiTheme="majorBidi" w:hAnsiTheme="majorBidi" w:cstheme="majorBidi"/>
                <w:b w:val="0"/>
                <w:bCs w:val="0"/>
              </w:rPr>
              <w:t>Source</w:t>
            </w:r>
          </w:p>
        </w:tc>
        <w:tc>
          <w:tcPr>
            <w:tcW w:w="0" w:type="auto"/>
            <w:hideMark/>
          </w:tcPr>
          <w:p w:rsidR="00B222B2" w:rsidRPr="00FA7AE7" w:rsidRDefault="00B222B2" w:rsidP="00020560">
            <w:pPr>
              <w:spacing w:after="160"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FA7AE7">
              <w:rPr>
                <w:rFonts w:asciiTheme="majorBidi" w:hAnsiTheme="majorBidi" w:cstheme="majorBidi"/>
                <w:b w:val="0"/>
                <w:bCs w:val="0"/>
              </w:rPr>
              <w:t>No. of Items</w:t>
            </w:r>
          </w:p>
        </w:tc>
        <w:tc>
          <w:tcPr>
            <w:tcW w:w="0" w:type="auto"/>
            <w:hideMark/>
          </w:tcPr>
          <w:p w:rsidR="00B222B2" w:rsidRPr="00FA7AE7" w:rsidRDefault="00B222B2" w:rsidP="00020560">
            <w:pPr>
              <w:spacing w:after="160"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FA7AE7">
              <w:rPr>
                <w:rFonts w:asciiTheme="majorBidi" w:hAnsiTheme="majorBidi" w:cstheme="majorBidi"/>
                <w:b w:val="0"/>
                <w:bCs w:val="0"/>
              </w:rPr>
              <w:t>Example Item (Adapted)</w:t>
            </w:r>
          </w:p>
        </w:tc>
        <w:tc>
          <w:tcPr>
            <w:tcW w:w="0" w:type="auto"/>
            <w:hideMark/>
          </w:tcPr>
          <w:p w:rsidR="00B222B2" w:rsidRPr="00FA7AE7" w:rsidRDefault="00B222B2" w:rsidP="00020560">
            <w:pPr>
              <w:spacing w:after="160"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FA7AE7">
              <w:rPr>
                <w:rFonts w:asciiTheme="majorBidi" w:hAnsiTheme="majorBidi" w:cstheme="majorBidi"/>
                <w:b w:val="0"/>
                <w:bCs w:val="0"/>
              </w:rPr>
              <w:t>Key Theoretical Alignment in Our Framework</w:t>
            </w:r>
          </w:p>
        </w:tc>
      </w:tr>
      <w:tr w:rsidR="00B222B2" w:rsidRPr="00FA7AE7" w:rsidTr="000205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B222B2" w:rsidRPr="00FA7AE7" w:rsidRDefault="00B222B2" w:rsidP="00020560">
            <w:pPr>
              <w:spacing w:after="160" w:line="360" w:lineRule="auto"/>
              <w:rPr>
                <w:rFonts w:asciiTheme="majorBidi" w:hAnsiTheme="majorBidi" w:cstheme="majorBidi"/>
              </w:rPr>
            </w:pPr>
            <w:r w:rsidRPr="00FA7AE7">
              <w:rPr>
                <w:rFonts w:asciiTheme="majorBidi" w:hAnsiTheme="majorBidi" w:cstheme="majorBidi"/>
                <w:b w:val="0"/>
                <w:bCs w:val="0"/>
              </w:rPr>
              <w:t>Innovative Work Behavior (IWB)</w:t>
            </w:r>
          </w:p>
        </w:tc>
        <w:tc>
          <w:tcPr>
            <w:tcW w:w="0" w:type="auto"/>
            <w:hideMark/>
          </w:tcPr>
          <w:p w:rsidR="00B222B2" w:rsidRPr="00FA7AE7" w:rsidRDefault="00B222B2" w:rsidP="00020560">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 xml:space="preserve">Janssen </w:t>
            </w:r>
            <w:r w:rsidRPr="00FA7AE7">
              <w:rPr>
                <w:rFonts w:asciiTheme="majorBidi" w:hAnsiTheme="majorBidi" w:cstheme="majorBidi"/>
              </w:rPr>
              <w:fldChar w:fldCharType="begin" w:fldLock="1"/>
            </w:r>
            <w:r w:rsidR="00DD1B16">
              <w:rPr>
                <w:rFonts w:asciiTheme="majorBidi" w:hAnsiTheme="majorBidi" w:cstheme="majorBidi"/>
              </w:rPr>
              <w:instrText>ADDIN CSL_CITATION {"citationItems":[{"id":"ITEM-1","itemData":{"DOI":"10.1348/096317900167038","ISSN":"0963-1798","abstract":"Building on person‐environment fit theory and social exchange theory, the relationship between job demands and innovative work behaviour was assumed to be moderated by fairness perceptions of the ratio between effort spent and reward received at work. This interaction of job demands with perceptions of effort‐reward fairness was tested among 170 non‐management employees from a Dutch industrial organization in the food sector. Results demonstrated a positive relationship between job demands and innovative work behaviour when employees perceived effort‐reward fairness rather than under‐reward unfairness.","author":[{"dropping-particle":"","family":"Janssen","given":"Onne","non-dropping-particle":"","parse-names":false,"suffix":""}],"container-title":"Journal of Occupational and Organizational Psychology","id":"ITEM-1","issue":"3","issued":{"date-parts":[["2000","9","16"]]},"page":"287-302","title":"Job demands, perceptions of effort‐reward fairness and innovative work behaviour","type":"article-journal","volume":"73"},"suppress-author":1,"uris":["http://www.mendeley.com/documents/?uuid=2a718fa5-7ab4-402a-b94a-9e7c44398848"]}],"mendeley":{"formattedCitation":"(2000)","plainTextFormattedCitation":"(2000)","previouslyFormattedCitation":"[9]"},"properties":{"noteIndex":0},"schema":"https://github.com/citation-style-language/schema/raw/master/csl-citation.json"}</w:instrText>
            </w:r>
            <w:r w:rsidRPr="00FA7AE7">
              <w:rPr>
                <w:rFonts w:asciiTheme="majorBidi" w:hAnsiTheme="majorBidi" w:cstheme="majorBidi"/>
              </w:rPr>
              <w:fldChar w:fldCharType="separate"/>
            </w:r>
            <w:r w:rsidR="00DD1B16" w:rsidRPr="00DD1B16">
              <w:rPr>
                <w:rFonts w:asciiTheme="majorBidi" w:hAnsiTheme="majorBidi" w:cstheme="majorBidi"/>
                <w:noProof/>
              </w:rPr>
              <w:t>(2000)</w:t>
            </w:r>
            <w:r w:rsidRPr="00FA7AE7">
              <w:rPr>
                <w:rFonts w:asciiTheme="majorBidi" w:hAnsiTheme="majorBidi" w:cstheme="majorBidi"/>
              </w:rPr>
              <w:fldChar w:fldCharType="end"/>
            </w:r>
          </w:p>
        </w:tc>
        <w:tc>
          <w:tcPr>
            <w:tcW w:w="0" w:type="auto"/>
            <w:hideMark/>
          </w:tcPr>
          <w:p w:rsidR="00B222B2" w:rsidRPr="00FA7AE7" w:rsidRDefault="00B222B2" w:rsidP="00020560">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6</w:t>
            </w:r>
          </w:p>
        </w:tc>
        <w:tc>
          <w:tcPr>
            <w:tcW w:w="0" w:type="auto"/>
            <w:hideMark/>
          </w:tcPr>
          <w:p w:rsidR="00B222B2" w:rsidRPr="00FA7AE7" w:rsidRDefault="00B222B2" w:rsidP="00020560">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"I create new ideas for difficult issues in publishing projects."</w:t>
            </w:r>
          </w:p>
        </w:tc>
        <w:tc>
          <w:tcPr>
            <w:tcW w:w="0" w:type="auto"/>
            <w:hideMark/>
          </w:tcPr>
          <w:p w:rsidR="00B222B2" w:rsidRPr="00FA7AE7" w:rsidRDefault="00B222B2" w:rsidP="00020560">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Outcome Variable (TPB: Behavior)</w:t>
            </w:r>
          </w:p>
        </w:tc>
      </w:tr>
      <w:tr w:rsidR="00B222B2" w:rsidRPr="00FA7AE7" w:rsidTr="00020560">
        <w:tc>
          <w:tcPr>
            <w:cnfStyle w:val="001000000000" w:firstRow="0" w:lastRow="0" w:firstColumn="1" w:lastColumn="0" w:oddVBand="0" w:evenVBand="0" w:oddHBand="0" w:evenHBand="0" w:firstRowFirstColumn="0" w:firstRowLastColumn="0" w:lastRowFirstColumn="0" w:lastRowLastColumn="0"/>
            <w:tcW w:w="0" w:type="auto"/>
            <w:hideMark/>
          </w:tcPr>
          <w:p w:rsidR="00B222B2" w:rsidRPr="00FA7AE7" w:rsidRDefault="00B222B2" w:rsidP="00020560">
            <w:pPr>
              <w:spacing w:after="160" w:line="360" w:lineRule="auto"/>
              <w:rPr>
                <w:rFonts w:asciiTheme="majorBidi" w:hAnsiTheme="majorBidi" w:cstheme="majorBidi"/>
              </w:rPr>
            </w:pPr>
            <w:r w:rsidRPr="00FA7AE7">
              <w:rPr>
                <w:rFonts w:asciiTheme="majorBidi" w:hAnsiTheme="majorBidi" w:cstheme="majorBidi"/>
                <w:b w:val="0"/>
                <w:bCs w:val="0"/>
              </w:rPr>
              <w:t>Knowledge Sharing (KS)</w:t>
            </w:r>
          </w:p>
        </w:tc>
        <w:tc>
          <w:tcPr>
            <w:tcW w:w="0" w:type="auto"/>
            <w:hideMark/>
          </w:tcPr>
          <w:p w:rsidR="00B222B2" w:rsidRPr="00FA7AE7" w:rsidRDefault="00B222B2" w:rsidP="00020560">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 xml:space="preserve">van den </w:t>
            </w:r>
            <w:proofErr w:type="spellStart"/>
            <w:r w:rsidRPr="00FA7AE7">
              <w:rPr>
                <w:rFonts w:asciiTheme="majorBidi" w:hAnsiTheme="majorBidi" w:cstheme="majorBidi"/>
              </w:rPr>
              <w:t>Hooff</w:t>
            </w:r>
            <w:proofErr w:type="spellEnd"/>
            <w:r w:rsidRPr="00FA7AE7">
              <w:rPr>
                <w:rFonts w:asciiTheme="majorBidi" w:hAnsiTheme="majorBidi" w:cstheme="majorBidi"/>
              </w:rPr>
              <w:t xml:space="preserve"> &amp; de Ridder </w:t>
            </w:r>
            <w:r w:rsidRPr="00FA7AE7">
              <w:rPr>
                <w:rFonts w:asciiTheme="majorBidi" w:hAnsiTheme="majorBidi" w:cstheme="majorBidi"/>
              </w:rPr>
              <w:fldChar w:fldCharType="begin" w:fldLock="1"/>
            </w:r>
            <w:r w:rsidR="00DD1B16">
              <w:rPr>
                <w:rFonts w:asciiTheme="majorBidi" w:hAnsiTheme="majorBidi" w:cstheme="majorBidi"/>
              </w:rPr>
              <w:instrText>ADDIN CSL_CITATION {"citationItems":[{"id":"ITEM-1","itemData":{"DOI":"10.1108/13673270410567675","ISSN":"1367-3270","abstract":"Determining which factors promote or impede the sharing of knowledge within groups and organizations constitutes an important area of research. This paper focuses on three such influences: “organizational commitment,” “organizational communication,” and the use of a specific instrument of communication – computer‐mediated communication (CMC). Two processes of knowledge sharing are distinguished: donating and collecting. A number of hypotheses are presented concerning the influence of commitment, climate and CMC on these processes. These hypotheses were tested in six case studies. The results suggest that commitment to the organization positively influences knowledge donating, and is in turn positively influenced by CMC use. Communication climate is found to be a key variable: a constructive communication climate was found to positively influence knowledge donating, knowledge collecting and affective commitment. Finally, a relationship was found that was not hypothesized: knowledge collecting influences knowledge donating in a positive sense – the more knowledge a person collects, the more he or she is willing to also donate knowledge to others. Based on these results, a number of theoretical and practical implications are discussed, and suggestions for further research are presented.","author":[{"dropping-particle":"","family":"Hooff","given":"Bart","non-dropping-particle":"van den","parse-names":false,"suffix":""},{"dropping-particle":"","family":"Ridder","given":"Jan A.","non-dropping-particle":"de","parse-names":false,"suffix":""}],"container-title":"Journal of Knowledge Management","id":"ITEM-1","issue":"6","issued":{"date-parts":[["2004","12","1"]]},"page":"117-130","title":"Knowledge sharing in context: the influence of organizational commitment, communication climate and CMC use on knowledge sharing","type":"article-journal","volume":"8"},"suppress-author":1,"uris":["http://www.mendeley.com/documents/?uuid=871a71c0-d09c-4e1d-8024-31cd83d2620c"]}],"mendeley":{"formattedCitation":"(2004)","plainTextFormattedCitation":"(2004)","previouslyFormattedCitation":"[10]"},"properties":{"noteIndex":0},"schema":"https://github.com/citation-style-language/schema/raw/master/csl-citation.json"}</w:instrText>
            </w:r>
            <w:r w:rsidRPr="00FA7AE7">
              <w:rPr>
                <w:rFonts w:asciiTheme="majorBidi" w:hAnsiTheme="majorBidi" w:cstheme="majorBidi"/>
              </w:rPr>
              <w:fldChar w:fldCharType="separate"/>
            </w:r>
            <w:r w:rsidR="00DD1B16" w:rsidRPr="00DD1B16">
              <w:rPr>
                <w:rFonts w:asciiTheme="majorBidi" w:hAnsiTheme="majorBidi" w:cstheme="majorBidi"/>
                <w:noProof/>
              </w:rPr>
              <w:t>(2004)</w:t>
            </w:r>
            <w:r w:rsidRPr="00FA7AE7">
              <w:rPr>
                <w:rFonts w:asciiTheme="majorBidi" w:hAnsiTheme="majorBidi" w:cstheme="majorBidi"/>
              </w:rPr>
              <w:fldChar w:fldCharType="end"/>
            </w:r>
          </w:p>
        </w:tc>
        <w:tc>
          <w:tcPr>
            <w:tcW w:w="0" w:type="auto"/>
            <w:hideMark/>
          </w:tcPr>
          <w:p w:rsidR="00B222B2" w:rsidRPr="00FA7AE7" w:rsidRDefault="00B222B2" w:rsidP="00020560">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7</w:t>
            </w:r>
          </w:p>
        </w:tc>
        <w:tc>
          <w:tcPr>
            <w:tcW w:w="0" w:type="auto"/>
            <w:hideMark/>
          </w:tcPr>
          <w:p w:rsidR="00B222B2" w:rsidRPr="00FA7AE7" w:rsidRDefault="00B222B2" w:rsidP="00020560">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"I share my knowledge with colleagues when they ask for it."</w:t>
            </w:r>
          </w:p>
        </w:tc>
        <w:tc>
          <w:tcPr>
            <w:tcW w:w="0" w:type="auto"/>
            <w:hideMark/>
          </w:tcPr>
          <w:p w:rsidR="00B222B2" w:rsidRPr="00FA7AE7" w:rsidRDefault="00B222B2" w:rsidP="00020560">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Environmental Resource/Antecedent (SCT: Environmental Factor)</w:t>
            </w:r>
          </w:p>
        </w:tc>
      </w:tr>
      <w:tr w:rsidR="00B222B2" w:rsidRPr="00FA7AE7" w:rsidTr="000205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B222B2" w:rsidRPr="00FA7AE7" w:rsidRDefault="00B222B2" w:rsidP="00020560">
            <w:pPr>
              <w:spacing w:after="160" w:line="360" w:lineRule="auto"/>
              <w:rPr>
                <w:rFonts w:asciiTheme="majorBidi" w:hAnsiTheme="majorBidi" w:cstheme="majorBidi"/>
              </w:rPr>
            </w:pPr>
            <w:r w:rsidRPr="00FA7AE7">
              <w:rPr>
                <w:rFonts w:asciiTheme="majorBidi" w:hAnsiTheme="majorBidi" w:cstheme="majorBidi"/>
                <w:b w:val="0"/>
                <w:bCs w:val="0"/>
              </w:rPr>
              <w:t>Work Motivation (WM)</w:t>
            </w:r>
          </w:p>
        </w:tc>
        <w:tc>
          <w:tcPr>
            <w:tcW w:w="0" w:type="auto"/>
            <w:hideMark/>
          </w:tcPr>
          <w:p w:rsidR="00B222B2" w:rsidRPr="00FA7AE7" w:rsidRDefault="00B222B2" w:rsidP="00020560">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roofErr w:type="spellStart"/>
            <w:r w:rsidRPr="00FA7AE7">
              <w:rPr>
                <w:rFonts w:asciiTheme="majorBidi" w:hAnsiTheme="majorBidi" w:cstheme="majorBidi"/>
              </w:rPr>
              <w:t>Gagné</w:t>
            </w:r>
            <w:proofErr w:type="spellEnd"/>
            <w:r w:rsidRPr="00FA7AE7">
              <w:rPr>
                <w:rFonts w:asciiTheme="majorBidi" w:hAnsiTheme="majorBidi" w:cstheme="majorBidi"/>
              </w:rPr>
              <w:t xml:space="preserve"> et al. </w:t>
            </w:r>
            <w:r w:rsidRPr="00FA7AE7">
              <w:rPr>
                <w:rFonts w:asciiTheme="majorBidi" w:hAnsiTheme="majorBidi" w:cstheme="majorBidi"/>
              </w:rPr>
              <w:fldChar w:fldCharType="begin" w:fldLock="1"/>
            </w:r>
            <w:r w:rsidR="00DD1B16">
              <w:rPr>
                <w:rFonts w:asciiTheme="majorBidi" w:hAnsiTheme="majorBidi" w:cstheme="majorBidi"/>
              </w:rPr>
              <w:instrText>ADDIN CSL_CITATION {"citationItems":[{"id":"ITEM-1","itemData":{"DOI":"10.1080/1359432X.2013.877892","ISSN":"1359-432X","author":[{"dropping-particle":"","family":"Gagné","given":"Marylène","non-dropping-particle":"","parse-names":false,"suffix":""},{"dropping-particle":"","family":"Forest","given":"Jacques","non-dropping-particle":"","parse-names":false,"suffix":""},{"dropping-particle":"","family":"Vansteenkiste","given":"Maarten","non-dropping-particle":"","parse-names":false,"suffix":""},{"dropping-particle":"","family":"Crevier-Braud","given":"Laurence","non-dropping-particle":"","parse-names":false,"suffix":""},{"dropping-particle":"","family":"Broeck","given":"Anja","non-dropping-particle":"van den","parse-names":false,"suffix":""},{"dropping-particle":"","family":"Aspeli","given":"Ann Kristin","non-dropping-particle":"","parse-names":false,"suffix":""},{"dropping-particle":"","family":"Bellerose","given":"Jenny","non-dropping-particle":"","parse-names":false,"suffix":""},{"dropping-particle":"","family":"Benabou","given":"Charles","non-dropping-particle":"","parse-names":false,"suffix":""},{"dropping-particle":"","family":"Chemolli","given":"Emanuela","non-dropping-particle":"","parse-names":false,"suffix":""},{"dropping-particle":"","family":"Güntert","given":"Stefan Tomas","non-dropping-particle":"","parse-names":false,"suffix":""},{"dropping-particle":"","family":"Halvari","given":"Hallgeir","non-dropping-particle":"","parse-names":false,"suffix":""},{"dropping-particle":"","family":"Indiyastuti","given":"Devani Laksmi","non-dropping-particle":"","parse-names":false,"suffix":""},{"dropping-particle":"","family":"Johnson","given":"Peter A.","non-dropping-particle":"","parse-names":false,"suffix":""},{"dropping-particle":"","family":"Molstad","given":"Marianne Hauan","non-dropping-particle":"","parse-names":false,"suffix":""},{"dropping-particle":"","family":"Naudin","given":"Mathias","non-dropping-particle":"","parse-names":false,"suffix":""},{"dropping-particle":"","family":"Ndao","given":"Assane","non-dropping-particle":"","parse-names":false,"suffix":""},{"dropping-particle":"","family":"Olafsen","given":"Anja Hagen","non-dropping-particle":"","parse-names":false,"suffix":""},{"dropping-particle":"","family":"Roussel","given":"Patrice","non-dropping-particle":"","parse-names":false,"suffix":""},{"dropping-particle":"","family":"Wang","given":"Zheni","non-dropping-particle":"","parse-names":false,"suffix":""},{"dropping-particle":"","family":"Westbye","given":"Cathrine","non-dropping-particle":"","parse-names":false,"suffix":""}],"container-title":"European Journal of Work and Organizational Psychology","id":"ITEM-1","issue":"2","issued":{"date-parts":[["2015","3","4"]]},"page":"178-196","title":"The Multidimensional Work Motivation Scale: Validation evidence in seven languages and nine countries","type":"article-journal","volume":"24"},"suppress-author":1,"uris":["http://www.mendeley.com/documents/?uuid=5e000e39-0c6f-4893-947e-ada50ee35510"]}],"mendeley":{"formattedCitation":"(2015)","plainTextFormattedCitation":"(2015)","previouslyFormattedCitation":"[11]"},"properties":{"noteIndex":0},"schema":"https://github.com/citation-style-language/schema/raw/master/csl-citation.json"}</w:instrText>
            </w:r>
            <w:r w:rsidRPr="00FA7AE7">
              <w:rPr>
                <w:rFonts w:asciiTheme="majorBidi" w:hAnsiTheme="majorBidi" w:cstheme="majorBidi"/>
              </w:rPr>
              <w:fldChar w:fldCharType="separate"/>
            </w:r>
            <w:r w:rsidR="00DD1B16" w:rsidRPr="00DD1B16">
              <w:rPr>
                <w:rFonts w:asciiTheme="majorBidi" w:hAnsiTheme="majorBidi" w:cstheme="majorBidi"/>
                <w:noProof/>
              </w:rPr>
              <w:t>(2015)</w:t>
            </w:r>
            <w:r w:rsidRPr="00FA7AE7">
              <w:rPr>
                <w:rFonts w:asciiTheme="majorBidi" w:hAnsiTheme="majorBidi" w:cstheme="majorBidi"/>
              </w:rPr>
              <w:fldChar w:fldCharType="end"/>
            </w:r>
          </w:p>
        </w:tc>
        <w:tc>
          <w:tcPr>
            <w:tcW w:w="0" w:type="auto"/>
            <w:hideMark/>
          </w:tcPr>
          <w:p w:rsidR="00B222B2" w:rsidRPr="00FA7AE7" w:rsidRDefault="00B222B2" w:rsidP="00020560">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6</w:t>
            </w:r>
          </w:p>
        </w:tc>
        <w:tc>
          <w:tcPr>
            <w:tcW w:w="0" w:type="auto"/>
            <w:hideMark/>
          </w:tcPr>
          <w:p w:rsidR="00B222B2" w:rsidRPr="00FA7AE7" w:rsidRDefault="00B222B2" w:rsidP="00020560">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"I have a say in how my editorial work gets done."</w:t>
            </w:r>
          </w:p>
        </w:tc>
        <w:tc>
          <w:tcPr>
            <w:tcW w:w="0" w:type="auto"/>
            <w:hideMark/>
          </w:tcPr>
          <w:p w:rsidR="00B222B2" w:rsidRPr="00FA7AE7" w:rsidRDefault="00B222B2" w:rsidP="00020560">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Mediator: Attitudinal Pathway (TPB: Attitude toward Behavior)</w:t>
            </w:r>
          </w:p>
        </w:tc>
      </w:tr>
      <w:tr w:rsidR="00B222B2" w:rsidRPr="00FA7AE7" w:rsidTr="00020560">
        <w:tc>
          <w:tcPr>
            <w:cnfStyle w:val="001000000000" w:firstRow="0" w:lastRow="0" w:firstColumn="1" w:lastColumn="0" w:oddVBand="0" w:evenVBand="0" w:oddHBand="0" w:evenHBand="0" w:firstRowFirstColumn="0" w:firstRowLastColumn="0" w:lastRowFirstColumn="0" w:lastRowLastColumn="0"/>
            <w:tcW w:w="0" w:type="auto"/>
            <w:hideMark/>
          </w:tcPr>
          <w:p w:rsidR="00B222B2" w:rsidRPr="00FA7AE7" w:rsidRDefault="00B222B2" w:rsidP="00020560">
            <w:pPr>
              <w:spacing w:after="160" w:line="360" w:lineRule="auto"/>
              <w:rPr>
                <w:rFonts w:asciiTheme="majorBidi" w:hAnsiTheme="majorBidi" w:cstheme="majorBidi"/>
              </w:rPr>
            </w:pPr>
            <w:r w:rsidRPr="00FA7AE7">
              <w:rPr>
                <w:rFonts w:asciiTheme="majorBidi" w:hAnsiTheme="majorBidi" w:cstheme="majorBidi"/>
                <w:b w:val="0"/>
                <w:bCs w:val="0"/>
              </w:rPr>
              <w:t>Work Engagement (WE)</w:t>
            </w:r>
          </w:p>
        </w:tc>
        <w:tc>
          <w:tcPr>
            <w:tcW w:w="0" w:type="auto"/>
            <w:hideMark/>
          </w:tcPr>
          <w:p w:rsidR="00B222B2" w:rsidRPr="00FA7AE7" w:rsidRDefault="00B222B2" w:rsidP="00020560">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 xml:space="preserve">Schaufeli et al. </w:t>
            </w:r>
            <w:r w:rsidRPr="00FA7AE7">
              <w:rPr>
                <w:rFonts w:asciiTheme="majorBidi" w:hAnsiTheme="majorBidi" w:cstheme="majorBidi"/>
              </w:rPr>
              <w:fldChar w:fldCharType="begin" w:fldLock="1"/>
            </w:r>
            <w:r w:rsidR="00DD1B16">
              <w:rPr>
                <w:rFonts w:asciiTheme="majorBidi" w:hAnsiTheme="majorBidi" w:cstheme="majorBidi"/>
              </w:rPr>
              <w:instrText>ADDIN CSL_CITATION {"citationItems":[{"id":"ITEM-1","itemData":{"DOI":"10.1177/0013164405282471","ISSN":"0013-1644","abstract":"This article reports on the development of a short questionnaire to measure work engagement—a positive work-related state of fulfillment that is characterized by vigor, dedication, and absorption. Data were collected in 10 different countries ( N = 14,521), and results indicated that the original 17-item Utrecht Work Engagement Scale (UWES) can be shortened to 9 items (UWES-9). The factorial validity of the UWES-9 was demonstrated using confirmatory factor analyses, and the three scale scores have good internal consistency and test-retest reliability. Furthermore, a two-factor model with a reduced Burnout factor (including exhaustion and cynicism) and an expanded Engagement factor (including vigor, dedication, absorption, and professional efficacy) fit best to the data. These results confirm that work engagement may be conceived as the positive antipode of burnout. It is concluded that the UWES-9 scores has acceptable psychometric properties and that the instrument can be used in studies on positive organizational behavior.","author":[{"dropping-particle":"","family":"Schaufeli","given":"Wilmar B.","non-dropping-particle":"","parse-names":false,"suffix":""},{"dropping-particle":"","family":"Bakker","given":"Arnold B.","non-dropping-particle":"","parse-names":false,"suffix":""},{"dropping-particle":"","family":"Salanova","given":"Marisa","non-dropping-particle":"","parse-names":false,"suffix":""}],"container-title":"Educational and Psychological Measurement","id":"ITEM-1","issue":"4","issued":{"date-parts":[["2006","8","1"]]},"page":"701-716","title":"The Measurement of Work Engagement With a Short Questionnaire","type":"article-journal","volume":"66"},"suppress-author":1,"uris":["http://www.mendeley.com/documents/?uuid=04a329be-5867-498c-9383-c71bb3744b18"]}],"mendeley":{"formattedCitation":"(2006)","plainTextFormattedCitation":"(2006)","previouslyFormattedCitation":"[12]"},"properties":{"noteIndex":0},"schema":"https://github.com/citation-style-language/schema/raw/master/csl-citation.json"}</w:instrText>
            </w:r>
            <w:r w:rsidRPr="00FA7AE7">
              <w:rPr>
                <w:rFonts w:asciiTheme="majorBidi" w:hAnsiTheme="majorBidi" w:cstheme="majorBidi"/>
              </w:rPr>
              <w:fldChar w:fldCharType="separate"/>
            </w:r>
            <w:r w:rsidR="00DD1B16" w:rsidRPr="00DD1B16">
              <w:rPr>
                <w:rFonts w:asciiTheme="majorBidi" w:hAnsiTheme="majorBidi" w:cstheme="majorBidi"/>
                <w:noProof/>
              </w:rPr>
              <w:t>(2006)</w:t>
            </w:r>
            <w:r w:rsidRPr="00FA7AE7">
              <w:rPr>
                <w:rFonts w:asciiTheme="majorBidi" w:hAnsiTheme="majorBidi" w:cstheme="majorBidi"/>
              </w:rPr>
              <w:fldChar w:fldCharType="end"/>
            </w:r>
            <w:r w:rsidRPr="00FA7AE7">
              <w:rPr>
                <w:rFonts w:asciiTheme="majorBidi" w:hAnsiTheme="majorBidi" w:cstheme="majorBidi"/>
              </w:rPr>
              <w:t xml:space="preserve"> - UWES-9</w:t>
            </w:r>
          </w:p>
        </w:tc>
        <w:tc>
          <w:tcPr>
            <w:tcW w:w="0" w:type="auto"/>
            <w:hideMark/>
          </w:tcPr>
          <w:p w:rsidR="00B222B2" w:rsidRPr="00FA7AE7" w:rsidRDefault="00B222B2" w:rsidP="00020560">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9</w:t>
            </w:r>
          </w:p>
        </w:tc>
        <w:tc>
          <w:tcPr>
            <w:tcW w:w="0" w:type="auto"/>
            <w:hideMark/>
          </w:tcPr>
          <w:p w:rsidR="00B222B2" w:rsidRPr="00FA7AE7" w:rsidRDefault="00B222B2" w:rsidP="00020560">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"At my work, I feel bursting with energy."</w:t>
            </w:r>
          </w:p>
        </w:tc>
        <w:tc>
          <w:tcPr>
            <w:tcW w:w="0" w:type="auto"/>
            <w:hideMark/>
          </w:tcPr>
          <w:p w:rsidR="00B222B2" w:rsidRPr="00FA7AE7" w:rsidRDefault="00B222B2" w:rsidP="00020560">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Mediator: Normative-Affective Pathway (TPB: Subjective Norm / SCT: Affective State)</w:t>
            </w:r>
          </w:p>
        </w:tc>
      </w:tr>
      <w:tr w:rsidR="00B222B2" w:rsidRPr="00FA7AE7" w:rsidTr="000205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B222B2" w:rsidRPr="00FA7AE7" w:rsidRDefault="00B222B2" w:rsidP="00020560">
            <w:pPr>
              <w:spacing w:after="160" w:line="360" w:lineRule="auto"/>
              <w:rPr>
                <w:rFonts w:asciiTheme="majorBidi" w:hAnsiTheme="majorBidi" w:cstheme="majorBidi"/>
              </w:rPr>
            </w:pPr>
            <w:r w:rsidRPr="00FA7AE7">
              <w:rPr>
                <w:rFonts w:asciiTheme="majorBidi" w:hAnsiTheme="majorBidi" w:cstheme="majorBidi"/>
                <w:b w:val="0"/>
                <w:bCs w:val="0"/>
              </w:rPr>
              <w:t>Creative Self-Efficacy (CSE)</w:t>
            </w:r>
          </w:p>
        </w:tc>
        <w:tc>
          <w:tcPr>
            <w:tcW w:w="0" w:type="auto"/>
            <w:hideMark/>
          </w:tcPr>
          <w:p w:rsidR="00B222B2" w:rsidRPr="00FA7AE7" w:rsidRDefault="00B222B2" w:rsidP="00020560">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 xml:space="preserve">Tierney &amp; Farmer </w:t>
            </w:r>
            <w:r w:rsidRPr="00FA7AE7">
              <w:rPr>
                <w:rFonts w:asciiTheme="majorBidi" w:hAnsiTheme="majorBidi" w:cstheme="majorBidi"/>
              </w:rPr>
              <w:fldChar w:fldCharType="begin" w:fldLock="1"/>
            </w:r>
            <w:r w:rsidR="00DD1B16">
              <w:rPr>
                <w:rFonts w:asciiTheme="majorBidi" w:hAnsiTheme="majorBidi" w:cstheme="majorBidi"/>
              </w:rPr>
              <w:instrText>ADDIN CSL_CITATION {"citationItems":[{"id":"ITEM-1","itemData":{"DOI":"10.2307/3069429","ISSN":"0001-4273","author":[{"dropping-particle":"","family":"Tierney","given":"P.","non-dropping-particle":"","parse-names":false,"suffix":""},{"dropping-particle":"","family":"Farmer","given":"S. M.","non-dropping-particle":"","parse-names":false,"suffix":""}],"container-title":"Academy of Management Journal","id":"ITEM-1","issue":"6","issued":{"date-parts":[["2002","12","1"]]},"page":"1137-1148","title":"CREATIVE SELF-EFFICACY: ITS POTENTIAL ANTECEDENTS AND RELATIONSHIP TO CREATIVE PERFORMANCE.","type":"article-journal","volume":"45"},"suppress-author":1,"uris":["http://www.mendeley.com/documents/?uuid=c7fcf2b8-43d1-468f-915d-e67f52114de9"]}],"mendeley":{"formattedCitation":"(2002)","plainTextFormattedCitation":"(2002)","previouslyFormattedCitation":"[13]"},"properties":{"noteIndex":0},"schema":"https://github.com/citation-style-language/schema/raw/master/csl-citation.json"}</w:instrText>
            </w:r>
            <w:r w:rsidRPr="00FA7AE7">
              <w:rPr>
                <w:rFonts w:asciiTheme="majorBidi" w:hAnsiTheme="majorBidi" w:cstheme="majorBidi"/>
              </w:rPr>
              <w:fldChar w:fldCharType="separate"/>
            </w:r>
            <w:r w:rsidR="00DD1B16" w:rsidRPr="00DD1B16">
              <w:rPr>
                <w:rFonts w:asciiTheme="majorBidi" w:hAnsiTheme="majorBidi" w:cstheme="majorBidi"/>
                <w:noProof/>
              </w:rPr>
              <w:t>(2002)</w:t>
            </w:r>
            <w:r w:rsidRPr="00FA7AE7">
              <w:rPr>
                <w:rFonts w:asciiTheme="majorBidi" w:hAnsiTheme="majorBidi" w:cstheme="majorBidi"/>
              </w:rPr>
              <w:fldChar w:fldCharType="end"/>
            </w:r>
          </w:p>
        </w:tc>
        <w:tc>
          <w:tcPr>
            <w:tcW w:w="0" w:type="auto"/>
            <w:hideMark/>
          </w:tcPr>
          <w:p w:rsidR="00B222B2" w:rsidRPr="00FA7AE7" w:rsidRDefault="00B222B2" w:rsidP="00020560">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3</w:t>
            </w:r>
          </w:p>
        </w:tc>
        <w:tc>
          <w:tcPr>
            <w:tcW w:w="0" w:type="auto"/>
            <w:hideMark/>
          </w:tcPr>
          <w:p w:rsidR="00B222B2" w:rsidRPr="00FA7AE7" w:rsidRDefault="00B222B2" w:rsidP="00020560">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"I have confidence in my ability to solve problems creatively in my work."</w:t>
            </w:r>
          </w:p>
        </w:tc>
        <w:tc>
          <w:tcPr>
            <w:tcW w:w="0" w:type="auto"/>
            <w:hideMark/>
          </w:tcPr>
          <w:p w:rsidR="00B222B2" w:rsidRPr="00FA7AE7" w:rsidRDefault="00B222B2" w:rsidP="00020560">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Personal Resource/Moderator (SCT: Self-Efficacy / TPB: PBC / COR: Resource)</w:t>
            </w:r>
          </w:p>
        </w:tc>
      </w:tr>
    </w:tbl>
    <w:p w:rsidR="00B222B2" w:rsidRPr="00FA7AE7" w:rsidRDefault="00B222B2">
      <w:pPr>
        <w:rPr>
          <w:rFonts w:asciiTheme="majorBidi" w:hAnsiTheme="majorBidi" w:cstheme="majorBidi"/>
        </w:rPr>
      </w:pPr>
    </w:p>
    <w:p w:rsidR="00B222B2" w:rsidRPr="008F5666" w:rsidRDefault="008F5666" w:rsidP="00B222B2">
      <w:pPr>
        <w:rPr>
          <w:rFonts w:asciiTheme="majorBidi" w:hAnsiTheme="majorBidi" w:cstheme="majorBidi"/>
          <w:i/>
          <w:iCs/>
        </w:rPr>
      </w:pPr>
      <w:r w:rsidRPr="008F5666">
        <w:rPr>
          <w:rFonts w:asciiTheme="majorBidi" w:hAnsiTheme="majorBidi" w:cstheme="majorBidi"/>
          <w:i/>
          <w:iCs/>
          <w:color w:val="0F1115"/>
          <w:shd w:val="clear" w:color="auto" w:fill="FFFFFF"/>
        </w:rPr>
        <w:t>Note: All items measured on a 5-point Likert scale (1 = Strongly Disagree to 5 = Strongly Agree).</w:t>
      </w:r>
    </w:p>
    <w:p w:rsidR="00B222B2" w:rsidRPr="00FA7AE7" w:rsidRDefault="00B222B2" w:rsidP="00B222B2">
      <w:pPr>
        <w:rPr>
          <w:rFonts w:asciiTheme="majorBidi" w:hAnsiTheme="majorBidi" w:cstheme="majorBidi"/>
        </w:rPr>
      </w:pPr>
      <w:r w:rsidRPr="00FA7AE7">
        <w:rPr>
          <w:rFonts w:asciiTheme="majorBidi" w:hAnsiTheme="majorBidi" w:cstheme="majorBidi"/>
        </w:rPr>
        <w:br w:type="page"/>
      </w:r>
    </w:p>
    <w:p w:rsidR="00B222B2" w:rsidRPr="00FA7AE7" w:rsidRDefault="00B222B2" w:rsidP="00B222B2">
      <w:pPr>
        <w:pStyle w:val="Heading1"/>
        <w:rPr>
          <w:rStyle w:val="Strong"/>
          <w:rFonts w:asciiTheme="majorBidi" w:hAnsiTheme="majorBidi"/>
        </w:rPr>
      </w:pPr>
      <w:r w:rsidRPr="00FA7AE7">
        <w:rPr>
          <w:rStyle w:val="Strong"/>
          <w:rFonts w:asciiTheme="majorBidi" w:hAnsiTheme="majorBidi"/>
        </w:rPr>
        <w:lastRenderedPageBreak/>
        <w:t xml:space="preserve">Appendix </w:t>
      </w:r>
      <w:r w:rsidR="0052261D" w:rsidRPr="00FA7AE7">
        <w:rPr>
          <w:rStyle w:val="Strong"/>
          <w:rFonts w:asciiTheme="majorBidi" w:hAnsiTheme="majorBidi"/>
        </w:rPr>
        <w:t>D</w:t>
      </w:r>
    </w:p>
    <w:p w:rsidR="00212A51" w:rsidRPr="00FA7AE7" w:rsidRDefault="00212A51" w:rsidP="00212A51">
      <w:pPr>
        <w:rPr>
          <w:rFonts w:asciiTheme="majorBidi" w:hAnsiTheme="majorBidi" w:cstheme="majorBidi"/>
        </w:rPr>
      </w:pPr>
    </w:p>
    <w:p w:rsidR="00212A51" w:rsidRPr="00FA7AE7" w:rsidRDefault="00212A51" w:rsidP="00212A51">
      <w:pPr>
        <w:pStyle w:val="ds-markdown-paragraph"/>
        <w:shd w:val="clear" w:color="auto" w:fill="FFFFFF"/>
        <w:spacing w:before="240" w:beforeAutospacing="0" w:after="240" w:afterAutospacing="0" w:line="360" w:lineRule="auto"/>
        <w:rPr>
          <w:rFonts w:asciiTheme="majorBidi" w:hAnsiTheme="majorBidi" w:cstheme="majorBidi"/>
        </w:rPr>
      </w:pPr>
      <w:r w:rsidRPr="00FA7AE7">
        <w:rPr>
          <w:rStyle w:val="Strong"/>
          <w:rFonts w:asciiTheme="majorBidi" w:eastAsiaTheme="majorEastAsia" w:hAnsiTheme="majorBidi" w:cstheme="majorBidi"/>
        </w:rPr>
        <w:t xml:space="preserve">Table </w:t>
      </w:r>
      <w:r w:rsidR="0052261D" w:rsidRPr="00FA7AE7">
        <w:rPr>
          <w:rStyle w:val="Strong"/>
          <w:rFonts w:asciiTheme="majorBidi" w:eastAsiaTheme="majorEastAsia" w:hAnsiTheme="majorBidi" w:cstheme="majorBidi"/>
        </w:rPr>
        <w:t>D</w:t>
      </w:r>
      <w:r w:rsidRPr="00FA7AE7">
        <w:rPr>
          <w:rStyle w:val="Strong"/>
          <w:rFonts w:asciiTheme="majorBidi" w:eastAsiaTheme="majorEastAsia" w:hAnsiTheme="majorBidi" w:cstheme="majorBidi"/>
        </w:rPr>
        <w:t xml:space="preserve">1. </w:t>
      </w:r>
      <w:r w:rsidRPr="00FA7AE7">
        <w:rPr>
          <w:rStyle w:val="Strong"/>
          <w:rFonts w:asciiTheme="majorBidi" w:eastAsiaTheme="majorEastAsia" w:hAnsiTheme="majorBidi" w:cstheme="majorBidi"/>
          <w:b w:val="0"/>
          <w:bCs w:val="0"/>
        </w:rPr>
        <w:t>Demographic Characteristics of Respondents (N = 267)</w:t>
      </w:r>
    </w:p>
    <w:tbl>
      <w:tblPr>
        <w:tblStyle w:val="PlainTable2"/>
        <w:tblW w:w="8781" w:type="dxa"/>
        <w:tblLook w:val="04A0" w:firstRow="1" w:lastRow="0" w:firstColumn="1" w:lastColumn="0" w:noHBand="0" w:noVBand="1"/>
      </w:tblPr>
      <w:tblGrid>
        <w:gridCol w:w="3180"/>
        <w:gridCol w:w="2027"/>
        <w:gridCol w:w="1760"/>
        <w:gridCol w:w="1814"/>
      </w:tblGrid>
      <w:tr w:rsidR="00212A51" w:rsidRPr="00FA7AE7" w:rsidTr="00020560">
        <w:trPr>
          <w:cnfStyle w:val="100000000000" w:firstRow="1" w:lastRow="0" w:firstColumn="0" w:lastColumn="0" w:oddVBand="0" w:evenVBand="0" w:oddHBand="0"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0" w:type="auto"/>
            <w:hideMark/>
          </w:tcPr>
          <w:p w:rsidR="00212A51" w:rsidRPr="00FA7AE7" w:rsidRDefault="00212A51" w:rsidP="00020560">
            <w:pPr>
              <w:spacing w:line="360" w:lineRule="auto"/>
              <w:rPr>
                <w:rFonts w:asciiTheme="majorBidi" w:hAnsiTheme="majorBidi" w:cstheme="majorBidi"/>
              </w:rPr>
            </w:pPr>
            <w:r w:rsidRPr="00FA7AE7">
              <w:rPr>
                <w:rFonts w:asciiTheme="majorBidi" w:hAnsiTheme="majorBidi" w:cstheme="majorBidi"/>
              </w:rPr>
              <w:t>Characteristic</w:t>
            </w:r>
          </w:p>
        </w:tc>
        <w:tc>
          <w:tcPr>
            <w:tcW w:w="0" w:type="auto"/>
            <w:hideMark/>
          </w:tcPr>
          <w:p w:rsidR="00212A51" w:rsidRPr="00FA7AE7" w:rsidRDefault="00212A51" w:rsidP="00020560">
            <w:pPr>
              <w:spacing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Category</w:t>
            </w:r>
          </w:p>
        </w:tc>
        <w:tc>
          <w:tcPr>
            <w:tcW w:w="0" w:type="auto"/>
            <w:hideMark/>
          </w:tcPr>
          <w:p w:rsidR="00212A51" w:rsidRPr="00FA7AE7" w:rsidRDefault="00212A51" w:rsidP="00020560">
            <w:pPr>
              <w:spacing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Frequency</w:t>
            </w:r>
          </w:p>
        </w:tc>
        <w:tc>
          <w:tcPr>
            <w:tcW w:w="0" w:type="auto"/>
            <w:hideMark/>
          </w:tcPr>
          <w:p w:rsidR="00212A51" w:rsidRPr="00FA7AE7" w:rsidRDefault="00212A51" w:rsidP="00020560">
            <w:pPr>
              <w:spacing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Percentage</w:t>
            </w:r>
          </w:p>
        </w:tc>
      </w:tr>
      <w:tr w:rsidR="00212A51" w:rsidRPr="00FA7AE7" w:rsidTr="00020560">
        <w:trPr>
          <w:cnfStyle w:val="000000100000" w:firstRow="0" w:lastRow="0" w:firstColumn="0" w:lastColumn="0" w:oddVBand="0" w:evenVBand="0" w:oddHBand="1"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0" w:type="auto"/>
            <w:hideMark/>
          </w:tcPr>
          <w:p w:rsidR="00212A51" w:rsidRPr="00FA7AE7" w:rsidRDefault="00212A51" w:rsidP="00020560">
            <w:pPr>
              <w:spacing w:line="360" w:lineRule="auto"/>
              <w:rPr>
                <w:rFonts w:asciiTheme="majorBidi" w:hAnsiTheme="majorBidi" w:cstheme="majorBidi"/>
              </w:rPr>
            </w:pPr>
            <w:r w:rsidRPr="00FA7AE7">
              <w:rPr>
                <w:rStyle w:val="Strong"/>
                <w:rFonts w:asciiTheme="majorBidi" w:hAnsiTheme="majorBidi" w:cstheme="majorBidi"/>
              </w:rPr>
              <w:t>Age</w:t>
            </w:r>
          </w:p>
        </w:tc>
        <w:tc>
          <w:tcPr>
            <w:tcW w:w="0" w:type="auto"/>
            <w:hideMark/>
          </w:tcPr>
          <w:p w:rsidR="00212A51" w:rsidRPr="00FA7AE7" w:rsidRDefault="00212A51"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&lt; 25 years</w:t>
            </w:r>
          </w:p>
        </w:tc>
        <w:tc>
          <w:tcPr>
            <w:tcW w:w="0" w:type="auto"/>
            <w:hideMark/>
          </w:tcPr>
          <w:p w:rsidR="00212A51" w:rsidRPr="00FA7AE7" w:rsidRDefault="00212A51"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80</w:t>
            </w:r>
          </w:p>
        </w:tc>
        <w:tc>
          <w:tcPr>
            <w:tcW w:w="0" w:type="auto"/>
            <w:hideMark/>
          </w:tcPr>
          <w:p w:rsidR="00212A51" w:rsidRPr="00FA7AE7" w:rsidRDefault="00212A51"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30.0%</w:t>
            </w:r>
          </w:p>
        </w:tc>
      </w:tr>
      <w:tr w:rsidR="00212A51" w:rsidRPr="00FA7AE7" w:rsidTr="00020560">
        <w:trPr>
          <w:trHeight w:val="365"/>
        </w:trPr>
        <w:tc>
          <w:tcPr>
            <w:cnfStyle w:val="001000000000" w:firstRow="0" w:lastRow="0" w:firstColumn="1" w:lastColumn="0" w:oddVBand="0" w:evenVBand="0" w:oddHBand="0" w:evenHBand="0" w:firstRowFirstColumn="0" w:firstRowLastColumn="0" w:lastRowFirstColumn="0" w:lastRowLastColumn="0"/>
            <w:tcW w:w="0" w:type="auto"/>
            <w:hideMark/>
          </w:tcPr>
          <w:p w:rsidR="00212A51" w:rsidRPr="00FA7AE7" w:rsidRDefault="00212A51" w:rsidP="00020560">
            <w:pPr>
              <w:spacing w:line="360" w:lineRule="auto"/>
              <w:rPr>
                <w:rFonts w:asciiTheme="majorBidi" w:hAnsiTheme="majorBidi" w:cstheme="majorBidi"/>
              </w:rPr>
            </w:pPr>
          </w:p>
        </w:tc>
        <w:tc>
          <w:tcPr>
            <w:tcW w:w="0" w:type="auto"/>
            <w:hideMark/>
          </w:tcPr>
          <w:p w:rsidR="00212A51" w:rsidRPr="00FA7AE7" w:rsidRDefault="00212A51"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26 – 30 years</w:t>
            </w:r>
          </w:p>
        </w:tc>
        <w:tc>
          <w:tcPr>
            <w:tcW w:w="0" w:type="auto"/>
            <w:hideMark/>
          </w:tcPr>
          <w:p w:rsidR="00212A51" w:rsidRPr="00FA7AE7" w:rsidRDefault="00212A51"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77</w:t>
            </w:r>
          </w:p>
        </w:tc>
        <w:tc>
          <w:tcPr>
            <w:tcW w:w="0" w:type="auto"/>
            <w:hideMark/>
          </w:tcPr>
          <w:p w:rsidR="00212A51" w:rsidRPr="00FA7AE7" w:rsidRDefault="00212A51"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28.8%</w:t>
            </w:r>
          </w:p>
        </w:tc>
      </w:tr>
      <w:tr w:rsidR="00212A51" w:rsidRPr="00FA7AE7" w:rsidTr="00020560">
        <w:trPr>
          <w:cnfStyle w:val="000000100000" w:firstRow="0" w:lastRow="0" w:firstColumn="0" w:lastColumn="0" w:oddVBand="0" w:evenVBand="0" w:oddHBand="1"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0" w:type="auto"/>
            <w:hideMark/>
          </w:tcPr>
          <w:p w:rsidR="00212A51" w:rsidRPr="00FA7AE7" w:rsidRDefault="00212A51" w:rsidP="00020560">
            <w:pPr>
              <w:spacing w:line="360" w:lineRule="auto"/>
              <w:rPr>
                <w:rFonts w:asciiTheme="majorBidi" w:hAnsiTheme="majorBidi" w:cstheme="majorBidi"/>
              </w:rPr>
            </w:pPr>
          </w:p>
        </w:tc>
        <w:tc>
          <w:tcPr>
            <w:tcW w:w="0" w:type="auto"/>
            <w:hideMark/>
          </w:tcPr>
          <w:p w:rsidR="00212A51" w:rsidRPr="00FA7AE7" w:rsidRDefault="00212A51"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31 – 35 years</w:t>
            </w:r>
          </w:p>
        </w:tc>
        <w:tc>
          <w:tcPr>
            <w:tcW w:w="0" w:type="auto"/>
            <w:hideMark/>
          </w:tcPr>
          <w:p w:rsidR="00212A51" w:rsidRPr="00FA7AE7" w:rsidRDefault="00212A51"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42</w:t>
            </w:r>
          </w:p>
        </w:tc>
        <w:tc>
          <w:tcPr>
            <w:tcW w:w="0" w:type="auto"/>
            <w:hideMark/>
          </w:tcPr>
          <w:p w:rsidR="00212A51" w:rsidRPr="00FA7AE7" w:rsidRDefault="00212A51"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15.7%</w:t>
            </w:r>
          </w:p>
        </w:tc>
      </w:tr>
      <w:tr w:rsidR="00212A51" w:rsidRPr="00FA7AE7" w:rsidTr="00020560">
        <w:trPr>
          <w:trHeight w:val="365"/>
        </w:trPr>
        <w:tc>
          <w:tcPr>
            <w:cnfStyle w:val="001000000000" w:firstRow="0" w:lastRow="0" w:firstColumn="1" w:lastColumn="0" w:oddVBand="0" w:evenVBand="0" w:oddHBand="0" w:evenHBand="0" w:firstRowFirstColumn="0" w:firstRowLastColumn="0" w:lastRowFirstColumn="0" w:lastRowLastColumn="0"/>
            <w:tcW w:w="0" w:type="auto"/>
            <w:hideMark/>
          </w:tcPr>
          <w:p w:rsidR="00212A51" w:rsidRPr="00FA7AE7" w:rsidRDefault="00212A51" w:rsidP="00020560">
            <w:pPr>
              <w:spacing w:line="360" w:lineRule="auto"/>
              <w:rPr>
                <w:rFonts w:asciiTheme="majorBidi" w:hAnsiTheme="majorBidi" w:cstheme="majorBidi"/>
              </w:rPr>
            </w:pPr>
          </w:p>
        </w:tc>
        <w:tc>
          <w:tcPr>
            <w:tcW w:w="0" w:type="auto"/>
            <w:hideMark/>
          </w:tcPr>
          <w:p w:rsidR="00212A51" w:rsidRPr="00FA7AE7" w:rsidRDefault="00212A51"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36 – 40 years</w:t>
            </w:r>
          </w:p>
        </w:tc>
        <w:tc>
          <w:tcPr>
            <w:tcW w:w="0" w:type="auto"/>
            <w:hideMark/>
          </w:tcPr>
          <w:p w:rsidR="00212A51" w:rsidRPr="00FA7AE7" w:rsidRDefault="00212A51"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31</w:t>
            </w:r>
          </w:p>
        </w:tc>
        <w:tc>
          <w:tcPr>
            <w:tcW w:w="0" w:type="auto"/>
            <w:hideMark/>
          </w:tcPr>
          <w:p w:rsidR="00212A51" w:rsidRPr="00FA7AE7" w:rsidRDefault="00212A51"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11.6%</w:t>
            </w:r>
          </w:p>
        </w:tc>
      </w:tr>
      <w:tr w:rsidR="00212A51" w:rsidRPr="00FA7AE7" w:rsidTr="00020560">
        <w:trPr>
          <w:cnfStyle w:val="000000100000" w:firstRow="0" w:lastRow="0" w:firstColumn="0" w:lastColumn="0" w:oddVBand="0" w:evenVBand="0" w:oddHBand="1"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0" w:type="auto"/>
            <w:hideMark/>
          </w:tcPr>
          <w:p w:rsidR="00212A51" w:rsidRPr="00FA7AE7" w:rsidRDefault="00212A51" w:rsidP="00020560">
            <w:pPr>
              <w:spacing w:line="360" w:lineRule="auto"/>
              <w:rPr>
                <w:rFonts w:asciiTheme="majorBidi" w:hAnsiTheme="majorBidi" w:cstheme="majorBidi"/>
              </w:rPr>
            </w:pPr>
          </w:p>
        </w:tc>
        <w:tc>
          <w:tcPr>
            <w:tcW w:w="0" w:type="auto"/>
            <w:hideMark/>
          </w:tcPr>
          <w:p w:rsidR="00212A51" w:rsidRPr="00FA7AE7" w:rsidRDefault="00212A51"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41 – 45 years</w:t>
            </w:r>
          </w:p>
        </w:tc>
        <w:tc>
          <w:tcPr>
            <w:tcW w:w="0" w:type="auto"/>
            <w:hideMark/>
          </w:tcPr>
          <w:p w:rsidR="00212A51" w:rsidRPr="00FA7AE7" w:rsidRDefault="00212A51"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23</w:t>
            </w:r>
          </w:p>
        </w:tc>
        <w:tc>
          <w:tcPr>
            <w:tcW w:w="0" w:type="auto"/>
            <w:hideMark/>
          </w:tcPr>
          <w:p w:rsidR="00212A51" w:rsidRPr="00FA7AE7" w:rsidRDefault="00212A51"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8.6%</w:t>
            </w:r>
          </w:p>
        </w:tc>
      </w:tr>
      <w:tr w:rsidR="00212A51" w:rsidRPr="00FA7AE7" w:rsidTr="00020560">
        <w:trPr>
          <w:trHeight w:val="365"/>
        </w:trPr>
        <w:tc>
          <w:tcPr>
            <w:cnfStyle w:val="001000000000" w:firstRow="0" w:lastRow="0" w:firstColumn="1" w:lastColumn="0" w:oddVBand="0" w:evenVBand="0" w:oddHBand="0" w:evenHBand="0" w:firstRowFirstColumn="0" w:firstRowLastColumn="0" w:lastRowFirstColumn="0" w:lastRowLastColumn="0"/>
            <w:tcW w:w="0" w:type="auto"/>
            <w:hideMark/>
          </w:tcPr>
          <w:p w:rsidR="00212A51" w:rsidRPr="00FA7AE7" w:rsidRDefault="00212A51" w:rsidP="00020560">
            <w:pPr>
              <w:spacing w:line="360" w:lineRule="auto"/>
              <w:rPr>
                <w:rFonts w:asciiTheme="majorBidi" w:hAnsiTheme="majorBidi" w:cstheme="majorBidi"/>
              </w:rPr>
            </w:pPr>
          </w:p>
        </w:tc>
        <w:tc>
          <w:tcPr>
            <w:tcW w:w="0" w:type="auto"/>
            <w:hideMark/>
          </w:tcPr>
          <w:p w:rsidR="00212A51" w:rsidRPr="00FA7AE7" w:rsidRDefault="00212A51"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&gt; 45 years</w:t>
            </w:r>
          </w:p>
        </w:tc>
        <w:tc>
          <w:tcPr>
            <w:tcW w:w="0" w:type="auto"/>
            <w:hideMark/>
          </w:tcPr>
          <w:p w:rsidR="00212A51" w:rsidRPr="00FA7AE7" w:rsidRDefault="00212A51"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14</w:t>
            </w:r>
          </w:p>
        </w:tc>
        <w:tc>
          <w:tcPr>
            <w:tcW w:w="0" w:type="auto"/>
            <w:hideMark/>
          </w:tcPr>
          <w:p w:rsidR="00212A51" w:rsidRPr="00FA7AE7" w:rsidRDefault="00212A51"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5.2%</w:t>
            </w:r>
          </w:p>
        </w:tc>
      </w:tr>
      <w:tr w:rsidR="00212A51" w:rsidRPr="00FA7AE7" w:rsidTr="00020560">
        <w:trPr>
          <w:cnfStyle w:val="000000100000" w:firstRow="0" w:lastRow="0" w:firstColumn="0" w:lastColumn="0" w:oddVBand="0" w:evenVBand="0" w:oddHBand="1"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0" w:type="auto"/>
            <w:hideMark/>
          </w:tcPr>
          <w:p w:rsidR="00212A51" w:rsidRPr="00FA7AE7" w:rsidRDefault="00212A51" w:rsidP="00020560">
            <w:pPr>
              <w:spacing w:line="360" w:lineRule="auto"/>
              <w:rPr>
                <w:rFonts w:asciiTheme="majorBidi" w:hAnsiTheme="majorBidi" w:cstheme="majorBidi"/>
              </w:rPr>
            </w:pPr>
            <w:r w:rsidRPr="00FA7AE7">
              <w:rPr>
                <w:rStyle w:val="Strong"/>
                <w:rFonts w:asciiTheme="majorBidi" w:hAnsiTheme="majorBidi" w:cstheme="majorBidi"/>
              </w:rPr>
              <w:t>Organizational Tenure</w:t>
            </w:r>
          </w:p>
        </w:tc>
        <w:tc>
          <w:tcPr>
            <w:tcW w:w="0" w:type="auto"/>
            <w:hideMark/>
          </w:tcPr>
          <w:p w:rsidR="00212A51" w:rsidRPr="00FA7AE7" w:rsidRDefault="00212A51"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&lt; 5 years</w:t>
            </w:r>
          </w:p>
        </w:tc>
        <w:tc>
          <w:tcPr>
            <w:tcW w:w="0" w:type="auto"/>
            <w:hideMark/>
          </w:tcPr>
          <w:p w:rsidR="00212A51" w:rsidRPr="00FA7AE7" w:rsidRDefault="00212A51"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82</w:t>
            </w:r>
          </w:p>
        </w:tc>
        <w:tc>
          <w:tcPr>
            <w:tcW w:w="0" w:type="auto"/>
            <w:hideMark/>
          </w:tcPr>
          <w:p w:rsidR="00212A51" w:rsidRPr="00FA7AE7" w:rsidRDefault="00212A51"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30.7%</w:t>
            </w:r>
          </w:p>
        </w:tc>
      </w:tr>
      <w:tr w:rsidR="00212A51" w:rsidRPr="00FA7AE7" w:rsidTr="00020560">
        <w:trPr>
          <w:trHeight w:val="365"/>
        </w:trPr>
        <w:tc>
          <w:tcPr>
            <w:cnfStyle w:val="001000000000" w:firstRow="0" w:lastRow="0" w:firstColumn="1" w:lastColumn="0" w:oddVBand="0" w:evenVBand="0" w:oddHBand="0" w:evenHBand="0" w:firstRowFirstColumn="0" w:firstRowLastColumn="0" w:lastRowFirstColumn="0" w:lastRowLastColumn="0"/>
            <w:tcW w:w="0" w:type="auto"/>
            <w:hideMark/>
          </w:tcPr>
          <w:p w:rsidR="00212A51" w:rsidRPr="00FA7AE7" w:rsidRDefault="00212A51" w:rsidP="00020560">
            <w:pPr>
              <w:spacing w:line="360" w:lineRule="auto"/>
              <w:rPr>
                <w:rFonts w:asciiTheme="majorBidi" w:hAnsiTheme="majorBidi" w:cstheme="majorBidi"/>
              </w:rPr>
            </w:pPr>
          </w:p>
        </w:tc>
        <w:tc>
          <w:tcPr>
            <w:tcW w:w="0" w:type="auto"/>
            <w:hideMark/>
          </w:tcPr>
          <w:p w:rsidR="00212A51" w:rsidRPr="00FA7AE7" w:rsidRDefault="00212A51"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6 – 10 years</w:t>
            </w:r>
          </w:p>
        </w:tc>
        <w:tc>
          <w:tcPr>
            <w:tcW w:w="0" w:type="auto"/>
            <w:hideMark/>
          </w:tcPr>
          <w:p w:rsidR="00212A51" w:rsidRPr="00FA7AE7" w:rsidRDefault="00212A51"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103</w:t>
            </w:r>
          </w:p>
        </w:tc>
        <w:tc>
          <w:tcPr>
            <w:tcW w:w="0" w:type="auto"/>
            <w:hideMark/>
          </w:tcPr>
          <w:p w:rsidR="00212A51" w:rsidRPr="00FA7AE7" w:rsidRDefault="00212A51"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38.6%</w:t>
            </w:r>
          </w:p>
        </w:tc>
      </w:tr>
      <w:tr w:rsidR="00212A51" w:rsidRPr="00FA7AE7" w:rsidTr="00020560">
        <w:trPr>
          <w:cnfStyle w:val="000000100000" w:firstRow="0" w:lastRow="0" w:firstColumn="0" w:lastColumn="0" w:oddVBand="0" w:evenVBand="0" w:oddHBand="1"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0" w:type="auto"/>
            <w:hideMark/>
          </w:tcPr>
          <w:p w:rsidR="00212A51" w:rsidRPr="00FA7AE7" w:rsidRDefault="00212A51" w:rsidP="00020560">
            <w:pPr>
              <w:spacing w:line="360" w:lineRule="auto"/>
              <w:rPr>
                <w:rFonts w:asciiTheme="majorBidi" w:hAnsiTheme="majorBidi" w:cstheme="majorBidi"/>
              </w:rPr>
            </w:pPr>
          </w:p>
        </w:tc>
        <w:tc>
          <w:tcPr>
            <w:tcW w:w="0" w:type="auto"/>
            <w:hideMark/>
          </w:tcPr>
          <w:p w:rsidR="00212A51" w:rsidRPr="00FA7AE7" w:rsidRDefault="00212A51"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11 – 15 years</w:t>
            </w:r>
          </w:p>
        </w:tc>
        <w:tc>
          <w:tcPr>
            <w:tcW w:w="0" w:type="auto"/>
            <w:hideMark/>
          </w:tcPr>
          <w:p w:rsidR="00212A51" w:rsidRPr="00FA7AE7" w:rsidRDefault="00212A51"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63</w:t>
            </w:r>
          </w:p>
        </w:tc>
        <w:tc>
          <w:tcPr>
            <w:tcW w:w="0" w:type="auto"/>
            <w:hideMark/>
          </w:tcPr>
          <w:p w:rsidR="00212A51" w:rsidRPr="00FA7AE7" w:rsidRDefault="00212A51"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23.6%</w:t>
            </w:r>
          </w:p>
        </w:tc>
      </w:tr>
      <w:tr w:rsidR="00212A51" w:rsidRPr="00FA7AE7" w:rsidTr="00020560">
        <w:trPr>
          <w:trHeight w:val="365"/>
        </w:trPr>
        <w:tc>
          <w:tcPr>
            <w:cnfStyle w:val="001000000000" w:firstRow="0" w:lastRow="0" w:firstColumn="1" w:lastColumn="0" w:oddVBand="0" w:evenVBand="0" w:oddHBand="0" w:evenHBand="0" w:firstRowFirstColumn="0" w:firstRowLastColumn="0" w:lastRowFirstColumn="0" w:lastRowLastColumn="0"/>
            <w:tcW w:w="0" w:type="auto"/>
            <w:hideMark/>
          </w:tcPr>
          <w:p w:rsidR="00212A51" w:rsidRPr="00FA7AE7" w:rsidRDefault="00212A51" w:rsidP="00020560">
            <w:pPr>
              <w:spacing w:line="360" w:lineRule="auto"/>
              <w:rPr>
                <w:rFonts w:asciiTheme="majorBidi" w:hAnsiTheme="majorBidi" w:cstheme="majorBidi"/>
              </w:rPr>
            </w:pPr>
          </w:p>
        </w:tc>
        <w:tc>
          <w:tcPr>
            <w:tcW w:w="0" w:type="auto"/>
            <w:hideMark/>
          </w:tcPr>
          <w:p w:rsidR="00212A51" w:rsidRPr="00FA7AE7" w:rsidRDefault="00212A51"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16 – 20 years</w:t>
            </w:r>
          </w:p>
        </w:tc>
        <w:tc>
          <w:tcPr>
            <w:tcW w:w="0" w:type="auto"/>
            <w:hideMark/>
          </w:tcPr>
          <w:p w:rsidR="00212A51" w:rsidRPr="00FA7AE7" w:rsidRDefault="00212A51"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13</w:t>
            </w:r>
          </w:p>
        </w:tc>
        <w:tc>
          <w:tcPr>
            <w:tcW w:w="0" w:type="auto"/>
            <w:hideMark/>
          </w:tcPr>
          <w:p w:rsidR="00212A51" w:rsidRPr="00FA7AE7" w:rsidRDefault="00212A51"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4.9%</w:t>
            </w:r>
          </w:p>
        </w:tc>
      </w:tr>
      <w:tr w:rsidR="00212A51" w:rsidRPr="00FA7AE7" w:rsidTr="00020560">
        <w:trPr>
          <w:cnfStyle w:val="000000100000" w:firstRow="0" w:lastRow="0" w:firstColumn="0" w:lastColumn="0" w:oddVBand="0" w:evenVBand="0" w:oddHBand="1"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0" w:type="auto"/>
            <w:hideMark/>
          </w:tcPr>
          <w:p w:rsidR="00212A51" w:rsidRPr="00FA7AE7" w:rsidRDefault="00212A51" w:rsidP="00020560">
            <w:pPr>
              <w:spacing w:line="360" w:lineRule="auto"/>
              <w:rPr>
                <w:rFonts w:asciiTheme="majorBidi" w:hAnsiTheme="majorBidi" w:cstheme="majorBidi"/>
              </w:rPr>
            </w:pPr>
          </w:p>
        </w:tc>
        <w:tc>
          <w:tcPr>
            <w:tcW w:w="0" w:type="auto"/>
            <w:hideMark/>
          </w:tcPr>
          <w:p w:rsidR="00212A51" w:rsidRPr="00FA7AE7" w:rsidRDefault="00212A51"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&gt; 20 years</w:t>
            </w:r>
          </w:p>
        </w:tc>
        <w:tc>
          <w:tcPr>
            <w:tcW w:w="0" w:type="auto"/>
            <w:hideMark/>
          </w:tcPr>
          <w:p w:rsidR="00212A51" w:rsidRPr="00FA7AE7" w:rsidRDefault="00212A51"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6</w:t>
            </w:r>
          </w:p>
        </w:tc>
        <w:tc>
          <w:tcPr>
            <w:tcW w:w="0" w:type="auto"/>
            <w:hideMark/>
          </w:tcPr>
          <w:p w:rsidR="00212A51" w:rsidRPr="00FA7AE7" w:rsidRDefault="00212A51"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2.2%</w:t>
            </w:r>
          </w:p>
        </w:tc>
      </w:tr>
    </w:tbl>
    <w:p w:rsidR="00212A51" w:rsidRPr="00FA7AE7" w:rsidRDefault="00212A51" w:rsidP="00212A51">
      <w:pPr>
        <w:rPr>
          <w:rFonts w:asciiTheme="majorBidi" w:hAnsiTheme="majorBidi" w:cstheme="majorBidi"/>
        </w:rPr>
      </w:pPr>
    </w:p>
    <w:p w:rsidR="00B222B2" w:rsidRPr="00FA7AE7" w:rsidRDefault="00B222B2" w:rsidP="00B222B2">
      <w:pPr>
        <w:pStyle w:val="ds-markdown-paragraph"/>
        <w:shd w:val="clear" w:color="auto" w:fill="FFFFFF"/>
        <w:spacing w:before="240" w:beforeAutospacing="0" w:after="240" w:afterAutospacing="0" w:line="360" w:lineRule="auto"/>
        <w:rPr>
          <w:rFonts w:asciiTheme="majorBidi" w:hAnsiTheme="majorBidi" w:cstheme="majorBidi"/>
        </w:rPr>
      </w:pPr>
      <w:r w:rsidRPr="00FA7AE7">
        <w:rPr>
          <w:rStyle w:val="Strong"/>
          <w:rFonts w:asciiTheme="majorBidi" w:eastAsiaTheme="majorEastAsia" w:hAnsiTheme="majorBidi" w:cstheme="majorBidi"/>
        </w:rPr>
        <w:t xml:space="preserve">Table </w:t>
      </w:r>
      <w:r w:rsidR="0052261D" w:rsidRPr="00FA7AE7">
        <w:rPr>
          <w:rStyle w:val="Strong"/>
          <w:rFonts w:asciiTheme="majorBidi" w:eastAsiaTheme="majorEastAsia" w:hAnsiTheme="majorBidi" w:cstheme="majorBidi"/>
        </w:rPr>
        <w:t>D</w:t>
      </w:r>
      <w:r w:rsidR="00212A51" w:rsidRPr="00FA7AE7">
        <w:rPr>
          <w:rStyle w:val="Strong"/>
          <w:rFonts w:asciiTheme="majorBidi" w:eastAsiaTheme="majorEastAsia" w:hAnsiTheme="majorBidi" w:cstheme="majorBidi"/>
        </w:rPr>
        <w:t>2</w:t>
      </w:r>
      <w:r w:rsidRPr="00FA7AE7">
        <w:rPr>
          <w:rStyle w:val="Strong"/>
          <w:rFonts w:asciiTheme="majorBidi" w:eastAsiaTheme="majorEastAsia" w:hAnsiTheme="majorBidi" w:cstheme="majorBidi"/>
        </w:rPr>
        <w:t>. Convergent Validity and Reliability of the Measurement Model</w:t>
      </w:r>
    </w:p>
    <w:tbl>
      <w:tblPr>
        <w:tblStyle w:val="PlainTable2"/>
        <w:tblW w:w="8374" w:type="dxa"/>
        <w:tblLook w:val="04A0" w:firstRow="1" w:lastRow="0" w:firstColumn="1" w:lastColumn="0" w:noHBand="0" w:noVBand="1"/>
      </w:tblPr>
      <w:tblGrid>
        <w:gridCol w:w="4344"/>
        <w:gridCol w:w="1011"/>
        <w:gridCol w:w="1347"/>
        <w:gridCol w:w="801"/>
        <w:gridCol w:w="871"/>
      </w:tblGrid>
      <w:tr w:rsidR="00B222B2" w:rsidRPr="00FA7AE7" w:rsidTr="00020560">
        <w:trPr>
          <w:cnfStyle w:val="100000000000" w:firstRow="1" w:lastRow="0" w:firstColumn="0" w:lastColumn="0" w:oddVBand="0" w:evenVBand="0" w:oddHBand="0" w:evenHBand="0" w:firstRowFirstColumn="0" w:firstRowLastColumn="0" w:lastRowFirstColumn="0" w:lastRowLastColumn="0"/>
          <w:trHeight w:val="381"/>
        </w:trPr>
        <w:tc>
          <w:tcPr>
            <w:cnfStyle w:val="001000000000" w:firstRow="0" w:lastRow="0" w:firstColumn="1" w:lastColumn="0" w:oddVBand="0" w:evenVBand="0" w:oddHBand="0" w:evenHBand="0" w:firstRowFirstColumn="0" w:firstRowLastColumn="0" w:lastRowFirstColumn="0" w:lastRowLastColumn="0"/>
            <w:tcW w:w="0" w:type="auto"/>
            <w:hideMark/>
          </w:tcPr>
          <w:p w:rsidR="00B222B2" w:rsidRPr="00FA7AE7" w:rsidRDefault="00B222B2" w:rsidP="00020560">
            <w:pPr>
              <w:spacing w:line="360" w:lineRule="auto"/>
              <w:rPr>
                <w:rFonts w:asciiTheme="majorBidi" w:hAnsiTheme="majorBidi" w:cstheme="majorBidi"/>
              </w:rPr>
            </w:pPr>
            <w:r w:rsidRPr="00FA7AE7">
              <w:rPr>
                <w:rFonts w:asciiTheme="majorBidi" w:hAnsiTheme="majorBidi" w:cstheme="majorBidi"/>
              </w:rPr>
              <w:t>Construct</w:t>
            </w:r>
          </w:p>
        </w:tc>
        <w:tc>
          <w:tcPr>
            <w:tcW w:w="0" w:type="auto"/>
            <w:hideMark/>
          </w:tcPr>
          <w:p w:rsidR="00B222B2" w:rsidRPr="00FA7AE7" w:rsidRDefault="00B222B2" w:rsidP="00020560">
            <w:pPr>
              <w:spacing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Item</w:t>
            </w:r>
          </w:p>
        </w:tc>
        <w:tc>
          <w:tcPr>
            <w:tcW w:w="0" w:type="auto"/>
            <w:hideMark/>
          </w:tcPr>
          <w:p w:rsidR="00B222B2" w:rsidRPr="00FA7AE7" w:rsidRDefault="00B222B2" w:rsidP="00020560">
            <w:pPr>
              <w:spacing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Loading</w:t>
            </w:r>
          </w:p>
        </w:tc>
        <w:tc>
          <w:tcPr>
            <w:tcW w:w="0" w:type="auto"/>
            <w:hideMark/>
          </w:tcPr>
          <w:p w:rsidR="00B222B2" w:rsidRPr="00FA7AE7" w:rsidRDefault="00B222B2" w:rsidP="00020560">
            <w:pPr>
              <w:spacing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CR</w:t>
            </w:r>
          </w:p>
        </w:tc>
        <w:tc>
          <w:tcPr>
            <w:tcW w:w="0" w:type="auto"/>
            <w:hideMark/>
          </w:tcPr>
          <w:p w:rsidR="00B222B2" w:rsidRPr="00FA7AE7" w:rsidRDefault="00B222B2" w:rsidP="00020560">
            <w:pPr>
              <w:spacing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AVE</w:t>
            </w:r>
          </w:p>
        </w:tc>
      </w:tr>
      <w:tr w:rsidR="00B222B2" w:rsidRPr="00FA7AE7" w:rsidTr="00020560">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0" w:type="auto"/>
            <w:hideMark/>
          </w:tcPr>
          <w:p w:rsidR="00B222B2" w:rsidRPr="00FA7AE7" w:rsidRDefault="00B222B2" w:rsidP="00020560">
            <w:pPr>
              <w:spacing w:line="360" w:lineRule="auto"/>
              <w:rPr>
                <w:rFonts w:asciiTheme="majorBidi" w:hAnsiTheme="majorBidi" w:cstheme="majorBidi"/>
              </w:rPr>
            </w:pPr>
            <w:r w:rsidRPr="00FA7AE7">
              <w:rPr>
                <w:rStyle w:val="Strong"/>
                <w:rFonts w:asciiTheme="majorBidi" w:hAnsiTheme="majorBidi" w:cstheme="majorBidi"/>
              </w:rPr>
              <w:t>Innovative Work Behavior (IWB)</w:t>
            </w:r>
          </w:p>
        </w:tc>
        <w:tc>
          <w:tcPr>
            <w:tcW w:w="0" w:type="auto"/>
            <w:hideMark/>
          </w:tcPr>
          <w:p w:rsidR="00B222B2" w:rsidRPr="00FA7AE7" w:rsidRDefault="00B222B2"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IWB1</w:t>
            </w:r>
          </w:p>
        </w:tc>
        <w:tc>
          <w:tcPr>
            <w:tcW w:w="0" w:type="auto"/>
            <w:hideMark/>
          </w:tcPr>
          <w:p w:rsidR="00B222B2" w:rsidRPr="00FA7AE7" w:rsidRDefault="00B222B2"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.82</w:t>
            </w:r>
          </w:p>
        </w:tc>
        <w:tc>
          <w:tcPr>
            <w:tcW w:w="0" w:type="auto"/>
            <w:hideMark/>
          </w:tcPr>
          <w:p w:rsidR="00B222B2" w:rsidRPr="00FA7AE7" w:rsidRDefault="00B222B2"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.888</w:t>
            </w:r>
          </w:p>
        </w:tc>
        <w:tc>
          <w:tcPr>
            <w:tcW w:w="0" w:type="auto"/>
            <w:hideMark/>
          </w:tcPr>
          <w:p w:rsidR="00B222B2" w:rsidRPr="00FA7AE7" w:rsidRDefault="00B222B2"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.666</w:t>
            </w:r>
          </w:p>
        </w:tc>
      </w:tr>
      <w:tr w:rsidR="00B222B2" w:rsidRPr="00FA7AE7" w:rsidTr="00020560">
        <w:trPr>
          <w:trHeight w:val="381"/>
        </w:trPr>
        <w:tc>
          <w:tcPr>
            <w:cnfStyle w:val="001000000000" w:firstRow="0" w:lastRow="0" w:firstColumn="1" w:lastColumn="0" w:oddVBand="0" w:evenVBand="0" w:oddHBand="0" w:evenHBand="0" w:firstRowFirstColumn="0" w:firstRowLastColumn="0" w:lastRowFirstColumn="0" w:lastRowLastColumn="0"/>
            <w:tcW w:w="0" w:type="auto"/>
            <w:hideMark/>
          </w:tcPr>
          <w:p w:rsidR="00B222B2" w:rsidRPr="00FA7AE7" w:rsidRDefault="00B222B2" w:rsidP="00020560">
            <w:pPr>
              <w:spacing w:line="360" w:lineRule="auto"/>
              <w:rPr>
                <w:rFonts w:asciiTheme="majorBidi" w:hAnsiTheme="majorBidi" w:cstheme="majorBidi"/>
              </w:rPr>
            </w:pPr>
          </w:p>
        </w:tc>
        <w:tc>
          <w:tcPr>
            <w:tcW w:w="0" w:type="auto"/>
            <w:hideMark/>
          </w:tcPr>
          <w:p w:rsidR="00B222B2" w:rsidRPr="00FA7AE7" w:rsidRDefault="00B222B2"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IWB2</w:t>
            </w:r>
          </w:p>
        </w:tc>
        <w:tc>
          <w:tcPr>
            <w:tcW w:w="0" w:type="auto"/>
            <w:hideMark/>
          </w:tcPr>
          <w:p w:rsidR="00B222B2" w:rsidRPr="00FA7AE7" w:rsidRDefault="00B222B2"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.88</w:t>
            </w:r>
          </w:p>
        </w:tc>
        <w:tc>
          <w:tcPr>
            <w:tcW w:w="0" w:type="auto"/>
            <w:hideMark/>
          </w:tcPr>
          <w:p w:rsidR="00B222B2" w:rsidRPr="00FA7AE7" w:rsidRDefault="00B222B2"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0" w:type="auto"/>
            <w:hideMark/>
          </w:tcPr>
          <w:p w:rsidR="00B222B2" w:rsidRPr="00FA7AE7" w:rsidRDefault="00B222B2"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r>
      <w:tr w:rsidR="00B222B2" w:rsidRPr="00FA7AE7" w:rsidTr="00020560">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0" w:type="auto"/>
            <w:hideMark/>
          </w:tcPr>
          <w:p w:rsidR="00B222B2" w:rsidRPr="00FA7AE7" w:rsidRDefault="00B222B2" w:rsidP="00020560">
            <w:pPr>
              <w:spacing w:line="360" w:lineRule="auto"/>
              <w:rPr>
                <w:rFonts w:asciiTheme="majorBidi" w:hAnsiTheme="majorBidi" w:cstheme="majorBidi"/>
              </w:rPr>
            </w:pPr>
          </w:p>
        </w:tc>
        <w:tc>
          <w:tcPr>
            <w:tcW w:w="0" w:type="auto"/>
            <w:hideMark/>
          </w:tcPr>
          <w:p w:rsidR="00B222B2" w:rsidRPr="00FA7AE7" w:rsidRDefault="00B222B2"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IWB3</w:t>
            </w:r>
          </w:p>
        </w:tc>
        <w:tc>
          <w:tcPr>
            <w:tcW w:w="0" w:type="auto"/>
            <w:hideMark/>
          </w:tcPr>
          <w:p w:rsidR="00B222B2" w:rsidRPr="00FA7AE7" w:rsidRDefault="00B222B2"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.79</w:t>
            </w:r>
          </w:p>
        </w:tc>
        <w:tc>
          <w:tcPr>
            <w:tcW w:w="0" w:type="auto"/>
            <w:hideMark/>
          </w:tcPr>
          <w:p w:rsidR="00B222B2" w:rsidRPr="00FA7AE7" w:rsidRDefault="00B222B2"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0" w:type="auto"/>
            <w:hideMark/>
          </w:tcPr>
          <w:p w:rsidR="00B222B2" w:rsidRPr="00FA7AE7" w:rsidRDefault="00B222B2"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r>
      <w:tr w:rsidR="00B222B2" w:rsidRPr="00FA7AE7" w:rsidTr="00020560">
        <w:trPr>
          <w:trHeight w:val="381"/>
        </w:trPr>
        <w:tc>
          <w:tcPr>
            <w:cnfStyle w:val="001000000000" w:firstRow="0" w:lastRow="0" w:firstColumn="1" w:lastColumn="0" w:oddVBand="0" w:evenVBand="0" w:oddHBand="0" w:evenHBand="0" w:firstRowFirstColumn="0" w:firstRowLastColumn="0" w:lastRowFirstColumn="0" w:lastRowLastColumn="0"/>
            <w:tcW w:w="0" w:type="auto"/>
            <w:hideMark/>
          </w:tcPr>
          <w:p w:rsidR="00B222B2" w:rsidRPr="00FA7AE7" w:rsidRDefault="00B222B2" w:rsidP="00020560">
            <w:pPr>
              <w:spacing w:line="360" w:lineRule="auto"/>
              <w:rPr>
                <w:rFonts w:asciiTheme="majorBidi" w:hAnsiTheme="majorBidi" w:cstheme="majorBidi"/>
              </w:rPr>
            </w:pPr>
          </w:p>
        </w:tc>
        <w:tc>
          <w:tcPr>
            <w:tcW w:w="0" w:type="auto"/>
            <w:hideMark/>
          </w:tcPr>
          <w:p w:rsidR="00B222B2" w:rsidRPr="00FA7AE7" w:rsidRDefault="00B222B2"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IWB4</w:t>
            </w:r>
          </w:p>
        </w:tc>
        <w:tc>
          <w:tcPr>
            <w:tcW w:w="0" w:type="auto"/>
            <w:hideMark/>
          </w:tcPr>
          <w:p w:rsidR="00B222B2" w:rsidRPr="00FA7AE7" w:rsidRDefault="00B222B2"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.78</w:t>
            </w:r>
          </w:p>
        </w:tc>
        <w:tc>
          <w:tcPr>
            <w:tcW w:w="0" w:type="auto"/>
            <w:hideMark/>
          </w:tcPr>
          <w:p w:rsidR="00B222B2" w:rsidRPr="00FA7AE7" w:rsidRDefault="00B222B2"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0" w:type="auto"/>
            <w:hideMark/>
          </w:tcPr>
          <w:p w:rsidR="00B222B2" w:rsidRPr="00FA7AE7" w:rsidRDefault="00B222B2"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r>
      <w:tr w:rsidR="00B222B2" w:rsidRPr="00FA7AE7" w:rsidTr="00020560">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0" w:type="auto"/>
            <w:hideMark/>
          </w:tcPr>
          <w:p w:rsidR="00B222B2" w:rsidRPr="00FA7AE7" w:rsidRDefault="00B222B2" w:rsidP="00020560">
            <w:pPr>
              <w:spacing w:line="360" w:lineRule="auto"/>
              <w:rPr>
                <w:rFonts w:asciiTheme="majorBidi" w:hAnsiTheme="majorBidi" w:cstheme="majorBidi"/>
              </w:rPr>
            </w:pPr>
            <w:r w:rsidRPr="00FA7AE7">
              <w:rPr>
                <w:rStyle w:val="Strong"/>
                <w:rFonts w:asciiTheme="majorBidi" w:hAnsiTheme="majorBidi" w:cstheme="majorBidi"/>
              </w:rPr>
              <w:t>Knowledge Sharing (KS)</w:t>
            </w:r>
          </w:p>
        </w:tc>
        <w:tc>
          <w:tcPr>
            <w:tcW w:w="0" w:type="auto"/>
            <w:hideMark/>
          </w:tcPr>
          <w:p w:rsidR="00B222B2" w:rsidRPr="00FA7AE7" w:rsidRDefault="00B222B2"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KS1</w:t>
            </w:r>
          </w:p>
        </w:tc>
        <w:tc>
          <w:tcPr>
            <w:tcW w:w="0" w:type="auto"/>
            <w:hideMark/>
          </w:tcPr>
          <w:p w:rsidR="00B222B2" w:rsidRPr="00FA7AE7" w:rsidRDefault="00B222B2"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.84</w:t>
            </w:r>
          </w:p>
        </w:tc>
        <w:tc>
          <w:tcPr>
            <w:tcW w:w="0" w:type="auto"/>
            <w:hideMark/>
          </w:tcPr>
          <w:p w:rsidR="00B222B2" w:rsidRPr="00FA7AE7" w:rsidRDefault="00B222B2"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.833</w:t>
            </w:r>
          </w:p>
        </w:tc>
        <w:tc>
          <w:tcPr>
            <w:tcW w:w="0" w:type="auto"/>
            <w:hideMark/>
          </w:tcPr>
          <w:p w:rsidR="00B222B2" w:rsidRPr="00FA7AE7" w:rsidRDefault="00B222B2"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.713</w:t>
            </w:r>
          </w:p>
        </w:tc>
      </w:tr>
      <w:tr w:rsidR="00B222B2" w:rsidRPr="00FA7AE7" w:rsidTr="00020560">
        <w:trPr>
          <w:trHeight w:val="381"/>
        </w:trPr>
        <w:tc>
          <w:tcPr>
            <w:cnfStyle w:val="001000000000" w:firstRow="0" w:lastRow="0" w:firstColumn="1" w:lastColumn="0" w:oddVBand="0" w:evenVBand="0" w:oddHBand="0" w:evenHBand="0" w:firstRowFirstColumn="0" w:firstRowLastColumn="0" w:lastRowFirstColumn="0" w:lastRowLastColumn="0"/>
            <w:tcW w:w="0" w:type="auto"/>
            <w:hideMark/>
          </w:tcPr>
          <w:p w:rsidR="00B222B2" w:rsidRPr="00FA7AE7" w:rsidRDefault="00B222B2" w:rsidP="00020560">
            <w:pPr>
              <w:spacing w:line="360" w:lineRule="auto"/>
              <w:rPr>
                <w:rFonts w:asciiTheme="majorBidi" w:hAnsiTheme="majorBidi" w:cstheme="majorBidi"/>
              </w:rPr>
            </w:pPr>
          </w:p>
        </w:tc>
        <w:tc>
          <w:tcPr>
            <w:tcW w:w="0" w:type="auto"/>
            <w:hideMark/>
          </w:tcPr>
          <w:p w:rsidR="00B222B2" w:rsidRPr="00FA7AE7" w:rsidRDefault="00B222B2"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KS2</w:t>
            </w:r>
          </w:p>
        </w:tc>
        <w:tc>
          <w:tcPr>
            <w:tcW w:w="0" w:type="auto"/>
            <w:hideMark/>
          </w:tcPr>
          <w:p w:rsidR="00B222B2" w:rsidRPr="00FA7AE7" w:rsidRDefault="00B222B2"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.85</w:t>
            </w:r>
          </w:p>
        </w:tc>
        <w:tc>
          <w:tcPr>
            <w:tcW w:w="0" w:type="auto"/>
            <w:hideMark/>
          </w:tcPr>
          <w:p w:rsidR="00B222B2" w:rsidRPr="00FA7AE7" w:rsidRDefault="00B222B2"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0" w:type="auto"/>
            <w:hideMark/>
          </w:tcPr>
          <w:p w:rsidR="00B222B2" w:rsidRPr="00FA7AE7" w:rsidRDefault="00B222B2"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r>
      <w:tr w:rsidR="00B222B2" w:rsidRPr="00FA7AE7" w:rsidTr="00020560">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0" w:type="auto"/>
            <w:hideMark/>
          </w:tcPr>
          <w:p w:rsidR="00B222B2" w:rsidRPr="00FA7AE7" w:rsidRDefault="00B222B2" w:rsidP="00020560">
            <w:pPr>
              <w:spacing w:line="360" w:lineRule="auto"/>
              <w:rPr>
                <w:rFonts w:asciiTheme="majorBidi" w:hAnsiTheme="majorBidi" w:cstheme="majorBidi"/>
              </w:rPr>
            </w:pPr>
            <w:r w:rsidRPr="00FA7AE7">
              <w:rPr>
                <w:rStyle w:val="Strong"/>
                <w:rFonts w:asciiTheme="majorBidi" w:hAnsiTheme="majorBidi" w:cstheme="majorBidi"/>
              </w:rPr>
              <w:t>Work Motivation (WM)</w:t>
            </w:r>
          </w:p>
        </w:tc>
        <w:tc>
          <w:tcPr>
            <w:tcW w:w="0" w:type="auto"/>
            <w:hideMark/>
          </w:tcPr>
          <w:p w:rsidR="00B222B2" w:rsidRPr="00FA7AE7" w:rsidRDefault="00B222B2"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WM1</w:t>
            </w:r>
          </w:p>
        </w:tc>
        <w:tc>
          <w:tcPr>
            <w:tcW w:w="0" w:type="auto"/>
            <w:hideMark/>
          </w:tcPr>
          <w:p w:rsidR="00B222B2" w:rsidRPr="00FA7AE7" w:rsidRDefault="00B222B2"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.86</w:t>
            </w:r>
          </w:p>
        </w:tc>
        <w:tc>
          <w:tcPr>
            <w:tcW w:w="0" w:type="auto"/>
            <w:hideMark/>
          </w:tcPr>
          <w:p w:rsidR="00B222B2" w:rsidRPr="00FA7AE7" w:rsidRDefault="00B222B2"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.917</w:t>
            </w:r>
          </w:p>
        </w:tc>
        <w:tc>
          <w:tcPr>
            <w:tcW w:w="0" w:type="auto"/>
            <w:hideMark/>
          </w:tcPr>
          <w:p w:rsidR="00B222B2" w:rsidRPr="00FA7AE7" w:rsidRDefault="00B222B2"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.786</w:t>
            </w:r>
          </w:p>
        </w:tc>
      </w:tr>
      <w:tr w:rsidR="00B222B2" w:rsidRPr="00FA7AE7" w:rsidTr="00020560">
        <w:trPr>
          <w:trHeight w:val="381"/>
        </w:trPr>
        <w:tc>
          <w:tcPr>
            <w:cnfStyle w:val="001000000000" w:firstRow="0" w:lastRow="0" w:firstColumn="1" w:lastColumn="0" w:oddVBand="0" w:evenVBand="0" w:oddHBand="0" w:evenHBand="0" w:firstRowFirstColumn="0" w:firstRowLastColumn="0" w:lastRowFirstColumn="0" w:lastRowLastColumn="0"/>
            <w:tcW w:w="0" w:type="auto"/>
            <w:hideMark/>
          </w:tcPr>
          <w:p w:rsidR="00B222B2" w:rsidRPr="00FA7AE7" w:rsidRDefault="00B222B2" w:rsidP="00020560">
            <w:pPr>
              <w:spacing w:line="360" w:lineRule="auto"/>
              <w:rPr>
                <w:rFonts w:asciiTheme="majorBidi" w:hAnsiTheme="majorBidi" w:cstheme="majorBidi"/>
              </w:rPr>
            </w:pPr>
          </w:p>
        </w:tc>
        <w:tc>
          <w:tcPr>
            <w:tcW w:w="0" w:type="auto"/>
            <w:hideMark/>
          </w:tcPr>
          <w:p w:rsidR="00B222B2" w:rsidRPr="00FA7AE7" w:rsidRDefault="00B222B2"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WM2</w:t>
            </w:r>
          </w:p>
        </w:tc>
        <w:tc>
          <w:tcPr>
            <w:tcW w:w="0" w:type="auto"/>
            <w:hideMark/>
          </w:tcPr>
          <w:p w:rsidR="00B222B2" w:rsidRPr="00FA7AE7" w:rsidRDefault="00B222B2"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.88</w:t>
            </w:r>
          </w:p>
        </w:tc>
        <w:tc>
          <w:tcPr>
            <w:tcW w:w="0" w:type="auto"/>
            <w:hideMark/>
          </w:tcPr>
          <w:p w:rsidR="00B222B2" w:rsidRPr="00FA7AE7" w:rsidRDefault="00B222B2"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0" w:type="auto"/>
            <w:hideMark/>
          </w:tcPr>
          <w:p w:rsidR="00B222B2" w:rsidRPr="00FA7AE7" w:rsidRDefault="00B222B2"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r>
      <w:tr w:rsidR="00B222B2" w:rsidRPr="00FA7AE7" w:rsidTr="00020560">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0" w:type="auto"/>
            <w:hideMark/>
          </w:tcPr>
          <w:p w:rsidR="00B222B2" w:rsidRPr="00FA7AE7" w:rsidRDefault="00B222B2" w:rsidP="00020560">
            <w:pPr>
              <w:spacing w:line="360" w:lineRule="auto"/>
              <w:rPr>
                <w:rFonts w:asciiTheme="majorBidi" w:hAnsiTheme="majorBidi" w:cstheme="majorBidi"/>
              </w:rPr>
            </w:pPr>
          </w:p>
        </w:tc>
        <w:tc>
          <w:tcPr>
            <w:tcW w:w="0" w:type="auto"/>
            <w:hideMark/>
          </w:tcPr>
          <w:p w:rsidR="00B222B2" w:rsidRPr="00FA7AE7" w:rsidRDefault="00B222B2"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WM3</w:t>
            </w:r>
          </w:p>
        </w:tc>
        <w:tc>
          <w:tcPr>
            <w:tcW w:w="0" w:type="auto"/>
            <w:hideMark/>
          </w:tcPr>
          <w:p w:rsidR="00B222B2" w:rsidRPr="00FA7AE7" w:rsidRDefault="00B222B2"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.92</w:t>
            </w:r>
          </w:p>
        </w:tc>
        <w:tc>
          <w:tcPr>
            <w:tcW w:w="0" w:type="auto"/>
            <w:hideMark/>
          </w:tcPr>
          <w:p w:rsidR="00B222B2" w:rsidRPr="00FA7AE7" w:rsidRDefault="00B222B2"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0" w:type="auto"/>
            <w:hideMark/>
          </w:tcPr>
          <w:p w:rsidR="00B222B2" w:rsidRPr="00FA7AE7" w:rsidRDefault="00B222B2"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r>
      <w:tr w:rsidR="00B222B2" w:rsidRPr="00FA7AE7" w:rsidTr="00020560">
        <w:trPr>
          <w:trHeight w:val="381"/>
        </w:trPr>
        <w:tc>
          <w:tcPr>
            <w:cnfStyle w:val="001000000000" w:firstRow="0" w:lastRow="0" w:firstColumn="1" w:lastColumn="0" w:oddVBand="0" w:evenVBand="0" w:oddHBand="0" w:evenHBand="0" w:firstRowFirstColumn="0" w:firstRowLastColumn="0" w:lastRowFirstColumn="0" w:lastRowLastColumn="0"/>
            <w:tcW w:w="0" w:type="auto"/>
            <w:hideMark/>
          </w:tcPr>
          <w:p w:rsidR="00B222B2" w:rsidRPr="00FA7AE7" w:rsidRDefault="00B222B2" w:rsidP="00020560">
            <w:pPr>
              <w:spacing w:line="360" w:lineRule="auto"/>
              <w:rPr>
                <w:rFonts w:asciiTheme="majorBidi" w:hAnsiTheme="majorBidi" w:cstheme="majorBidi"/>
              </w:rPr>
            </w:pPr>
            <w:r w:rsidRPr="00FA7AE7">
              <w:rPr>
                <w:rStyle w:val="Strong"/>
                <w:rFonts w:asciiTheme="majorBidi" w:hAnsiTheme="majorBidi" w:cstheme="majorBidi"/>
              </w:rPr>
              <w:t>Work Engagement (WE)</w:t>
            </w:r>
          </w:p>
        </w:tc>
        <w:tc>
          <w:tcPr>
            <w:tcW w:w="0" w:type="auto"/>
            <w:hideMark/>
          </w:tcPr>
          <w:p w:rsidR="00B222B2" w:rsidRPr="00FA7AE7" w:rsidRDefault="00B222B2"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WE1</w:t>
            </w:r>
          </w:p>
        </w:tc>
        <w:tc>
          <w:tcPr>
            <w:tcW w:w="0" w:type="auto"/>
            <w:hideMark/>
          </w:tcPr>
          <w:p w:rsidR="00B222B2" w:rsidRPr="00FA7AE7" w:rsidRDefault="00B222B2"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.67</w:t>
            </w:r>
          </w:p>
        </w:tc>
        <w:tc>
          <w:tcPr>
            <w:tcW w:w="0" w:type="auto"/>
            <w:hideMark/>
          </w:tcPr>
          <w:p w:rsidR="00B222B2" w:rsidRPr="00FA7AE7" w:rsidRDefault="00B222B2"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.891</w:t>
            </w:r>
          </w:p>
        </w:tc>
        <w:tc>
          <w:tcPr>
            <w:tcW w:w="0" w:type="auto"/>
            <w:hideMark/>
          </w:tcPr>
          <w:p w:rsidR="00B222B2" w:rsidRPr="00FA7AE7" w:rsidRDefault="00B222B2"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.622</w:t>
            </w:r>
          </w:p>
        </w:tc>
      </w:tr>
      <w:tr w:rsidR="00B222B2" w:rsidRPr="00FA7AE7" w:rsidTr="00020560">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0" w:type="auto"/>
            <w:hideMark/>
          </w:tcPr>
          <w:p w:rsidR="00B222B2" w:rsidRPr="00FA7AE7" w:rsidRDefault="00B222B2" w:rsidP="00020560">
            <w:pPr>
              <w:spacing w:line="360" w:lineRule="auto"/>
              <w:rPr>
                <w:rFonts w:asciiTheme="majorBidi" w:hAnsiTheme="majorBidi" w:cstheme="majorBidi"/>
              </w:rPr>
            </w:pPr>
          </w:p>
        </w:tc>
        <w:tc>
          <w:tcPr>
            <w:tcW w:w="0" w:type="auto"/>
            <w:hideMark/>
          </w:tcPr>
          <w:p w:rsidR="00B222B2" w:rsidRPr="00FA7AE7" w:rsidRDefault="00B222B2"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WE2</w:t>
            </w:r>
          </w:p>
        </w:tc>
        <w:tc>
          <w:tcPr>
            <w:tcW w:w="0" w:type="auto"/>
            <w:hideMark/>
          </w:tcPr>
          <w:p w:rsidR="00B222B2" w:rsidRPr="00FA7AE7" w:rsidRDefault="00B222B2"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.79</w:t>
            </w:r>
          </w:p>
        </w:tc>
        <w:tc>
          <w:tcPr>
            <w:tcW w:w="0" w:type="auto"/>
            <w:hideMark/>
          </w:tcPr>
          <w:p w:rsidR="00B222B2" w:rsidRPr="00FA7AE7" w:rsidRDefault="00B222B2"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0" w:type="auto"/>
            <w:hideMark/>
          </w:tcPr>
          <w:p w:rsidR="00B222B2" w:rsidRPr="00FA7AE7" w:rsidRDefault="00B222B2"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r>
      <w:tr w:rsidR="00B222B2" w:rsidRPr="00FA7AE7" w:rsidTr="00020560">
        <w:trPr>
          <w:trHeight w:val="381"/>
        </w:trPr>
        <w:tc>
          <w:tcPr>
            <w:cnfStyle w:val="001000000000" w:firstRow="0" w:lastRow="0" w:firstColumn="1" w:lastColumn="0" w:oddVBand="0" w:evenVBand="0" w:oddHBand="0" w:evenHBand="0" w:firstRowFirstColumn="0" w:firstRowLastColumn="0" w:lastRowFirstColumn="0" w:lastRowLastColumn="0"/>
            <w:tcW w:w="0" w:type="auto"/>
            <w:hideMark/>
          </w:tcPr>
          <w:p w:rsidR="00B222B2" w:rsidRPr="00FA7AE7" w:rsidRDefault="00B222B2" w:rsidP="00020560">
            <w:pPr>
              <w:spacing w:line="360" w:lineRule="auto"/>
              <w:rPr>
                <w:rFonts w:asciiTheme="majorBidi" w:hAnsiTheme="majorBidi" w:cstheme="majorBidi"/>
              </w:rPr>
            </w:pPr>
          </w:p>
        </w:tc>
        <w:tc>
          <w:tcPr>
            <w:tcW w:w="0" w:type="auto"/>
            <w:hideMark/>
          </w:tcPr>
          <w:p w:rsidR="00B222B2" w:rsidRPr="00FA7AE7" w:rsidRDefault="00B222B2"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WE3</w:t>
            </w:r>
          </w:p>
        </w:tc>
        <w:tc>
          <w:tcPr>
            <w:tcW w:w="0" w:type="auto"/>
            <w:hideMark/>
          </w:tcPr>
          <w:p w:rsidR="00B222B2" w:rsidRPr="00FA7AE7" w:rsidRDefault="00B222B2"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.86</w:t>
            </w:r>
          </w:p>
        </w:tc>
        <w:tc>
          <w:tcPr>
            <w:tcW w:w="0" w:type="auto"/>
            <w:hideMark/>
          </w:tcPr>
          <w:p w:rsidR="00B222B2" w:rsidRPr="00FA7AE7" w:rsidRDefault="00B222B2"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0" w:type="auto"/>
            <w:hideMark/>
          </w:tcPr>
          <w:p w:rsidR="00B222B2" w:rsidRPr="00FA7AE7" w:rsidRDefault="00B222B2"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r>
      <w:tr w:rsidR="00B222B2" w:rsidRPr="00FA7AE7" w:rsidTr="00020560">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0" w:type="auto"/>
            <w:hideMark/>
          </w:tcPr>
          <w:p w:rsidR="00B222B2" w:rsidRPr="00FA7AE7" w:rsidRDefault="00B222B2" w:rsidP="00020560">
            <w:pPr>
              <w:spacing w:line="360" w:lineRule="auto"/>
              <w:rPr>
                <w:rFonts w:asciiTheme="majorBidi" w:hAnsiTheme="majorBidi" w:cstheme="majorBidi"/>
              </w:rPr>
            </w:pPr>
          </w:p>
        </w:tc>
        <w:tc>
          <w:tcPr>
            <w:tcW w:w="0" w:type="auto"/>
            <w:hideMark/>
          </w:tcPr>
          <w:p w:rsidR="00B222B2" w:rsidRPr="00FA7AE7" w:rsidRDefault="00B222B2"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WE4</w:t>
            </w:r>
          </w:p>
        </w:tc>
        <w:tc>
          <w:tcPr>
            <w:tcW w:w="0" w:type="auto"/>
            <w:hideMark/>
          </w:tcPr>
          <w:p w:rsidR="00B222B2" w:rsidRPr="00FA7AE7" w:rsidRDefault="00B222B2"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.87</w:t>
            </w:r>
          </w:p>
        </w:tc>
        <w:tc>
          <w:tcPr>
            <w:tcW w:w="0" w:type="auto"/>
            <w:hideMark/>
          </w:tcPr>
          <w:p w:rsidR="00B222B2" w:rsidRPr="00FA7AE7" w:rsidRDefault="00B222B2"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0" w:type="auto"/>
            <w:hideMark/>
          </w:tcPr>
          <w:p w:rsidR="00B222B2" w:rsidRPr="00FA7AE7" w:rsidRDefault="00B222B2"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r>
      <w:tr w:rsidR="00B222B2" w:rsidRPr="00FA7AE7" w:rsidTr="00020560">
        <w:trPr>
          <w:trHeight w:val="381"/>
        </w:trPr>
        <w:tc>
          <w:tcPr>
            <w:cnfStyle w:val="001000000000" w:firstRow="0" w:lastRow="0" w:firstColumn="1" w:lastColumn="0" w:oddVBand="0" w:evenVBand="0" w:oddHBand="0" w:evenHBand="0" w:firstRowFirstColumn="0" w:firstRowLastColumn="0" w:lastRowFirstColumn="0" w:lastRowLastColumn="0"/>
            <w:tcW w:w="0" w:type="auto"/>
            <w:hideMark/>
          </w:tcPr>
          <w:p w:rsidR="00B222B2" w:rsidRPr="00FA7AE7" w:rsidRDefault="00B222B2" w:rsidP="00020560">
            <w:pPr>
              <w:spacing w:line="360" w:lineRule="auto"/>
              <w:rPr>
                <w:rFonts w:asciiTheme="majorBidi" w:hAnsiTheme="majorBidi" w:cstheme="majorBidi"/>
              </w:rPr>
            </w:pPr>
          </w:p>
        </w:tc>
        <w:tc>
          <w:tcPr>
            <w:tcW w:w="0" w:type="auto"/>
            <w:hideMark/>
          </w:tcPr>
          <w:p w:rsidR="00B222B2" w:rsidRPr="00FA7AE7" w:rsidRDefault="00B222B2"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WE5</w:t>
            </w:r>
          </w:p>
        </w:tc>
        <w:tc>
          <w:tcPr>
            <w:tcW w:w="0" w:type="auto"/>
            <w:hideMark/>
          </w:tcPr>
          <w:p w:rsidR="00B222B2" w:rsidRPr="00FA7AE7" w:rsidRDefault="00B222B2"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.73</w:t>
            </w:r>
          </w:p>
        </w:tc>
        <w:tc>
          <w:tcPr>
            <w:tcW w:w="0" w:type="auto"/>
            <w:hideMark/>
          </w:tcPr>
          <w:p w:rsidR="00B222B2" w:rsidRPr="00FA7AE7" w:rsidRDefault="00B222B2"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0" w:type="auto"/>
            <w:hideMark/>
          </w:tcPr>
          <w:p w:rsidR="00B222B2" w:rsidRPr="00FA7AE7" w:rsidRDefault="00B222B2"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r>
      <w:tr w:rsidR="00B222B2" w:rsidRPr="00FA7AE7" w:rsidTr="00020560">
        <w:trPr>
          <w:cnfStyle w:val="000000100000" w:firstRow="0" w:lastRow="0" w:firstColumn="0" w:lastColumn="0" w:oddVBand="0" w:evenVBand="0" w:oddHBand="1" w:evenHBand="0" w:firstRowFirstColumn="0" w:firstRowLastColumn="0" w:lastRowFirstColumn="0" w:lastRowLastColumn="0"/>
          <w:trHeight w:val="381"/>
        </w:trPr>
        <w:tc>
          <w:tcPr>
            <w:cnfStyle w:val="001000000000" w:firstRow="0" w:lastRow="0" w:firstColumn="1" w:lastColumn="0" w:oddVBand="0" w:evenVBand="0" w:oddHBand="0" w:evenHBand="0" w:firstRowFirstColumn="0" w:firstRowLastColumn="0" w:lastRowFirstColumn="0" w:lastRowLastColumn="0"/>
            <w:tcW w:w="0" w:type="auto"/>
            <w:hideMark/>
          </w:tcPr>
          <w:p w:rsidR="00B222B2" w:rsidRPr="00FA7AE7" w:rsidRDefault="00B222B2" w:rsidP="00020560">
            <w:pPr>
              <w:spacing w:line="360" w:lineRule="auto"/>
              <w:rPr>
                <w:rFonts w:asciiTheme="majorBidi" w:hAnsiTheme="majorBidi" w:cstheme="majorBidi"/>
              </w:rPr>
            </w:pPr>
            <w:r w:rsidRPr="00FA7AE7">
              <w:rPr>
                <w:rStyle w:val="Strong"/>
                <w:rFonts w:asciiTheme="majorBidi" w:hAnsiTheme="majorBidi" w:cstheme="majorBidi"/>
              </w:rPr>
              <w:t>Creative Self-Efficacy (CSE)</w:t>
            </w:r>
          </w:p>
        </w:tc>
        <w:tc>
          <w:tcPr>
            <w:tcW w:w="0" w:type="auto"/>
            <w:hideMark/>
          </w:tcPr>
          <w:p w:rsidR="00B222B2" w:rsidRPr="00FA7AE7" w:rsidRDefault="00B222B2"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CSE1</w:t>
            </w:r>
          </w:p>
        </w:tc>
        <w:tc>
          <w:tcPr>
            <w:tcW w:w="0" w:type="auto"/>
            <w:hideMark/>
          </w:tcPr>
          <w:p w:rsidR="00B222B2" w:rsidRPr="00FA7AE7" w:rsidRDefault="00B222B2"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.72</w:t>
            </w:r>
          </w:p>
        </w:tc>
        <w:tc>
          <w:tcPr>
            <w:tcW w:w="0" w:type="auto"/>
            <w:hideMark/>
          </w:tcPr>
          <w:p w:rsidR="00B222B2" w:rsidRPr="00FA7AE7" w:rsidRDefault="00B222B2"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.812</w:t>
            </w:r>
          </w:p>
        </w:tc>
        <w:tc>
          <w:tcPr>
            <w:tcW w:w="0" w:type="auto"/>
            <w:hideMark/>
          </w:tcPr>
          <w:p w:rsidR="00B222B2" w:rsidRPr="00FA7AE7" w:rsidRDefault="00B222B2"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.592</w:t>
            </w:r>
          </w:p>
        </w:tc>
      </w:tr>
      <w:tr w:rsidR="00B222B2" w:rsidRPr="00FA7AE7" w:rsidTr="00020560">
        <w:trPr>
          <w:trHeight w:val="371"/>
        </w:trPr>
        <w:tc>
          <w:tcPr>
            <w:cnfStyle w:val="001000000000" w:firstRow="0" w:lastRow="0" w:firstColumn="1" w:lastColumn="0" w:oddVBand="0" w:evenVBand="0" w:oddHBand="0" w:evenHBand="0" w:firstRowFirstColumn="0" w:firstRowLastColumn="0" w:lastRowFirstColumn="0" w:lastRowLastColumn="0"/>
            <w:tcW w:w="0" w:type="auto"/>
            <w:hideMark/>
          </w:tcPr>
          <w:p w:rsidR="00B222B2" w:rsidRPr="00FA7AE7" w:rsidRDefault="00B222B2" w:rsidP="00020560">
            <w:pPr>
              <w:spacing w:line="360" w:lineRule="auto"/>
              <w:rPr>
                <w:rFonts w:asciiTheme="majorBidi" w:hAnsiTheme="majorBidi" w:cstheme="majorBidi"/>
              </w:rPr>
            </w:pPr>
          </w:p>
        </w:tc>
        <w:tc>
          <w:tcPr>
            <w:tcW w:w="0" w:type="auto"/>
            <w:hideMark/>
          </w:tcPr>
          <w:p w:rsidR="00B222B2" w:rsidRPr="00FA7AE7" w:rsidRDefault="00B222B2"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CSE2</w:t>
            </w:r>
          </w:p>
        </w:tc>
        <w:tc>
          <w:tcPr>
            <w:tcW w:w="0" w:type="auto"/>
            <w:hideMark/>
          </w:tcPr>
          <w:p w:rsidR="00B222B2" w:rsidRPr="00FA7AE7" w:rsidRDefault="00B222B2"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.84</w:t>
            </w:r>
          </w:p>
        </w:tc>
        <w:tc>
          <w:tcPr>
            <w:tcW w:w="0" w:type="auto"/>
            <w:hideMark/>
          </w:tcPr>
          <w:p w:rsidR="00B222B2" w:rsidRPr="00FA7AE7" w:rsidRDefault="00B222B2"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0" w:type="auto"/>
            <w:hideMark/>
          </w:tcPr>
          <w:p w:rsidR="00B222B2" w:rsidRPr="00FA7AE7" w:rsidRDefault="00B222B2"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r>
      <w:tr w:rsidR="00B222B2" w:rsidRPr="00FA7AE7" w:rsidTr="00020560">
        <w:trPr>
          <w:cnfStyle w:val="000000100000" w:firstRow="0" w:lastRow="0" w:firstColumn="0" w:lastColumn="0" w:oddVBand="0" w:evenVBand="0" w:oddHBand="1" w:evenHBand="0" w:firstRowFirstColumn="0" w:firstRowLastColumn="0" w:lastRowFirstColumn="0" w:lastRowLastColumn="0"/>
          <w:trHeight w:val="381"/>
        </w:trPr>
        <w:tc>
          <w:tcPr>
            <w:cnfStyle w:val="001000000000" w:firstRow="0" w:lastRow="0" w:firstColumn="1" w:lastColumn="0" w:oddVBand="0" w:evenVBand="0" w:oddHBand="0" w:evenHBand="0" w:firstRowFirstColumn="0" w:firstRowLastColumn="0" w:lastRowFirstColumn="0" w:lastRowLastColumn="0"/>
            <w:tcW w:w="0" w:type="auto"/>
            <w:hideMark/>
          </w:tcPr>
          <w:p w:rsidR="00B222B2" w:rsidRPr="00FA7AE7" w:rsidRDefault="00B222B2" w:rsidP="00020560">
            <w:pPr>
              <w:spacing w:line="360" w:lineRule="auto"/>
              <w:rPr>
                <w:rFonts w:asciiTheme="majorBidi" w:hAnsiTheme="majorBidi" w:cstheme="majorBidi"/>
              </w:rPr>
            </w:pPr>
          </w:p>
        </w:tc>
        <w:tc>
          <w:tcPr>
            <w:tcW w:w="0" w:type="auto"/>
            <w:hideMark/>
          </w:tcPr>
          <w:p w:rsidR="00B222B2" w:rsidRPr="00FA7AE7" w:rsidRDefault="00B222B2"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CSE3</w:t>
            </w:r>
          </w:p>
        </w:tc>
        <w:tc>
          <w:tcPr>
            <w:tcW w:w="0" w:type="auto"/>
            <w:hideMark/>
          </w:tcPr>
          <w:p w:rsidR="00B222B2" w:rsidRPr="00FA7AE7" w:rsidRDefault="00B222B2"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.74</w:t>
            </w:r>
          </w:p>
        </w:tc>
        <w:tc>
          <w:tcPr>
            <w:tcW w:w="0" w:type="auto"/>
            <w:hideMark/>
          </w:tcPr>
          <w:p w:rsidR="00B222B2" w:rsidRPr="00FA7AE7" w:rsidRDefault="00B222B2"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0" w:type="auto"/>
            <w:hideMark/>
          </w:tcPr>
          <w:p w:rsidR="00B222B2" w:rsidRPr="00FA7AE7" w:rsidRDefault="00B222B2"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r>
    </w:tbl>
    <w:p w:rsidR="00B222B2" w:rsidRPr="00FA7AE7" w:rsidRDefault="00B222B2" w:rsidP="00B222B2">
      <w:pPr>
        <w:pStyle w:val="ds-markdown-paragraph"/>
        <w:shd w:val="clear" w:color="auto" w:fill="FFFFFF"/>
        <w:spacing w:before="240" w:beforeAutospacing="0" w:after="240" w:afterAutospacing="0" w:line="360" w:lineRule="auto"/>
        <w:rPr>
          <w:rFonts w:asciiTheme="majorBidi" w:hAnsiTheme="majorBidi" w:cstheme="majorBidi"/>
        </w:rPr>
      </w:pPr>
      <w:r w:rsidRPr="00FA7AE7">
        <w:rPr>
          <w:rStyle w:val="Emphasis"/>
          <w:rFonts w:asciiTheme="majorBidi" w:eastAsiaTheme="majorEastAsia" w:hAnsiTheme="majorBidi" w:cstheme="majorBidi"/>
          <w:b/>
          <w:bCs/>
        </w:rPr>
        <w:t>Note</w:t>
      </w:r>
      <w:r w:rsidRPr="00FA7AE7">
        <w:rPr>
          <w:rStyle w:val="Emphasis"/>
          <w:rFonts w:asciiTheme="majorBidi" w:eastAsiaTheme="majorEastAsia" w:hAnsiTheme="majorBidi" w:cstheme="majorBidi"/>
        </w:rPr>
        <w:t>: CR = Composite Reliability; AVE = Average Variance Extracted.</w:t>
      </w:r>
    </w:p>
    <w:p w:rsidR="00B222B2" w:rsidRPr="00FA7AE7" w:rsidRDefault="00B222B2" w:rsidP="00B222B2">
      <w:pPr>
        <w:pStyle w:val="ds-markdown-paragraph"/>
        <w:shd w:val="clear" w:color="auto" w:fill="FFFFFF"/>
        <w:spacing w:before="240" w:beforeAutospacing="0" w:after="240" w:afterAutospacing="0" w:line="360" w:lineRule="auto"/>
        <w:rPr>
          <w:rFonts w:asciiTheme="majorBidi" w:hAnsiTheme="majorBidi" w:cstheme="majorBidi"/>
        </w:rPr>
      </w:pPr>
      <w:r w:rsidRPr="00FA7AE7">
        <w:rPr>
          <w:rStyle w:val="Strong"/>
          <w:rFonts w:asciiTheme="majorBidi" w:eastAsiaTheme="majorEastAsia" w:hAnsiTheme="majorBidi" w:cstheme="majorBidi"/>
        </w:rPr>
        <w:t xml:space="preserve">Table </w:t>
      </w:r>
      <w:r w:rsidR="0052261D" w:rsidRPr="00FA7AE7">
        <w:rPr>
          <w:rStyle w:val="Strong"/>
          <w:rFonts w:asciiTheme="majorBidi" w:eastAsiaTheme="majorEastAsia" w:hAnsiTheme="majorBidi" w:cstheme="majorBidi"/>
        </w:rPr>
        <w:t>D</w:t>
      </w:r>
      <w:r w:rsidR="00212A51" w:rsidRPr="00FA7AE7">
        <w:rPr>
          <w:rStyle w:val="Strong"/>
          <w:rFonts w:asciiTheme="majorBidi" w:eastAsiaTheme="majorEastAsia" w:hAnsiTheme="majorBidi" w:cstheme="majorBidi"/>
        </w:rPr>
        <w:t>3</w:t>
      </w:r>
      <w:r w:rsidRPr="00FA7AE7">
        <w:rPr>
          <w:rStyle w:val="Strong"/>
          <w:rFonts w:asciiTheme="majorBidi" w:eastAsiaTheme="majorEastAsia" w:hAnsiTheme="majorBidi" w:cstheme="majorBidi"/>
        </w:rPr>
        <w:t xml:space="preserve">. Discriminant Validity: </w:t>
      </w:r>
      <w:proofErr w:type="spellStart"/>
      <w:r w:rsidRPr="00FA7AE7">
        <w:rPr>
          <w:rStyle w:val="Strong"/>
          <w:rFonts w:asciiTheme="majorBidi" w:eastAsiaTheme="majorEastAsia" w:hAnsiTheme="majorBidi" w:cstheme="majorBidi"/>
        </w:rPr>
        <w:t>Fornell-Larcker</w:t>
      </w:r>
      <w:proofErr w:type="spellEnd"/>
      <w:r w:rsidRPr="00FA7AE7">
        <w:rPr>
          <w:rStyle w:val="Strong"/>
          <w:rFonts w:asciiTheme="majorBidi" w:eastAsiaTheme="majorEastAsia" w:hAnsiTheme="majorBidi" w:cstheme="majorBidi"/>
        </w:rPr>
        <w:t xml:space="preserve"> Criterion and Correlations</w:t>
      </w:r>
    </w:p>
    <w:tbl>
      <w:tblPr>
        <w:tblStyle w:val="PlainTable2"/>
        <w:tblW w:w="8700" w:type="dxa"/>
        <w:tblLook w:val="04A0" w:firstRow="1" w:lastRow="0" w:firstColumn="1" w:lastColumn="0" w:noHBand="0" w:noVBand="1"/>
      </w:tblPr>
      <w:tblGrid>
        <w:gridCol w:w="1474"/>
        <w:gridCol w:w="1373"/>
        <w:gridCol w:w="1474"/>
        <w:gridCol w:w="1373"/>
        <w:gridCol w:w="1474"/>
        <w:gridCol w:w="1532"/>
      </w:tblGrid>
      <w:tr w:rsidR="00B222B2" w:rsidRPr="00FA7AE7" w:rsidTr="00020560">
        <w:trPr>
          <w:cnfStyle w:val="100000000000" w:firstRow="1" w:lastRow="0" w:firstColumn="0" w:lastColumn="0" w:oddVBand="0" w:evenVBand="0" w:oddHBand="0"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0" w:type="auto"/>
            <w:hideMark/>
          </w:tcPr>
          <w:p w:rsidR="00B222B2" w:rsidRPr="00FA7AE7" w:rsidRDefault="00B222B2" w:rsidP="00020560">
            <w:pPr>
              <w:spacing w:line="360" w:lineRule="auto"/>
              <w:rPr>
                <w:rFonts w:asciiTheme="majorBidi" w:hAnsiTheme="majorBidi" w:cstheme="majorBidi"/>
              </w:rPr>
            </w:pPr>
          </w:p>
        </w:tc>
        <w:tc>
          <w:tcPr>
            <w:tcW w:w="0" w:type="auto"/>
            <w:hideMark/>
          </w:tcPr>
          <w:p w:rsidR="00B222B2" w:rsidRPr="00FA7AE7" w:rsidRDefault="00B222B2" w:rsidP="00020560">
            <w:pPr>
              <w:spacing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KS</w:t>
            </w:r>
          </w:p>
        </w:tc>
        <w:tc>
          <w:tcPr>
            <w:tcW w:w="0" w:type="auto"/>
            <w:hideMark/>
          </w:tcPr>
          <w:p w:rsidR="00B222B2" w:rsidRPr="00FA7AE7" w:rsidRDefault="00B222B2" w:rsidP="00020560">
            <w:pPr>
              <w:spacing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WM</w:t>
            </w:r>
          </w:p>
        </w:tc>
        <w:tc>
          <w:tcPr>
            <w:tcW w:w="0" w:type="auto"/>
            <w:hideMark/>
          </w:tcPr>
          <w:p w:rsidR="00B222B2" w:rsidRPr="00FA7AE7" w:rsidRDefault="00B222B2" w:rsidP="00020560">
            <w:pPr>
              <w:spacing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WE</w:t>
            </w:r>
          </w:p>
        </w:tc>
        <w:tc>
          <w:tcPr>
            <w:tcW w:w="0" w:type="auto"/>
            <w:hideMark/>
          </w:tcPr>
          <w:p w:rsidR="00B222B2" w:rsidRPr="00FA7AE7" w:rsidRDefault="00B222B2" w:rsidP="00020560">
            <w:pPr>
              <w:spacing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CSE</w:t>
            </w:r>
          </w:p>
        </w:tc>
        <w:tc>
          <w:tcPr>
            <w:tcW w:w="0" w:type="auto"/>
            <w:hideMark/>
          </w:tcPr>
          <w:p w:rsidR="00B222B2" w:rsidRPr="00FA7AE7" w:rsidRDefault="00B222B2" w:rsidP="00020560">
            <w:pPr>
              <w:spacing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IWB</w:t>
            </w:r>
          </w:p>
        </w:tc>
      </w:tr>
      <w:tr w:rsidR="00B222B2" w:rsidRPr="00FA7AE7" w:rsidTr="00020560">
        <w:trPr>
          <w:cnfStyle w:val="000000100000" w:firstRow="0" w:lastRow="0" w:firstColumn="0" w:lastColumn="0" w:oddVBand="0" w:evenVBand="0" w:oddHBand="1"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0" w:type="auto"/>
            <w:hideMark/>
          </w:tcPr>
          <w:p w:rsidR="00B222B2" w:rsidRPr="00FA7AE7" w:rsidRDefault="00B222B2" w:rsidP="00020560">
            <w:pPr>
              <w:spacing w:line="360" w:lineRule="auto"/>
              <w:rPr>
                <w:rFonts w:asciiTheme="majorBidi" w:hAnsiTheme="majorBidi" w:cstheme="majorBidi"/>
              </w:rPr>
            </w:pPr>
            <w:r w:rsidRPr="00FA7AE7">
              <w:rPr>
                <w:rStyle w:val="Strong"/>
                <w:rFonts w:asciiTheme="majorBidi" w:hAnsiTheme="majorBidi" w:cstheme="majorBidi"/>
              </w:rPr>
              <w:t>KS</w:t>
            </w:r>
          </w:p>
        </w:tc>
        <w:tc>
          <w:tcPr>
            <w:tcW w:w="0" w:type="auto"/>
            <w:hideMark/>
          </w:tcPr>
          <w:p w:rsidR="00B222B2" w:rsidRPr="00FA7AE7" w:rsidRDefault="00B222B2"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Style w:val="Strong"/>
                <w:rFonts w:asciiTheme="majorBidi" w:hAnsiTheme="majorBidi" w:cstheme="majorBidi"/>
              </w:rPr>
              <w:t>.844</w:t>
            </w:r>
          </w:p>
        </w:tc>
        <w:tc>
          <w:tcPr>
            <w:tcW w:w="0" w:type="auto"/>
            <w:hideMark/>
          </w:tcPr>
          <w:p w:rsidR="00B222B2" w:rsidRPr="00FA7AE7" w:rsidRDefault="00B222B2"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0" w:type="auto"/>
            <w:hideMark/>
          </w:tcPr>
          <w:p w:rsidR="00B222B2" w:rsidRPr="00FA7AE7" w:rsidRDefault="00B222B2"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0" w:type="auto"/>
            <w:hideMark/>
          </w:tcPr>
          <w:p w:rsidR="00B222B2" w:rsidRPr="00FA7AE7" w:rsidRDefault="00B222B2"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0" w:type="auto"/>
            <w:hideMark/>
          </w:tcPr>
          <w:p w:rsidR="00B222B2" w:rsidRPr="00FA7AE7" w:rsidRDefault="00B222B2"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r>
      <w:tr w:rsidR="00B222B2" w:rsidRPr="00FA7AE7" w:rsidTr="00020560">
        <w:trPr>
          <w:trHeight w:val="384"/>
        </w:trPr>
        <w:tc>
          <w:tcPr>
            <w:cnfStyle w:val="001000000000" w:firstRow="0" w:lastRow="0" w:firstColumn="1" w:lastColumn="0" w:oddVBand="0" w:evenVBand="0" w:oddHBand="0" w:evenHBand="0" w:firstRowFirstColumn="0" w:firstRowLastColumn="0" w:lastRowFirstColumn="0" w:lastRowLastColumn="0"/>
            <w:tcW w:w="0" w:type="auto"/>
            <w:hideMark/>
          </w:tcPr>
          <w:p w:rsidR="00B222B2" w:rsidRPr="00FA7AE7" w:rsidRDefault="00B222B2" w:rsidP="00020560">
            <w:pPr>
              <w:spacing w:line="360" w:lineRule="auto"/>
              <w:rPr>
                <w:rFonts w:asciiTheme="majorBidi" w:hAnsiTheme="majorBidi" w:cstheme="majorBidi"/>
              </w:rPr>
            </w:pPr>
            <w:r w:rsidRPr="00FA7AE7">
              <w:rPr>
                <w:rStyle w:val="Strong"/>
                <w:rFonts w:asciiTheme="majorBidi" w:hAnsiTheme="majorBidi" w:cstheme="majorBidi"/>
              </w:rPr>
              <w:t>WM</w:t>
            </w:r>
          </w:p>
        </w:tc>
        <w:tc>
          <w:tcPr>
            <w:tcW w:w="0" w:type="auto"/>
            <w:hideMark/>
          </w:tcPr>
          <w:p w:rsidR="00B222B2" w:rsidRPr="00FA7AE7" w:rsidRDefault="00B222B2"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.421</w:t>
            </w:r>
          </w:p>
        </w:tc>
        <w:tc>
          <w:tcPr>
            <w:tcW w:w="0" w:type="auto"/>
            <w:hideMark/>
          </w:tcPr>
          <w:p w:rsidR="00B222B2" w:rsidRPr="00FA7AE7" w:rsidRDefault="00B222B2"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Style w:val="Strong"/>
                <w:rFonts w:asciiTheme="majorBidi" w:hAnsiTheme="majorBidi" w:cstheme="majorBidi"/>
              </w:rPr>
              <w:t>.887</w:t>
            </w:r>
          </w:p>
        </w:tc>
        <w:tc>
          <w:tcPr>
            <w:tcW w:w="0" w:type="auto"/>
            <w:hideMark/>
          </w:tcPr>
          <w:p w:rsidR="00B222B2" w:rsidRPr="00FA7AE7" w:rsidRDefault="00B222B2"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0" w:type="auto"/>
            <w:hideMark/>
          </w:tcPr>
          <w:p w:rsidR="00B222B2" w:rsidRPr="00FA7AE7" w:rsidRDefault="00B222B2"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0" w:type="auto"/>
            <w:hideMark/>
          </w:tcPr>
          <w:p w:rsidR="00B222B2" w:rsidRPr="00FA7AE7" w:rsidRDefault="00B222B2"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r>
      <w:tr w:rsidR="00B222B2" w:rsidRPr="00FA7AE7" w:rsidTr="00020560">
        <w:trPr>
          <w:cnfStyle w:val="000000100000" w:firstRow="0" w:lastRow="0" w:firstColumn="0" w:lastColumn="0" w:oddVBand="0" w:evenVBand="0" w:oddHBand="1"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0" w:type="auto"/>
            <w:hideMark/>
          </w:tcPr>
          <w:p w:rsidR="00B222B2" w:rsidRPr="00FA7AE7" w:rsidRDefault="00B222B2" w:rsidP="00020560">
            <w:pPr>
              <w:spacing w:line="360" w:lineRule="auto"/>
              <w:rPr>
                <w:rFonts w:asciiTheme="majorBidi" w:hAnsiTheme="majorBidi" w:cstheme="majorBidi"/>
              </w:rPr>
            </w:pPr>
            <w:r w:rsidRPr="00FA7AE7">
              <w:rPr>
                <w:rStyle w:val="Strong"/>
                <w:rFonts w:asciiTheme="majorBidi" w:hAnsiTheme="majorBidi" w:cstheme="majorBidi"/>
              </w:rPr>
              <w:t>WE</w:t>
            </w:r>
          </w:p>
        </w:tc>
        <w:tc>
          <w:tcPr>
            <w:tcW w:w="0" w:type="auto"/>
            <w:hideMark/>
          </w:tcPr>
          <w:p w:rsidR="00B222B2" w:rsidRPr="00FA7AE7" w:rsidRDefault="00B222B2"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.438</w:t>
            </w:r>
          </w:p>
        </w:tc>
        <w:tc>
          <w:tcPr>
            <w:tcW w:w="0" w:type="auto"/>
            <w:hideMark/>
          </w:tcPr>
          <w:p w:rsidR="00B222B2" w:rsidRPr="00FA7AE7" w:rsidRDefault="00B222B2"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.487</w:t>
            </w:r>
          </w:p>
        </w:tc>
        <w:tc>
          <w:tcPr>
            <w:tcW w:w="0" w:type="auto"/>
            <w:hideMark/>
          </w:tcPr>
          <w:p w:rsidR="00B222B2" w:rsidRPr="00FA7AE7" w:rsidRDefault="00B222B2"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Style w:val="Strong"/>
                <w:rFonts w:asciiTheme="majorBidi" w:hAnsiTheme="majorBidi" w:cstheme="majorBidi"/>
              </w:rPr>
              <w:t>.789</w:t>
            </w:r>
          </w:p>
        </w:tc>
        <w:tc>
          <w:tcPr>
            <w:tcW w:w="0" w:type="auto"/>
            <w:hideMark/>
          </w:tcPr>
          <w:p w:rsidR="00B222B2" w:rsidRPr="00FA7AE7" w:rsidRDefault="00B222B2"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0" w:type="auto"/>
            <w:hideMark/>
          </w:tcPr>
          <w:p w:rsidR="00B222B2" w:rsidRPr="00FA7AE7" w:rsidRDefault="00B222B2"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r>
      <w:tr w:rsidR="00B222B2" w:rsidRPr="00FA7AE7" w:rsidTr="00020560">
        <w:trPr>
          <w:trHeight w:val="384"/>
        </w:trPr>
        <w:tc>
          <w:tcPr>
            <w:cnfStyle w:val="001000000000" w:firstRow="0" w:lastRow="0" w:firstColumn="1" w:lastColumn="0" w:oddVBand="0" w:evenVBand="0" w:oddHBand="0" w:evenHBand="0" w:firstRowFirstColumn="0" w:firstRowLastColumn="0" w:lastRowFirstColumn="0" w:lastRowLastColumn="0"/>
            <w:tcW w:w="0" w:type="auto"/>
            <w:hideMark/>
          </w:tcPr>
          <w:p w:rsidR="00B222B2" w:rsidRPr="00FA7AE7" w:rsidRDefault="00B222B2" w:rsidP="00020560">
            <w:pPr>
              <w:spacing w:line="360" w:lineRule="auto"/>
              <w:rPr>
                <w:rFonts w:asciiTheme="majorBidi" w:hAnsiTheme="majorBidi" w:cstheme="majorBidi"/>
              </w:rPr>
            </w:pPr>
            <w:r w:rsidRPr="00FA7AE7">
              <w:rPr>
                <w:rStyle w:val="Strong"/>
                <w:rFonts w:asciiTheme="majorBidi" w:hAnsiTheme="majorBidi" w:cstheme="majorBidi"/>
              </w:rPr>
              <w:t>CSE</w:t>
            </w:r>
          </w:p>
        </w:tc>
        <w:tc>
          <w:tcPr>
            <w:tcW w:w="0" w:type="auto"/>
            <w:hideMark/>
          </w:tcPr>
          <w:p w:rsidR="00B222B2" w:rsidRPr="00FA7AE7" w:rsidRDefault="00B222B2"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.395</w:t>
            </w:r>
          </w:p>
        </w:tc>
        <w:tc>
          <w:tcPr>
            <w:tcW w:w="0" w:type="auto"/>
            <w:hideMark/>
          </w:tcPr>
          <w:p w:rsidR="00B222B2" w:rsidRPr="00FA7AE7" w:rsidRDefault="00B222B2"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.452</w:t>
            </w:r>
          </w:p>
        </w:tc>
        <w:tc>
          <w:tcPr>
            <w:tcW w:w="0" w:type="auto"/>
            <w:hideMark/>
          </w:tcPr>
          <w:p w:rsidR="00B222B2" w:rsidRPr="00FA7AE7" w:rsidRDefault="00B222B2"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.511</w:t>
            </w:r>
          </w:p>
        </w:tc>
        <w:tc>
          <w:tcPr>
            <w:tcW w:w="0" w:type="auto"/>
            <w:hideMark/>
          </w:tcPr>
          <w:p w:rsidR="00B222B2" w:rsidRPr="00FA7AE7" w:rsidRDefault="00B222B2"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Style w:val="Strong"/>
                <w:rFonts w:asciiTheme="majorBidi" w:hAnsiTheme="majorBidi" w:cstheme="majorBidi"/>
              </w:rPr>
              <w:t>.769</w:t>
            </w:r>
          </w:p>
        </w:tc>
        <w:tc>
          <w:tcPr>
            <w:tcW w:w="0" w:type="auto"/>
            <w:hideMark/>
          </w:tcPr>
          <w:p w:rsidR="00B222B2" w:rsidRPr="00FA7AE7" w:rsidRDefault="00B222B2"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r>
      <w:tr w:rsidR="00B222B2" w:rsidRPr="00FA7AE7" w:rsidTr="00020560">
        <w:trPr>
          <w:cnfStyle w:val="000000100000" w:firstRow="0" w:lastRow="0" w:firstColumn="0" w:lastColumn="0" w:oddVBand="0" w:evenVBand="0" w:oddHBand="1"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0" w:type="auto"/>
            <w:hideMark/>
          </w:tcPr>
          <w:p w:rsidR="00B222B2" w:rsidRPr="00FA7AE7" w:rsidRDefault="00B222B2" w:rsidP="00020560">
            <w:pPr>
              <w:spacing w:line="360" w:lineRule="auto"/>
              <w:rPr>
                <w:rFonts w:asciiTheme="majorBidi" w:hAnsiTheme="majorBidi" w:cstheme="majorBidi"/>
              </w:rPr>
            </w:pPr>
            <w:r w:rsidRPr="00FA7AE7">
              <w:rPr>
                <w:rStyle w:val="Strong"/>
                <w:rFonts w:asciiTheme="majorBidi" w:hAnsiTheme="majorBidi" w:cstheme="majorBidi"/>
              </w:rPr>
              <w:t>IWB</w:t>
            </w:r>
          </w:p>
        </w:tc>
        <w:tc>
          <w:tcPr>
            <w:tcW w:w="0" w:type="auto"/>
            <w:hideMark/>
          </w:tcPr>
          <w:p w:rsidR="00B222B2" w:rsidRPr="00FA7AE7" w:rsidRDefault="00B222B2"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.523</w:t>
            </w:r>
          </w:p>
        </w:tc>
        <w:tc>
          <w:tcPr>
            <w:tcW w:w="0" w:type="auto"/>
            <w:hideMark/>
          </w:tcPr>
          <w:p w:rsidR="00B222B2" w:rsidRPr="00FA7AE7" w:rsidRDefault="00B222B2"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.538</w:t>
            </w:r>
          </w:p>
        </w:tc>
        <w:tc>
          <w:tcPr>
            <w:tcW w:w="0" w:type="auto"/>
            <w:hideMark/>
          </w:tcPr>
          <w:p w:rsidR="00B222B2" w:rsidRPr="00FA7AE7" w:rsidRDefault="00B222B2"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.562</w:t>
            </w:r>
          </w:p>
        </w:tc>
        <w:tc>
          <w:tcPr>
            <w:tcW w:w="0" w:type="auto"/>
            <w:hideMark/>
          </w:tcPr>
          <w:p w:rsidR="00B222B2" w:rsidRPr="00FA7AE7" w:rsidRDefault="00B222B2"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.498</w:t>
            </w:r>
          </w:p>
        </w:tc>
        <w:tc>
          <w:tcPr>
            <w:tcW w:w="0" w:type="auto"/>
            <w:hideMark/>
          </w:tcPr>
          <w:p w:rsidR="00B222B2" w:rsidRPr="00FA7AE7" w:rsidRDefault="00B222B2"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Style w:val="Strong"/>
                <w:rFonts w:asciiTheme="majorBidi" w:hAnsiTheme="majorBidi" w:cstheme="majorBidi"/>
              </w:rPr>
              <w:t>.816</w:t>
            </w:r>
          </w:p>
        </w:tc>
      </w:tr>
    </w:tbl>
    <w:p w:rsidR="00B222B2" w:rsidRPr="00FA7AE7" w:rsidRDefault="00B222B2" w:rsidP="00B222B2">
      <w:pPr>
        <w:pStyle w:val="ds-markdown-paragraph"/>
        <w:shd w:val="clear" w:color="auto" w:fill="FFFFFF"/>
        <w:spacing w:before="240" w:beforeAutospacing="0" w:after="240" w:afterAutospacing="0" w:line="360" w:lineRule="auto"/>
        <w:rPr>
          <w:rFonts w:asciiTheme="majorBidi" w:hAnsiTheme="majorBidi" w:cstheme="majorBidi"/>
        </w:rPr>
      </w:pPr>
      <w:r w:rsidRPr="00FA7AE7">
        <w:rPr>
          <w:rStyle w:val="Emphasis"/>
          <w:rFonts w:asciiTheme="majorBidi" w:eastAsiaTheme="majorEastAsia" w:hAnsiTheme="majorBidi" w:cstheme="majorBidi"/>
          <w:b/>
          <w:bCs/>
        </w:rPr>
        <w:t>Note</w:t>
      </w:r>
      <w:r w:rsidRPr="00FA7AE7">
        <w:rPr>
          <w:rStyle w:val="Emphasis"/>
          <w:rFonts w:asciiTheme="majorBidi" w:eastAsiaTheme="majorEastAsia" w:hAnsiTheme="majorBidi" w:cstheme="majorBidi"/>
        </w:rPr>
        <w:t>: Diagonal elements (in bold) are the square root of the AVE. Off-diagonal elements are construct correlations.</w:t>
      </w:r>
    </w:p>
    <w:p w:rsidR="00212A51" w:rsidRPr="00FA7AE7" w:rsidRDefault="00B222B2" w:rsidP="00212A51">
      <w:pPr>
        <w:pStyle w:val="ds-markdown-paragraph"/>
        <w:shd w:val="clear" w:color="auto" w:fill="FFFFFF"/>
        <w:spacing w:before="240" w:beforeAutospacing="0" w:after="240" w:afterAutospacing="0" w:line="360" w:lineRule="auto"/>
        <w:rPr>
          <w:rFonts w:asciiTheme="majorBidi" w:hAnsiTheme="majorBidi" w:cstheme="majorBidi"/>
        </w:rPr>
      </w:pPr>
      <w:r w:rsidRPr="00FA7AE7">
        <w:rPr>
          <w:rFonts w:asciiTheme="majorBidi" w:hAnsiTheme="majorBidi" w:cstheme="majorBidi"/>
        </w:rPr>
        <w:br w:type="page"/>
      </w:r>
      <w:r w:rsidR="00212A51" w:rsidRPr="00FA7AE7">
        <w:rPr>
          <w:rStyle w:val="Strong"/>
          <w:rFonts w:asciiTheme="majorBidi" w:eastAsiaTheme="majorEastAsia" w:hAnsiTheme="majorBidi" w:cstheme="majorBidi"/>
        </w:rPr>
        <w:lastRenderedPageBreak/>
        <w:t xml:space="preserve">Table </w:t>
      </w:r>
      <w:r w:rsidR="0052261D" w:rsidRPr="00FA7AE7">
        <w:rPr>
          <w:rStyle w:val="Strong"/>
          <w:rFonts w:asciiTheme="majorBidi" w:eastAsiaTheme="majorEastAsia" w:hAnsiTheme="majorBidi" w:cstheme="majorBidi"/>
        </w:rPr>
        <w:t>D</w:t>
      </w:r>
      <w:r w:rsidR="00212A51" w:rsidRPr="00FA7AE7">
        <w:rPr>
          <w:rStyle w:val="Strong"/>
          <w:rFonts w:asciiTheme="majorBidi" w:eastAsiaTheme="majorEastAsia" w:hAnsiTheme="majorBidi" w:cstheme="majorBidi"/>
        </w:rPr>
        <w:t xml:space="preserve">4. </w:t>
      </w:r>
      <w:r w:rsidR="00212A51" w:rsidRPr="00FA7AE7">
        <w:rPr>
          <w:rStyle w:val="Strong"/>
          <w:rFonts w:asciiTheme="majorBidi" w:eastAsiaTheme="majorEastAsia" w:hAnsiTheme="majorBidi" w:cstheme="majorBidi"/>
          <w:b w:val="0"/>
          <w:bCs w:val="0"/>
        </w:rPr>
        <w:t>Structural Model Results and Hypothesis Testing Summary</w:t>
      </w:r>
    </w:p>
    <w:tbl>
      <w:tblPr>
        <w:tblStyle w:val="PlainTable2"/>
        <w:tblW w:w="0" w:type="auto"/>
        <w:tblLook w:val="04A0" w:firstRow="1" w:lastRow="0" w:firstColumn="1" w:lastColumn="0" w:noHBand="0" w:noVBand="1"/>
      </w:tblPr>
      <w:tblGrid>
        <w:gridCol w:w="2659"/>
        <w:gridCol w:w="636"/>
        <w:gridCol w:w="636"/>
        <w:gridCol w:w="923"/>
        <w:gridCol w:w="977"/>
        <w:gridCol w:w="1563"/>
        <w:gridCol w:w="760"/>
        <w:gridCol w:w="1203"/>
      </w:tblGrid>
      <w:tr w:rsidR="00212A51" w:rsidRPr="00FA7AE7" w:rsidTr="0002056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212A51" w:rsidRPr="00FA7AE7" w:rsidRDefault="00212A51" w:rsidP="00020560">
            <w:pPr>
              <w:spacing w:line="360" w:lineRule="auto"/>
              <w:rPr>
                <w:rFonts w:asciiTheme="majorBidi" w:hAnsiTheme="majorBidi" w:cstheme="majorBidi"/>
              </w:rPr>
            </w:pPr>
            <w:r w:rsidRPr="00FA7AE7">
              <w:rPr>
                <w:rFonts w:asciiTheme="majorBidi" w:hAnsiTheme="majorBidi" w:cstheme="majorBidi"/>
              </w:rPr>
              <w:t>Hypothesis &amp; Path</w:t>
            </w:r>
          </w:p>
        </w:tc>
        <w:tc>
          <w:tcPr>
            <w:tcW w:w="0" w:type="auto"/>
            <w:hideMark/>
          </w:tcPr>
          <w:p w:rsidR="00212A51" w:rsidRPr="00FA7AE7" w:rsidRDefault="00212A51" w:rsidP="00020560">
            <w:pPr>
              <w:spacing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β</w:t>
            </w:r>
          </w:p>
        </w:tc>
        <w:tc>
          <w:tcPr>
            <w:tcW w:w="0" w:type="auto"/>
            <w:hideMark/>
          </w:tcPr>
          <w:p w:rsidR="00212A51" w:rsidRPr="00FA7AE7" w:rsidRDefault="00212A51" w:rsidP="00020560">
            <w:pPr>
              <w:spacing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SE</w:t>
            </w:r>
          </w:p>
        </w:tc>
        <w:tc>
          <w:tcPr>
            <w:tcW w:w="0" w:type="auto"/>
            <w:hideMark/>
          </w:tcPr>
          <w:p w:rsidR="00212A51" w:rsidRPr="00FA7AE7" w:rsidRDefault="00212A51" w:rsidP="00020560">
            <w:pPr>
              <w:spacing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t-value</w:t>
            </w:r>
          </w:p>
        </w:tc>
        <w:tc>
          <w:tcPr>
            <w:tcW w:w="0" w:type="auto"/>
            <w:hideMark/>
          </w:tcPr>
          <w:p w:rsidR="00212A51" w:rsidRPr="00FA7AE7" w:rsidRDefault="00212A51" w:rsidP="00020560">
            <w:pPr>
              <w:spacing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p-value</w:t>
            </w:r>
          </w:p>
        </w:tc>
        <w:tc>
          <w:tcPr>
            <w:tcW w:w="0" w:type="auto"/>
            <w:hideMark/>
          </w:tcPr>
          <w:p w:rsidR="00212A51" w:rsidRPr="00FA7AE7" w:rsidRDefault="00212A51" w:rsidP="00020560">
            <w:pPr>
              <w:spacing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95% Boot CI</w:t>
            </w:r>
          </w:p>
        </w:tc>
        <w:tc>
          <w:tcPr>
            <w:tcW w:w="0" w:type="auto"/>
            <w:hideMark/>
          </w:tcPr>
          <w:p w:rsidR="00212A51" w:rsidRPr="00FA7AE7" w:rsidRDefault="00212A51" w:rsidP="00020560">
            <w:pPr>
              <w:spacing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f² / κ²</w:t>
            </w:r>
          </w:p>
        </w:tc>
        <w:tc>
          <w:tcPr>
            <w:tcW w:w="0" w:type="auto"/>
            <w:hideMark/>
          </w:tcPr>
          <w:p w:rsidR="00212A51" w:rsidRPr="00FA7AE7" w:rsidRDefault="00212A51" w:rsidP="00020560">
            <w:pPr>
              <w:spacing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Result</w:t>
            </w:r>
          </w:p>
        </w:tc>
      </w:tr>
      <w:tr w:rsidR="00212A51" w:rsidRPr="00FA7AE7" w:rsidTr="000205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212A51" w:rsidRPr="00FA7AE7" w:rsidRDefault="00212A51" w:rsidP="00020560">
            <w:pPr>
              <w:spacing w:line="360" w:lineRule="auto"/>
              <w:rPr>
                <w:rFonts w:asciiTheme="majorBidi" w:hAnsiTheme="majorBidi" w:cstheme="majorBidi"/>
              </w:rPr>
            </w:pPr>
            <w:r w:rsidRPr="00FA7AE7">
              <w:rPr>
                <w:rStyle w:val="Strong"/>
                <w:rFonts w:asciiTheme="majorBidi" w:hAnsiTheme="majorBidi" w:cstheme="majorBidi"/>
              </w:rPr>
              <w:t>Direct Effects</w:t>
            </w:r>
          </w:p>
        </w:tc>
        <w:tc>
          <w:tcPr>
            <w:tcW w:w="0" w:type="auto"/>
            <w:hideMark/>
          </w:tcPr>
          <w:p w:rsidR="00212A51" w:rsidRPr="00FA7AE7" w:rsidRDefault="00212A51"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0" w:type="auto"/>
            <w:hideMark/>
          </w:tcPr>
          <w:p w:rsidR="00212A51" w:rsidRPr="00FA7AE7" w:rsidRDefault="00212A51"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0" w:type="auto"/>
            <w:hideMark/>
          </w:tcPr>
          <w:p w:rsidR="00212A51" w:rsidRPr="00FA7AE7" w:rsidRDefault="00212A51"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0" w:type="auto"/>
            <w:hideMark/>
          </w:tcPr>
          <w:p w:rsidR="00212A51" w:rsidRPr="00FA7AE7" w:rsidRDefault="00212A51"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0" w:type="auto"/>
            <w:hideMark/>
          </w:tcPr>
          <w:p w:rsidR="00212A51" w:rsidRPr="00FA7AE7" w:rsidRDefault="00212A51"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0" w:type="auto"/>
            <w:hideMark/>
          </w:tcPr>
          <w:p w:rsidR="00212A51" w:rsidRPr="00FA7AE7" w:rsidRDefault="00212A51"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0" w:type="auto"/>
            <w:hideMark/>
          </w:tcPr>
          <w:p w:rsidR="00212A51" w:rsidRPr="00FA7AE7" w:rsidRDefault="00212A51"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r>
      <w:tr w:rsidR="00212A51" w:rsidRPr="00FA7AE7" w:rsidTr="00020560">
        <w:tc>
          <w:tcPr>
            <w:cnfStyle w:val="001000000000" w:firstRow="0" w:lastRow="0" w:firstColumn="1" w:lastColumn="0" w:oddVBand="0" w:evenVBand="0" w:oddHBand="0" w:evenHBand="0" w:firstRowFirstColumn="0" w:firstRowLastColumn="0" w:lastRowFirstColumn="0" w:lastRowLastColumn="0"/>
            <w:tcW w:w="0" w:type="auto"/>
            <w:hideMark/>
          </w:tcPr>
          <w:p w:rsidR="00212A51" w:rsidRPr="00FA7AE7" w:rsidRDefault="00212A51" w:rsidP="00020560">
            <w:pPr>
              <w:spacing w:line="360" w:lineRule="auto"/>
              <w:rPr>
                <w:rFonts w:asciiTheme="majorBidi" w:hAnsiTheme="majorBidi" w:cstheme="majorBidi"/>
              </w:rPr>
            </w:pPr>
            <w:r w:rsidRPr="00FA7AE7">
              <w:rPr>
                <w:rFonts w:asciiTheme="majorBidi" w:hAnsiTheme="majorBidi" w:cstheme="majorBidi"/>
              </w:rPr>
              <w:t>H1: KS → IWB</w:t>
            </w:r>
          </w:p>
        </w:tc>
        <w:tc>
          <w:tcPr>
            <w:tcW w:w="0" w:type="auto"/>
            <w:hideMark/>
          </w:tcPr>
          <w:p w:rsidR="00212A51" w:rsidRPr="00FA7AE7" w:rsidRDefault="00212A51"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.284</w:t>
            </w:r>
          </w:p>
        </w:tc>
        <w:tc>
          <w:tcPr>
            <w:tcW w:w="0" w:type="auto"/>
            <w:hideMark/>
          </w:tcPr>
          <w:p w:rsidR="00212A51" w:rsidRPr="00FA7AE7" w:rsidRDefault="00212A51"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.069</w:t>
            </w:r>
          </w:p>
        </w:tc>
        <w:tc>
          <w:tcPr>
            <w:tcW w:w="0" w:type="auto"/>
            <w:hideMark/>
          </w:tcPr>
          <w:p w:rsidR="00212A51" w:rsidRPr="00FA7AE7" w:rsidRDefault="00212A51"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4.112</w:t>
            </w:r>
          </w:p>
        </w:tc>
        <w:tc>
          <w:tcPr>
            <w:tcW w:w="0" w:type="auto"/>
            <w:hideMark/>
          </w:tcPr>
          <w:p w:rsidR="00212A51" w:rsidRPr="00FA7AE7" w:rsidRDefault="00212A51"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&lt; .001</w:t>
            </w:r>
          </w:p>
        </w:tc>
        <w:tc>
          <w:tcPr>
            <w:tcW w:w="0" w:type="auto"/>
            <w:hideMark/>
          </w:tcPr>
          <w:p w:rsidR="00212A51" w:rsidRPr="00FA7AE7" w:rsidRDefault="00212A51"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w:t>
            </w:r>
          </w:p>
        </w:tc>
        <w:tc>
          <w:tcPr>
            <w:tcW w:w="0" w:type="auto"/>
            <w:hideMark/>
          </w:tcPr>
          <w:p w:rsidR="00212A51" w:rsidRPr="00FA7AE7" w:rsidRDefault="00212A51"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.092</w:t>
            </w:r>
          </w:p>
        </w:tc>
        <w:tc>
          <w:tcPr>
            <w:tcW w:w="0" w:type="auto"/>
            <w:hideMark/>
          </w:tcPr>
          <w:p w:rsidR="00212A51" w:rsidRPr="00FA7AE7" w:rsidRDefault="00212A51"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r w:rsidRPr="00FA7AE7">
              <w:rPr>
                <w:rStyle w:val="Strong"/>
                <w:rFonts w:asciiTheme="majorBidi" w:hAnsiTheme="majorBidi" w:cstheme="majorBidi"/>
                <w:b w:val="0"/>
                <w:bCs w:val="0"/>
              </w:rPr>
              <w:t>Supported</w:t>
            </w:r>
          </w:p>
        </w:tc>
      </w:tr>
      <w:tr w:rsidR="00212A51" w:rsidRPr="00FA7AE7" w:rsidTr="000205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212A51" w:rsidRPr="00FA7AE7" w:rsidRDefault="00212A51" w:rsidP="00020560">
            <w:pPr>
              <w:spacing w:line="360" w:lineRule="auto"/>
              <w:rPr>
                <w:rFonts w:asciiTheme="majorBidi" w:hAnsiTheme="majorBidi" w:cstheme="majorBidi"/>
              </w:rPr>
            </w:pPr>
            <w:r w:rsidRPr="00FA7AE7">
              <w:rPr>
                <w:rFonts w:asciiTheme="majorBidi" w:hAnsiTheme="majorBidi" w:cstheme="majorBidi"/>
              </w:rPr>
              <w:t>H2: KS → WM</w:t>
            </w:r>
          </w:p>
        </w:tc>
        <w:tc>
          <w:tcPr>
            <w:tcW w:w="0" w:type="auto"/>
            <w:hideMark/>
          </w:tcPr>
          <w:p w:rsidR="00212A51" w:rsidRPr="00FA7AE7" w:rsidRDefault="00212A51"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.184</w:t>
            </w:r>
          </w:p>
        </w:tc>
        <w:tc>
          <w:tcPr>
            <w:tcW w:w="0" w:type="auto"/>
            <w:hideMark/>
          </w:tcPr>
          <w:p w:rsidR="00212A51" w:rsidRPr="00FA7AE7" w:rsidRDefault="00212A51"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.070</w:t>
            </w:r>
          </w:p>
        </w:tc>
        <w:tc>
          <w:tcPr>
            <w:tcW w:w="0" w:type="auto"/>
            <w:hideMark/>
          </w:tcPr>
          <w:p w:rsidR="00212A51" w:rsidRPr="00FA7AE7" w:rsidRDefault="00212A51"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2.642</w:t>
            </w:r>
          </w:p>
        </w:tc>
        <w:tc>
          <w:tcPr>
            <w:tcW w:w="0" w:type="auto"/>
            <w:hideMark/>
          </w:tcPr>
          <w:p w:rsidR="00212A51" w:rsidRPr="00FA7AE7" w:rsidRDefault="00212A51"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.008</w:t>
            </w:r>
          </w:p>
        </w:tc>
        <w:tc>
          <w:tcPr>
            <w:tcW w:w="0" w:type="auto"/>
            <w:hideMark/>
          </w:tcPr>
          <w:p w:rsidR="00212A51" w:rsidRPr="00FA7AE7" w:rsidRDefault="00212A51"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w:t>
            </w:r>
          </w:p>
        </w:tc>
        <w:tc>
          <w:tcPr>
            <w:tcW w:w="0" w:type="auto"/>
            <w:hideMark/>
          </w:tcPr>
          <w:p w:rsidR="00212A51" w:rsidRPr="00FA7AE7" w:rsidRDefault="00212A51"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.035</w:t>
            </w:r>
          </w:p>
        </w:tc>
        <w:tc>
          <w:tcPr>
            <w:tcW w:w="0" w:type="auto"/>
            <w:hideMark/>
          </w:tcPr>
          <w:p w:rsidR="00212A51" w:rsidRPr="00FA7AE7" w:rsidRDefault="00212A51"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r w:rsidRPr="00FA7AE7">
              <w:rPr>
                <w:rStyle w:val="Strong"/>
                <w:rFonts w:asciiTheme="majorBidi" w:hAnsiTheme="majorBidi" w:cstheme="majorBidi"/>
                <w:b w:val="0"/>
                <w:bCs w:val="0"/>
              </w:rPr>
              <w:t>Supported</w:t>
            </w:r>
          </w:p>
        </w:tc>
      </w:tr>
      <w:tr w:rsidR="00212A51" w:rsidRPr="00FA7AE7" w:rsidTr="00020560">
        <w:tc>
          <w:tcPr>
            <w:cnfStyle w:val="001000000000" w:firstRow="0" w:lastRow="0" w:firstColumn="1" w:lastColumn="0" w:oddVBand="0" w:evenVBand="0" w:oddHBand="0" w:evenHBand="0" w:firstRowFirstColumn="0" w:firstRowLastColumn="0" w:lastRowFirstColumn="0" w:lastRowLastColumn="0"/>
            <w:tcW w:w="0" w:type="auto"/>
            <w:hideMark/>
          </w:tcPr>
          <w:p w:rsidR="00212A51" w:rsidRPr="00FA7AE7" w:rsidRDefault="00212A51" w:rsidP="00020560">
            <w:pPr>
              <w:spacing w:line="360" w:lineRule="auto"/>
              <w:rPr>
                <w:rFonts w:asciiTheme="majorBidi" w:hAnsiTheme="majorBidi" w:cstheme="majorBidi"/>
              </w:rPr>
            </w:pPr>
            <w:r w:rsidRPr="00FA7AE7">
              <w:rPr>
                <w:rFonts w:asciiTheme="majorBidi" w:hAnsiTheme="majorBidi" w:cstheme="majorBidi"/>
              </w:rPr>
              <w:t>H3: KS → WE</w:t>
            </w:r>
          </w:p>
        </w:tc>
        <w:tc>
          <w:tcPr>
            <w:tcW w:w="0" w:type="auto"/>
            <w:hideMark/>
          </w:tcPr>
          <w:p w:rsidR="00212A51" w:rsidRPr="00FA7AE7" w:rsidRDefault="00212A51"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.194</w:t>
            </w:r>
          </w:p>
        </w:tc>
        <w:tc>
          <w:tcPr>
            <w:tcW w:w="0" w:type="auto"/>
            <w:hideMark/>
          </w:tcPr>
          <w:p w:rsidR="00212A51" w:rsidRPr="00FA7AE7" w:rsidRDefault="00212A51"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.071</w:t>
            </w:r>
          </w:p>
        </w:tc>
        <w:tc>
          <w:tcPr>
            <w:tcW w:w="0" w:type="auto"/>
            <w:hideMark/>
          </w:tcPr>
          <w:p w:rsidR="00212A51" w:rsidRPr="00FA7AE7" w:rsidRDefault="00212A51"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2.731</w:t>
            </w:r>
          </w:p>
        </w:tc>
        <w:tc>
          <w:tcPr>
            <w:tcW w:w="0" w:type="auto"/>
            <w:hideMark/>
          </w:tcPr>
          <w:p w:rsidR="00212A51" w:rsidRPr="00FA7AE7" w:rsidRDefault="00212A51"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.006</w:t>
            </w:r>
          </w:p>
        </w:tc>
        <w:tc>
          <w:tcPr>
            <w:tcW w:w="0" w:type="auto"/>
            <w:hideMark/>
          </w:tcPr>
          <w:p w:rsidR="00212A51" w:rsidRPr="00FA7AE7" w:rsidRDefault="00212A51"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w:t>
            </w:r>
          </w:p>
        </w:tc>
        <w:tc>
          <w:tcPr>
            <w:tcW w:w="0" w:type="auto"/>
            <w:hideMark/>
          </w:tcPr>
          <w:p w:rsidR="00212A51" w:rsidRPr="00FA7AE7" w:rsidRDefault="00212A51"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.039</w:t>
            </w:r>
          </w:p>
        </w:tc>
        <w:tc>
          <w:tcPr>
            <w:tcW w:w="0" w:type="auto"/>
            <w:hideMark/>
          </w:tcPr>
          <w:p w:rsidR="00212A51" w:rsidRPr="00FA7AE7" w:rsidRDefault="00212A51"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r w:rsidRPr="00FA7AE7">
              <w:rPr>
                <w:rStyle w:val="Strong"/>
                <w:rFonts w:asciiTheme="majorBidi" w:hAnsiTheme="majorBidi" w:cstheme="majorBidi"/>
                <w:b w:val="0"/>
                <w:bCs w:val="0"/>
              </w:rPr>
              <w:t>Supported</w:t>
            </w:r>
          </w:p>
        </w:tc>
      </w:tr>
      <w:tr w:rsidR="00212A51" w:rsidRPr="00FA7AE7" w:rsidTr="000205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212A51" w:rsidRPr="00FA7AE7" w:rsidRDefault="00212A51" w:rsidP="00020560">
            <w:pPr>
              <w:spacing w:line="360" w:lineRule="auto"/>
              <w:rPr>
                <w:rFonts w:asciiTheme="majorBidi" w:hAnsiTheme="majorBidi" w:cstheme="majorBidi"/>
              </w:rPr>
            </w:pPr>
            <w:r w:rsidRPr="00FA7AE7">
              <w:rPr>
                <w:rFonts w:asciiTheme="majorBidi" w:hAnsiTheme="majorBidi" w:cstheme="majorBidi"/>
              </w:rPr>
              <w:t>H4: WM → IWB</w:t>
            </w:r>
          </w:p>
        </w:tc>
        <w:tc>
          <w:tcPr>
            <w:tcW w:w="0" w:type="auto"/>
            <w:hideMark/>
          </w:tcPr>
          <w:p w:rsidR="00212A51" w:rsidRPr="00FA7AE7" w:rsidRDefault="00212A51"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.202</w:t>
            </w:r>
          </w:p>
        </w:tc>
        <w:tc>
          <w:tcPr>
            <w:tcW w:w="0" w:type="auto"/>
            <w:hideMark/>
          </w:tcPr>
          <w:p w:rsidR="00212A51" w:rsidRPr="00FA7AE7" w:rsidRDefault="00212A51"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.063</w:t>
            </w:r>
          </w:p>
        </w:tc>
        <w:tc>
          <w:tcPr>
            <w:tcW w:w="0" w:type="auto"/>
            <w:hideMark/>
          </w:tcPr>
          <w:p w:rsidR="00212A51" w:rsidRPr="00FA7AE7" w:rsidRDefault="00212A51"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3.181</w:t>
            </w:r>
          </w:p>
        </w:tc>
        <w:tc>
          <w:tcPr>
            <w:tcW w:w="0" w:type="auto"/>
            <w:hideMark/>
          </w:tcPr>
          <w:p w:rsidR="00212A51" w:rsidRPr="00FA7AE7" w:rsidRDefault="00212A51"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.001</w:t>
            </w:r>
          </w:p>
        </w:tc>
        <w:tc>
          <w:tcPr>
            <w:tcW w:w="0" w:type="auto"/>
            <w:hideMark/>
          </w:tcPr>
          <w:p w:rsidR="00212A51" w:rsidRPr="00FA7AE7" w:rsidRDefault="00212A51"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w:t>
            </w:r>
          </w:p>
        </w:tc>
        <w:tc>
          <w:tcPr>
            <w:tcW w:w="0" w:type="auto"/>
            <w:hideMark/>
          </w:tcPr>
          <w:p w:rsidR="00212A51" w:rsidRPr="00FA7AE7" w:rsidRDefault="00212A51"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.045</w:t>
            </w:r>
          </w:p>
        </w:tc>
        <w:tc>
          <w:tcPr>
            <w:tcW w:w="0" w:type="auto"/>
            <w:hideMark/>
          </w:tcPr>
          <w:p w:rsidR="00212A51" w:rsidRPr="00FA7AE7" w:rsidRDefault="00212A51"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r w:rsidRPr="00FA7AE7">
              <w:rPr>
                <w:rStyle w:val="Strong"/>
                <w:rFonts w:asciiTheme="majorBidi" w:hAnsiTheme="majorBidi" w:cstheme="majorBidi"/>
                <w:b w:val="0"/>
                <w:bCs w:val="0"/>
              </w:rPr>
              <w:t>Supported</w:t>
            </w:r>
          </w:p>
        </w:tc>
      </w:tr>
      <w:tr w:rsidR="00212A51" w:rsidRPr="00FA7AE7" w:rsidTr="00020560">
        <w:tc>
          <w:tcPr>
            <w:cnfStyle w:val="001000000000" w:firstRow="0" w:lastRow="0" w:firstColumn="1" w:lastColumn="0" w:oddVBand="0" w:evenVBand="0" w:oddHBand="0" w:evenHBand="0" w:firstRowFirstColumn="0" w:firstRowLastColumn="0" w:lastRowFirstColumn="0" w:lastRowLastColumn="0"/>
            <w:tcW w:w="0" w:type="auto"/>
            <w:hideMark/>
          </w:tcPr>
          <w:p w:rsidR="00212A51" w:rsidRPr="00FA7AE7" w:rsidRDefault="00212A51" w:rsidP="00020560">
            <w:pPr>
              <w:spacing w:line="360" w:lineRule="auto"/>
              <w:rPr>
                <w:rFonts w:asciiTheme="majorBidi" w:hAnsiTheme="majorBidi" w:cstheme="majorBidi"/>
              </w:rPr>
            </w:pPr>
            <w:r w:rsidRPr="00FA7AE7">
              <w:rPr>
                <w:rFonts w:asciiTheme="majorBidi" w:hAnsiTheme="majorBidi" w:cstheme="majorBidi"/>
              </w:rPr>
              <w:t>H5: WE → IWB</w:t>
            </w:r>
          </w:p>
        </w:tc>
        <w:tc>
          <w:tcPr>
            <w:tcW w:w="0" w:type="auto"/>
            <w:hideMark/>
          </w:tcPr>
          <w:p w:rsidR="00212A51" w:rsidRPr="00FA7AE7" w:rsidRDefault="00212A51"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.229</w:t>
            </w:r>
          </w:p>
        </w:tc>
        <w:tc>
          <w:tcPr>
            <w:tcW w:w="0" w:type="auto"/>
            <w:hideMark/>
          </w:tcPr>
          <w:p w:rsidR="00212A51" w:rsidRPr="00FA7AE7" w:rsidRDefault="00212A51"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.066</w:t>
            </w:r>
          </w:p>
        </w:tc>
        <w:tc>
          <w:tcPr>
            <w:tcW w:w="0" w:type="auto"/>
            <w:hideMark/>
          </w:tcPr>
          <w:p w:rsidR="00212A51" w:rsidRPr="00FA7AE7" w:rsidRDefault="00212A51"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3.475</w:t>
            </w:r>
          </w:p>
        </w:tc>
        <w:tc>
          <w:tcPr>
            <w:tcW w:w="0" w:type="auto"/>
            <w:hideMark/>
          </w:tcPr>
          <w:p w:rsidR="00212A51" w:rsidRPr="00FA7AE7" w:rsidRDefault="00212A51"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&lt; .001</w:t>
            </w:r>
          </w:p>
        </w:tc>
        <w:tc>
          <w:tcPr>
            <w:tcW w:w="0" w:type="auto"/>
            <w:hideMark/>
          </w:tcPr>
          <w:p w:rsidR="00212A51" w:rsidRPr="00FA7AE7" w:rsidRDefault="00212A51"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w:t>
            </w:r>
          </w:p>
        </w:tc>
        <w:tc>
          <w:tcPr>
            <w:tcW w:w="0" w:type="auto"/>
            <w:hideMark/>
          </w:tcPr>
          <w:p w:rsidR="00212A51" w:rsidRPr="00FA7AE7" w:rsidRDefault="00212A51"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.057</w:t>
            </w:r>
          </w:p>
        </w:tc>
        <w:tc>
          <w:tcPr>
            <w:tcW w:w="0" w:type="auto"/>
            <w:hideMark/>
          </w:tcPr>
          <w:p w:rsidR="00212A51" w:rsidRPr="00FA7AE7" w:rsidRDefault="00212A51"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r w:rsidRPr="00FA7AE7">
              <w:rPr>
                <w:rStyle w:val="Strong"/>
                <w:rFonts w:asciiTheme="majorBidi" w:hAnsiTheme="majorBidi" w:cstheme="majorBidi"/>
                <w:b w:val="0"/>
                <w:bCs w:val="0"/>
              </w:rPr>
              <w:t>Supported</w:t>
            </w:r>
          </w:p>
        </w:tc>
      </w:tr>
      <w:tr w:rsidR="00212A51" w:rsidRPr="00FA7AE7" w:rsidTr="000205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212A51" w:rsidRPr="00FA7AE7" w:rsidRDefault="00212A51" w:rsidP="00020560">
            <w:pPr>
              <w:spacing w:line="360" w:lineRule="auto"/>
              <w:rPr>
                <w:rFonts w:asciiTheme="majorBidi" w:hAnsiTheme="majorBidi" w:cstheme="majorBidi"/>
              </w:rPr>
            </w:pPr>
            <w:r w:rsidRPr="00FA7AE7">
              <w:rPr>
                <w:rFonts w:asciiTheme="majorBidi" w:hAnsiTheme="majorBidi" w:cstheme="majorBidi"/>
              </w:rPr>
              <w:t>H8: KS × CSE → IWB</w:t>
            </w:r>
          </w:p>
        </w:tc>
        <w:tc>
          <w:tcPr>
            <w:tcW w:w="0" w:type="auto"/>
            <w:hideMark/>
          </w:tcPr>
          <w:p w:rsidR="00212A51" w:rsidRPr="00FA7AE7" w:rsidRDefault="00212A51"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.118</w:t>
            </w:r>
          </w:p>
        </w:tc>
        <w:tc>
          <w:tcPr>
            <w:tcW w:w="0" w:type="auto"/>
            <w:hideMark/>
          </w:tcPr>
          <w:p w:rsidR="00212A51" w:rsidRPr="00FA7AE7" w:rsidRDefault="00212A51"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.048</w:t>
            </w:r>
          </w:p>
        </w:tc>
        <w:tc>
          <w:tcPr>
            <w:tcW w:w="0" w:type="auto"/>
            <w:hideMark/>
          </w:tcPr>
          <w:p w:rsidR="00212A51" w:rsidRPr="00FA7AE7" w:rsidRDefault="00212A51"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2.458</w:t>
            </w:r>
          </w:p>
        </w:tc>
        <w:tc>
          <w:tcPr>
            <w:tcW w:w="0" w:type="auto"/>
            <w:hideMark/>
          </w:tcPr>
          <w:p w:rsidR="00212A51" w:rsidRPr="00FA7AE7" w:rsidRDefault="00212A51"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.014</w:t>
            </w:r>
          </w:p>
        </w:tc>
        <w:tc>
          <w:tcPr>
            <w:tcW w:w="0" w:type="auto"/>
            <w:hideMark/>
          </w:tcPr>
          <w:p w:rsidR="00212A51" w:rsidRPr="00FA7AE7" w:rsidRDefault="00212A51"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w:t>
            </w:r>
          </w:p>
        </w:tc>
        <w:tc>
          <w:tcPr>
            <w:tcW w:w="0" w:type="auto"/>
            <w:hideMark/>
          </w:tcPr>
          <w:p w:rsidR="00212A51" w:rsidRPr="00FA7AE7" w:rsidRDefault="00212A51"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.018</w:t>
            </w:r>
          </w:p>
        </w:tc>
        <w:tc>
          <w:tcPr>
            <w:tcW w:w="0" w:type="auto"/>
            <w:hideMark/>
          </w:tcPr>
          <w:p w:rsidR="00212A51" w:rsidRPr="00FA7AE7" w:rsidRDefault="00212A51"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r w:rsidRPr="00FA7AE7">
              <w:rPr>
                <w:rStyle w:val="Strong"/>
                <w:rFonts w:asciiTheme="majorBidi" w:hAnsiTheme="majorBidi" w:cstheme="majorBidi"/>
                <w:b w:val="0"/>
                <w:bCs w:val="0"/>
              </w:rPr>
              <w:t>Supported</w:t>
            </w:r>
          </w:p>
        </w:tc>
      </w:tr>
      <w:tr w:rsidR="00BA48E9" w:rsidRPr="00FA7AE7" w:rsidTr="00E22BFB">
        <w:tc>
          <w:tcPr>
            <w:cnfStyle w:val="001000000000" w:firstRow="0" w:lastRow="0" w:firstColumn="1" w:lastColumn="0" w:oddVBand="0" w:evenVBand="0" w:oddHBand="0" w:evenHBand="0" w:firstRowFirstColumn="0" w:firstRowLastColumn="0" w:lastRowFirstColumn="0" w:lastRowLastColumn="0"/>
            <w:tcW w:w="0" w:type="auto"/>
            <w:gridSpan w:val="8"/>
            <w:hideMark/>
          </w:tcPr>
          <w:p w:rsidR="00BA48E9" w:rsidRPr="00FA7AE7" w:rsidRDefault="00BA48E9" w:rsidP="00020560">
            <w:pPr>
              <w:spacing w:line="360" w:lineRule="auto"/>
              <w:rPr>
                <w:rFonts w:asciiTheme="majorBidi" w:hAnsiTheme="majorBidi" w:cstheme="majorBidi"/>
              </w:rPr>
            </w:pPr>
            <w:r w:rsidRPr="00FA7AE7">
              <w:rPr>
                <w:rStyle w:val="Strong"/>
                <w:rFonts w:asciiTheme="majorBidi" w:hAnsiTheme="majorBidi" w:cstheme="majorBidi"/>
              </w:rPr>
              <w:t>Indirect Effects (Mediation)</w:t>
            </w:r>
          </w:p>
        </w:tc>
      </w:tr>
      <w:tr w:rsidR="00212A51" w:rsidRPr="00FA7AE7" w:rsidTr="000205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212A51" w:rsidRPr="00FA7AE7" w:rsidRDefault="00212A51" w:rsidP="00020560">
            <w:pPr>
              <w:spacing w:line="360" w:lineRule="auto"/>
              <w:rPr>
                <w:rFonts w:asciiTheme="majorBidi" w:hAnsiTheme="majorBidi" w:cstheme="majorBidi"/>
              </w:rPr>
            </w:pPr>
            <w:r w:rsidRPr="00FA7AE7">
              <w:rPr>
                <w:rFonts w:asciiTheme="majorBidi" w:hAnsiTheme="majorBidi" w:cstheme="majorBidi"/>
              </w:rPr>
              <w:t>H6: KS → WM → IWB</w:t>
            </w:r>
          </w:p>
        </w:tc>
        <w:tc>
          <w:tcPr>
            <w:tcW w:w="0" w:type="auto"/>
            <w:hideMark/>
          </w:tcPr>
          <w:p w:rsidR="00212A51" w:rsidRPr="00FA7AE7" w:rsidRDefault="00212A51"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.037</w:t>
            </w:r>
          </w:p>
        </w:tc>
        <w:tc>
          <w:tcPr>
            <w:tcW w:w="0" w:type="auto"/>
            <w:hideMark/>
          </w:tcPr>
          <w:p w:rsidR="00212A51" w:rsidRPr="00FA7AE7" w:rsidRDefault="00212A51"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.019</w:t>
            </w:r>
          </w:p>
        </w:tc>
        <w:tc>
          <w:tcPr>
            <w:tcW w:w="0" w:type="auto"/>
            <w:hideMark/>
          </w:tcPr>
          <w:p w:rsidR="00212A51" w:rsidRPr="00FA7AE7" w:rsidRDefault="00212A51"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w:t>
            </w:r>
          </w:p>
        </w:tc>
        <w:tc>
          <w:tcPr>
            <w:tcW w:w="0" w:type="auto"/>
            <w:hideMark/>
          </w:tcPr>
          <w:p w:rsidR="00212A51" w:rsidRPr="00FA7AE7" w:rsidRDefault="00212A51"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w:t>
            </w:r>
          </w:p>
        </w:tc>
        <w:tc>
          <w:tcPr>
            <w:tcW w:w="0" w:type="auto"/>
            <w:hideMark/>
          </w:tcPr>
          <w:p w:rsidR="00212A51" w:rsidRPr="00FA7AE7" w:rsidRDefault="00212A51"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[.005, .078]</w:t>
            </w:r>
          </w:p>
        </w:tc>
        <w:tc>
          <w:tcPr>
            <w:tcW w:w="0" w:type="auto"/>
            <w:hideMark/>
          </w:tcPr>
          <w:p w:rsidR="00212A51" w:rsidRPr="00FA7AE7" w:rsidRDefault="00212A51"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.015</w:t>
            </w:r>
          </w:p>
        </w:tc>
        <w:tc>
          <w:tcPr>
            <w:tcW w:w="0" w:type="auto"/>
            <w:hideMark/>
          </w:tcPr>
          <w:p w:rsidR="00212A51" w:rsidRPr="00FA7AE7" w:rsidRDefault="00212A51"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r w:rsidRPr="00FA7AE7">
              <w:rPr>
                <w:rStyle w:val="Strong"/>
                <w:rFonts w:asciiTheme="majorBidi" w:hAnsiTheme="majorBidi" w:cstheme="majorBidi"/>
                <w:b w:val="0"/>
                <w:bCs w:val="0"/>
              </w:rPr>
              <w:t>Supported</w:t>
            </w:r>
          </w:p>
        </w:tc>
      </w:tr>
      <w:tr w:rsidR="00212A51" w:rsidRPr="00FA7AE7" w:rsidTr="00020560">
        <w:tc>
          <w:tcPr>
            <w:cnfStyle w:val="001000000000" w:firstRow="0" w:lastRow="0" w:firstColumn="1" w:lastColumn="0" w:oddVBand="0" w:evenVBand="0" w:oddHBand="0" w:evenHBand="0" w:firstRowFirstColumn="0" w:firstRowLastColumn="0" w:lastRowFirstColumn="0" w:lastRowLastColumn="0"/>
            <w:tcW w:w="0" w:type="auto"/>
            <w:hideMark/>
          </w:tcPr>
          <w:p w:rsidR="00212A51" w:rsidRPr="00FA7AE7" w:rsidRDefault="00212A51" w:rsidP="00020560">
            <w:pPr>
              <w:spacing w:line="360" w:lineRule="auto"/>
              <w:rPr>
                <w:rFonts w:asciiTheme="majorBidi" w:hAnsiTheme="majorBidi" w:cstheme="majorBidi"/>
              </w:rPr>
            </w:pPr>
            <w:r w:rsidRPr="00FA7AE7">
              <w:rPr>
                <w:rFonts w:asciiTheme="majorBidi" w:hAnsiTheme="majorBidi" w:cstheme="majorBidi"/>
              </w:rPr>
              <w:t>H7: KS → WE → IWB</w:t>
            </w:r>
          </w:p>
        </w:tc>
        <w:tc>
          <w:tcPr>
            <w:tcW w:w="0" w:type="auto"/>
            <w:hideMark/>
          </w:tcPr>
          <w:p w:rsidR="00212A51" w:rsidRPr="00FA7AE7" w:rsidRDefault="00212A51"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.044</w:t>
            </w:r>
          </w:p>
        </w:tc>
        <w:tc>
          <w:tcPr>
            <w:tcW w:w="0" w:type="auto"/>
            <w:hideMark/>
          </w:tcPr>
          <w:p w:rsidR="00212A51" w:rsidRPr="00FA7AE7" w:rsidRDefault="00212A51"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.021</w:t>
            </w:r>
          </w:p>
        </w:tc>
        <w:tc>
          <w:tcPr>
            <w:tcW w:w="0" w:type="auto"/>
            <w:hideMark/>
          </w:tcPr>
          <w:p w:rsidR="00212A51" w:rsidRPr="00FA7AE7" w:rsidRDefault="00212A51"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w:t>
            </w:r>
          </w:p>
        </w:tc>
        <w:tc>
          <w:tcPr>
            <w:tcW w:w="0" w:type="auto"/>
            <w:hideMark/>
          </w:tcPr>
          <w:p w:rsidR="00212A51" w:rsidRPr="00FA7AE7" w:rsidRDefault="00212A51"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w:t>
            </w:r>
          </w:p>
        </w:tc>
        <w:tc>
          <w:tcPr>
            <w:tcW w:w="0" w:type="auto"/>
            <w:hideMark/>
          </w:tcPr>
          <w:p w:rsidR="00212A51" w:rsidRPr="00FA7AE7" w:rsidRDefault="00212A51"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[.007, .089]</w:t>
            </w:r>
          </w:p>
        </w:tc>
        <w:tc>
          <w:tcPr>
            <w:tcW w:w="0" w:type="auto"/>
            <w:hideMark/>
          </w:tcPr>
          <w:p w:rsidR="00212A51" w:rsidRPr="00FA7AE7" w:rsidRDefault="00212A51"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.018</w:t>
            </w:r>
          </w:p>
        </w:tc>
        <w:tc>
          <w:tcPr>
            <w:tcW w:w="0" w:type="auto"/>
            <w:hideMark/>
          </w:tcPr>
          <w:p w:rsidR="00212A51" w:rsidRPr="00FA7AE7" w:rsidRDefault="00212A51"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r w:rsidRPr="00FA7AE7">
              <w:rPr>
                <w:rStyle w:val="Strong"/>
                <w:rFonts w:asciiTheme="majorBidi" w:hAnsiTheme="majorBidi" w:cstheme="majorBidi"/>
                <w:b w:val="0"/>
                <w:bCs w:val="0"/>
              </w:rPr>
              <w:t>Supported</w:t>
            </w:r>
          </w:p>
        </w:tc>
      </w:tr>
      <w:tr w:rsidR="00BA48E9" w:rsidRPr="00FA7AE7" w:rsidTr="00BD6E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8"/>
            <w:hideMark/>
          </w:tcPr>
          <w:p w:rsidR="00BA48E9" w:rsidRPr="00FA7AE7" w:rsidRDefault="00BA48E9" w:rsidP="00020560">
            <w:pPr>
              <w:spacing w:line="360" w:lineRule="auto"/>
              <w:rPr>
                <w:rFonts w:asciiTheme="majorBidi" w:hAnsiTheme="majorBidi" w:cstheme="majorBidi"/>
              </w:rPr>
            </w:pPr>
            <w:r w:rsidRPr="00FA7AE7">
              <w:rPr>
                <w:rStyle w:val="Strong"/>
                <w:rFonts w:asciiTheme="majorBidi" w:hAnsiTheme="majorBidi" w:cstheme="majorBidi"/>
              </w:rPr>
              <w:t>Moderated Mediation (Index)</w:t>
            </w:r>
          </w:p>
        </w:tc>
      </w:tr>
      <w:tr w:rsidR="00212A51" w:rsidRPr="00FA7AE7" w:rsidTr="00020560">
        <w:tc>
          <w:tcPr>
            <w:cnfStyle w:val="001000000000" w:firstRow="0" w:lastRow="0" w:firstColumn="1" w:lastColumn="0" w:oddVBand="0" w:evenVBand="0" w:oddHBand="0" w:evenHBand="0" w:firstRowFirstColumn="0" w:firstRowLastColumn="0" w:lastRowFirstColumn="0" w:lastRowLastColumn="0"/>
            <w:tcW w:w="0" w:type="auto"/>
            <w:hideMark/>
          </w:tcPr>
          <w:p w:rsidR="00212A51" w:rsidRPr="00FA7AE7" w:rsidRDefault="00212A51" w:rsidP="00020560">
            <w:pPr>
              <w:spacing w:line="360" w:lineRule="auto"/>
              <w:rPr>
                <w:rFonts w:asciiTheme="majorBidi" w:hAnsiTheme="majorBidi" w:cstheme="majorBidi"/>
              </w:rPr>
            </w:pPr>
            <w:r w:rsidRPr="00FA7AE7">
              <w:rPr>
                <w:rFonts w:asciiTheme="majorBidi" w:hAnsiTheme="majorBidi" w:cstheme="majorBidi"/>
              </w:rPr>
              <w:t>H9a: Index via WM</w:t>
            </w:r>
          </w:p>
        </w:tc>
        <w:tc>
          <w:tcPr>
            <w:tcW w:w="0" w:type="auto"/>
            <w:hideMark/>
          </w:tcPr>
          <w:p w:rsidR="00212A51" w:rsidRPr="00FA7AE7" w:rsidRDefault="00212A51"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.011</w:t>
            </w:r>
          </w:p>
        </w:tc>
        <w:tc>
          <w:tcPr>
            <w:tcW w:w="0" w:type="auto"/>
            <w:hideMark/>
          </w:tcPr>
          <w:p w:rsidR="00212A51" w:rsidRPr="00FA7AE7" w:rsidRDefault="00212A51"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.006</w:t>
            </w:r>
          </w:p>
        </w:tc>
        <w:tc>
          <w:tcPr>
            <w:tcW w:w="0" w:type="auto"/>
            <w:hideMark/>
          </w:tcPr>
          <w:p w:rsidR="00212A51" w:rsidRPr="00FA7AE7" w:rsidRDefault="00212A51"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w:t>
            </w:r>
          </w:p>
        </w:tc>
        <w:tc>
          <w:tcPr>
            <w:tcW w:w="0" w:type="auto"/>
            <w:hideMark/>
          </w:tcPr>
          <w:p w:rsidR="00212A51" w:rsidRPr="00FA7AE7" w:rsidRDefault="00212A51"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w:t>
            </w:r>
          </w:p>
        </w:tc>
        <w:tc>
          <w:tcPr>
            <w:tcW w:w="0" w:type="auto"/>
            <w:hideMark/>
          </w:tcPr>
          <w:p w:rsidR="00212A51" w:rsidRPr="00FA7AE7" w:rsidRDefault="00212A51"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[.001, .025]</w:t>
            </w:r>
          </w:p>
        </w:tc>
        <w:tc>
          <w:tcPr>
            <w:tcW w:w="0" w:type="auto"/>
            <w:hideMark/>
          </w:tcPr>
          <w:p w:rsidR="00212A51" w:rsidRPr="00FA7AE7" w:rsidRDefault="00212A51"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w:t>
            </w:r>
          </w:p>
        </w:tc>
        <w:tc>
          <w:tcPr>
            <w:tcW w:w="0" w:type="auto"/>
            <w:hideMark/>
          </w:tcPr>
          <w:p w:rsidR="00212A51" w:rsidRPr="00FA7AE7" w:rsidRDefault="00212A51"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r w:rsidRPr="00FA7AE7">
              <w:rPr>
                <w:rStyle w:val="Strong"/>
                <w:rFonts w:asciiTheme="majorBidi" w:hAnsiTheme="majorBidi" w:cstheme="majorBidi"/>
                <w:b w:val="0"/>
                <w:bCs w:val="0"/>
              </w:rPr>
              <w:t>Supported</w:t>
            </w:r>
          </w:p>
        </w:tc>
      </w:tr>
      <w:tr w:rsidR="00212A51" w:rsidRPr="00FA7AE7" w:rsidTr="000205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212A51" w:rsidRPr="00FA7AE7" w:rsidRDefault="00212A51" w:rsidP="00020560">
            <w:pPr>
              <w:spacing w:line="360" w:lineRule="auto"/>
              <w:rPr>
                <w:rFonts w:asciiTheme="majorBidi" w:hAnsiTheme="majorBidi" w:cstheme="majorBidi"/>
              </w:rPr>
            </w:pPr>
            <w:r w:rsidRPr="00FA7AE7">
              <w:rPr>
                <w:rFonts w:asciiTheme="majorBidi" w:hAnsiTheme="majorBidi" w:cstheme="majorBidi"/>
              </w:rPr>
              <w:t>H9b: Index via WM</w:t>
            </w:r>
          </w:p>
        </w:tc>
        <w:tc>
          <w:tcPr>
            <w:tcW w:w="0" w:type="auto"/>
            <w:hideMark/>
          </w:tcPr>
          <w:p w:rsidR="00212A51" w:rsidRPr="00FA7AE7" w:rsidRDefault="00212A51"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.009</w:t>
            </w:r>
          </w:p>
        </w:tc>
        <w:tc>
          <w:tcPr>
            <w:tcW w:w="0" w:type="auto"/>
            <w:hideMark/>
          </w:tcPr>
          <w:p w:rsidR="00212A51" w:rsidRPr="00FA7AE7" w:rsidRDefault="00212A51"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.005</w:t>
            </w:r>
          </w:p>
        </w:tc>
        <w:tc>
          <w:tcPr>
            <w:tcW w:w="0" w:type="auto"/>
            <w:hideMark/>
          </w:tcPr>
          <w:p w:rsidR="00212A51" w:rsidRPr="00FA7AE7" w:rsidRDefault="00212A51"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w:t>
            </w:r>
          </w:p>
        </w:tc>
        <w:tc>
          <w:tcPr>
            <w:tcW w:w="0" w:type="auto"/>
            <w:hideMark/>
          </w:tcPr>
          <w:p w:rsidR="00212A51" w:rsidRPr="00FA7AE7" w:rsidRDefault="00212A51"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w:t>
            </w:r>
          </w:p>
        </w:tc>
        <w:tc>
          <w:tcPr>
            <w:tcW w:w="0" w:type="auto"/>
            <w:hideMark/>
          </w:tcPr>
          <w:p w:rsidR="00212A51" w:rsidRPr="00FA7AE7" w:rsidRDefault="00212A51"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[.001, .022]</w:t>
            </w:r>
          </w:p>
        </w:tc>
        <w:tc>
          <w:tcPr>
            <w:tcW w:w="0" w:type="auto"/>
            <w:hideMark/>
          </w:tcPr>
          <w:p w:rsidR="00212A51" w:rsidRPr="00FA7AE7" w:rsidRDefault="00212A51"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w:t>
            </w:r>
          </w:p>
        </w:tc>
        <w:tc>
          <w:tcPr>
            <w:tcW w:w="0" w:type="auto"/>
            <w:hideMark/>
          </w:tcPr>
          <w:p w:rsidR="00212A51" w:rsidRPr="00FA7AE7" w:rsidRDefault="00212A51"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r w:rsidRPr="00FA7AE7">
              <w:rPr>
                <w:rStyle w:val="Strong"/>
                <w:rFonts w:asciiTheme="majorBidi" w:hAnsiTheme="majorBidi" w:cstheme="majorBidi"/>
                <w:b w:val="0"/>
                <w:bCs w:val="0"/>
              </w:rPr>
              <w:t>Supported</w:t>
            </w:r>
          </w:p>
        </w:tc>
      </w:tr>
    </w:tbl>
    <w:p w:rsidR="00212A51" w:rsidRPr="00FA7AE7" w:rsidRDefault="00212A51" w:rsidP="00212A51">
      <w:pPr>
        <w:pStyle w:val="ds-markdown-paragraph"/>
        <w:shd w:val="clear" w:color="auto" w:fill="FFFFFF"/>
        <w:spacing w:before="240" w:beforeAutospacing="0" w:after="240" w:afterAutospacing="0"/>
        <w:rPr>
          <w:rFonts w:asciiTheme="majorBidi" w:hAnsiTheme="majorBidi" w:cstheme="majorBidi"/>
        </w:rPr>
      </w:pPr>
      <w:r w:rsidRPr="00FA7AE7">
        <w:rPr>
          <w:rFonts w:asciiTheme="majorBidi" w:hAnsiTheme="majorBidi" w:cstheme="majorBidi"/>
          <w:b/>
          <w:bCs/>
          <w:i/>
          <w:iCs/>
        </w:rPr>
        <w:t>Notes</w:t>
      </w:r>
      <w:r w:rsidRPr="00FA7AE7">
        <w:rPr>
          <w:rFonts w:asciiTheme="majorBidi" w:hAnsiTheme="majorBidi" w:cstheme="majorBidi"/>
        </w:rPr>
        <w:t>:</w:t>
      </w:r>
      <w:r w:rsidRPr="00FA7AE7">
        <w:rPr>
          <w:rFonts w:asciiTheme="majorBidi" w:hAnsiTheme="majorBidi" w:cstheme="majorBidi"/>
          <w:i/>
          <w:iCs/>
        </w:rPr>
        <w:t xml:space="preserve"> β = Standardized coefficient; SE = Standard Error; Boot CI = Bias-corrected bootstrap 95% confidence interval (5,000 samples); f² = effect size for direct paths (small ≥ .02, medium ≥ .15, large ≥ .35); κ² = effect size for indirect paths (small ≥ .01). For H6, H7, H9, support is determined by Boot CI not including zero</w:t>
      </w:r>
      <w:r w:rsidRPr="00FA7AE7">
        <w:rPr>
          <w:rFonts w:asciiTheme="majorBidi" w:hAnsiTheme="majorBidi" w:cstheme="majorBidi"/>
        </w:rPr>
        <w:t>.</w:t>
      </w:r>
    </w:p>
    <w:p w:rsidR="00B222B2" w:rsidRDefault="00B222B2">
      <w:pPr>
        <w:spacing w:line="259" w:lineRule="auto"/>
        <w:rPr>
          <w:rFonts w:asciiTheme="majorBidi" w:hAnsiTheme="majorBidi" w:cstheme="majorBidi"/>
        </w:rPr>
      </w:pPr>
    </w:p>
    <w:p w:rsidR="00FA7AE7" w:rsidRPr="00FA7AE7" w:rsidRDefault="00FA7AE7">
      <w:pPr>
        <w:spacing w:line="259" w:lineRule="auto"/>
        <w:rPr>
          <w:rFonts w:asciiTheme="majorBidi" w:hAnsiTheme="majorBidi" w:cstheme="majorBidi"/>
        </w:rPr>
      </w:pPr>
    </w:p>
    <w:p w:rsidR="00FA7AE7" w:rsidRDefault="00FA7AE7">
      <w:pPr>
        <w:spacing w:line="259" w:lineRule="auto"/>
        <w:rPr>
          <w:rFonts w:asciiTheme="majorBidi" w:eastAsiaTheme="majorEastAsia" w:hAnsiTheme="majorBidi" w:cstheme="majorBidi"/>
          <w:color w:val="2F5496" w:themeColor="accent1" w:themeShade="BF"/>
          <w:sz w:val="32"/>
          <w:szCs w:val="32"/>
        </w:rPr>
      </w:pPr>
      <w:r>
        <w:rPr>
          <w:rFonts w:asciiTheme="majorBidi" w:hAnsiTheme="majorBidi"/>
        </w:rPr>
        <w:br w:type="page"/>
      </w:r>
    </w:p>
    <w:p w:rsidR="00B222B2" w:rsidRPr="00FA7AE7" w:rsidRDefault="00B222B2" w:rsidP="00B222B2">
      <w:pPr>
        <w:pStyle w:val="Heading1"/>
        <w:rPr>
          <w:rFonts w:asciiTheme="majorBidi" w:hAnsiTheme="majorBidi"/>
        </w:rPr>
      </w:pPr>
      <w:r w:rsidRPr="00FA7AE7">
        <w:rPr>
          <w:rFonts w:asciiTheme="majorBidi" w:hAnsiTheme="majorBidi"/>
        </w:rPr>
        <w:lastRenderedPageBreak/>
        <w:t xml:space="preserve">Appendix </w:t>
      </w:r>
      <w:r w:rsidR="0052261D" w:rsidRPr="00FA7AE7">
        <w:rPr>
          <w:rFonts w:asciiTheme="majorBidi" w:hAnsiTheme="majorBidi"/>
        </w:rPr>
        <w:t>E</w:t>
      </w:r>
    </w:p>
    <w:p w:rsidR="00B222B2" w:rsidRPr="00FA7AE7" w:rsidRDefault="00B222B2" w:rsidP="00B222B2">
      <w:pPr>
        <w:pStyle w:val="ds-markdown-paragraph"/>
        <w:shd w:val="clear" w:color="auto" w:fill="FFFFFF"/>
        <w:spacing w:before="240" w:beforeAutospacing="0" w:after="240" w:afterAutospacing="0" w:line="360" w:lineRule="auto"/>
        <w:rPr>
          <w:rFonts w:asciiTheme="majorBidi" w:hAnsiTheme="majorBidi" w:cstheme="majorBidi"/>
        </w:rPr>
      </w:pPr>
      <w:bookmarkStart w:id="0" w:name="_GoBack"/>
      <w:bookmarkEnd w:id="0"/>
    </w:p>
    <w:p w:rsidR="00B222B2" w:rsidRPr="00FA7AE7" w:rsidRDefault="00B222B2" w:rsidP="00B222B2">
      <w:pPr>
        <w:pStyle w:val="ds-markdown-paragraph"/>
        <w:shd w:val="clear" w:color="auto" w:fill="FFFFFF"/>
        <w:spacing w:before="240" w:beforeAutospacing="0" w:after="240" w:afterAutospacing="0" w:line="360" w:lineRule="auto"/>
        <w:rPr>
          <w:rStyle w:val="Strong"/>
          <w:rFonts w:asciiTheme="majorBidi" w:eastAsiaTheme="majorEastAsia" w:hAnsiTheme="majorBidi" w:cstheme="majorBidi"/>
        </w:rPr>
      </w:pPr>
      <w:r w:rsidRPr="00FA7AE7">
        <w:rPr>
          <w:rStyle w:val="Strong"/>
          <w:rFonts w:asciiTheme="majorBidi" w:eastAsiaTheme="majorEastAsia" w:hAnsiTheme="majorBidi" w:cstheme="majorBidi"/>
        </w:rPr>
        <w:t xml:space="preserve">Figure </w:t>
      </w:r>
      <w:r w:rsidR="0052261D" w:rsidRPr="00FA7AE7">
        <w:rPr>
          <w:rStyle w:val="Strong"/>
          <w:rFonts w:asciiTheme="majorBidi" w:eastAsiaTheme="majorEastAsia" w:hAnsiTheme="majorBidi" w:cstheme="majorBidi"/>
        </w:rPr>
        <w:t>E</w:t>
      </w:r>
      <w:r w:rsidRPr="00FA7AE7">
        <w:rPr>
          <w:rStyle w:val="Strong"/>
          <w:rFonts w:asciiTheme="majorBidi" w:eastAsiaTheme="majorEastAsia" w:hAnsiTheme="majorBidi" w:cstheme="majorBidi"/>
        </w:rPr>
        <w:t>1. The Moderating Effect of Creative Self-Efficacy on the KS-IWB Relationship</w:t>
      </w:r>
    </w:p>
    <w:p w:rsidR="00B222B2" w:rsidRPr="00FA7AE7" w:rsidRDefault="00B222B2" w:rsidP="00B222B2">
      <w:pPr>
        <w:pStyle w:val="ds-markdown-paragraph"/>
        <w:shd w:val="clear" w:color="auto" w:fill="FFFFFF"/>
        <w:spacing w:before="240" w:beforeAutospacing="0" w:after="240" w:afterAutospacing="0" w:line="360" w:lineRule="auto"/>
        <w:rPr>
          <w:rFonts w:asciiTheme="majorBidi" w:hAnsiTheme="majorBidi" w:cstheme="majorBidi"/>
        </w:rPr>
      </w:pPr>
      <w:r w:rsidRPr="00FA7AE7">
        <w:rPr>
          <w:rFonts w:asciiTheme="majorBidi" w:hAnsiTheme="majorBidi" w:cstheme="majorBidi"/>
          <w:noProof/>
        </w:rPr>
        <w:drawing>
          <wp:inline distT="0" distB="0" distL="0" distR="0" wp14:anchorId="2841B567" wp14:editId="7BD8EBD5">
            <wp:extent cx="5791200" cy="4330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95743" cy="4334097"/>
                    </a:xfrm>
                    <a:prstGeom prst="rect">
                      <a:avLst/>
                    </a:prstGeom>
                  </pic:spPr>
                </pic:pic>
              </a:graphicData>
            </a:graphic>
          </wp:inline>
        </w:drawing>
      </w:r>
    </w:p>
    <w:p w:rsidR="00B222B2" w:rsidRPr="00FA7AE7" w:rsidRDefault="00B222B2" w:rsidP="00B222B2">
      <w:pPr>
        <w:pStyle w:val="ds-markdown-paragraph"/>
        <w:shd w:val="clear" w:color="auto" w:fill="FFFFFF"/>
        <w:spacing w:before="240" w:beforeAutospacing="0" w:after="240" w:afterAutospacing="0"/>
        <w:rPr>
          <w:rFonts w:asciiTheme="majorBidi" w:hAnsiTheme="majorBidi" w:cstheme="majorBidi"/>
        </w:rPr>
      </w:pPr>
      <w:r w:rsidRPr="00FA7AE7">
        <w:rPr>
          <w:rFonts w:asciiTheme="majorBidi" w:hAnsiTheme="majorBidi" w:cstheme="majorBidi"/>
          <w:b/>
          <w:bCs/>
        </w:rPr>
        <w:t>Note:</w:t>
      </w:r>
      <w:r w:rsidRPr="00FA7AE7">
        <w:rPr>
          <w:rFonts w:asciiTheme="majorBidi" w:hAnsiTheme="majorBidi" w:cstheme="majorBidi"/>
        </w:rPr>
        <w:t xml:space="preserve"> The moderating effect of CSE on the relationship between KS and Innovative Work Behavior (IWB). The relationship is significantly stronger for individuals with high CSE (simple slope: β = .402, p &lt; .001) than for those with low CSE (simple slope: β = .166, p = .023).</w:t>
      </w:r>
    </w:p>
    <w:p w:rsidR="00B222B2" w:rsidRPr="00FA7AE7" w:rsidRDefault="00B222B2">
      <w:pPr>
        <w:spacing w:line="259" w:lineRule="auto"/>
        <w:rPr>
          <w:rFonts w:asciiTheme="majorBidi" w:hAnsiTheme="majorBidi" w:cstheme="majorBidi"/>
        </w:rPr>
      </w:pPr>
      <w:r w:rsidRPr="00FA7AE7">
        <w:rPr>
          <w:rFonts w:asciiTheme="majorBidi" w:hAnsiTheme="majorBidi" w:cstheme="majorBidi"/>
        </w:rPr>
        <w:br w:type="page"/>
      </w:r>
    </w:p>
    <w:p w:rsidR="00B222B2" w:rsidRPr="00FA7AE7" w:rsidRDefault="00B222B2" w:rsidP="00B222B2">
      <w:pPr>
        <w:pStyle w:val="Heading1"/>
        <w:rPr>
          <w:rFonts w:asciiTheme="majorBidi" w:hAnsiTheme="majorBidi"/>
        </w:rPr>
      </w:pPr>
      <w:r w:rsidRPr="00FA7AE7">
        <w:rPr>
          <w:rFonts w:asciiTheme="majorBidi" w:hAnsiTheme="majorBidi"/>
        </w:rPr>
        <w:lastRenderedPageBreak/>
        <w:t xml:space="preserve">Appendix </w:t>
      </w:r>
      <w:r w:rsidR="0052261D" w:rsidRPr="00FA7AE7">
        <w:rPr>
          <w:rFonts w:asciiTheme="majorBidi" w:hAnsiTheme="majorBidi"/>
        </w:rPr>
        <w:t>F</w:t>
      </w:r>
    </w:p>
    <w:p w:rsidR="00B222B2" w:rsidRPr="00FA7AE7" w:rsidRDefault="00B222B2" w:rsidP="00B222B2">
      <w:pPr>
        <w:pStyle w:val="ds-markdown-paragraph"/>
        <w:shd w:val="clear" w:color="auto" w:fill="FFFFFF"/>
        <w:spacing w:before="240" w:beforeAutospacing="0" w:after="240" w:afterAutospacing="0" w:line="360" w:lineRule="auto"/>
        <w:rPr>
          <w:rFonts w:asciiTheme="majorBidi" w:hAnsiTheme="majorBidi" w:cstheme="majorBidi"/>
        </w:rPr>
      </w:pPr>
      <w:r w:rsidRPr="00FA7AE7">
        <w:rPr>
          <w:rStyle w:val="Strong"/>
          <w:rFonts w:asciiTheme="majorBidi" w:eastAsiaTheme="majorEastAsia" w:hAnsiTheme="majorBidi" w:cstheme="majorBidi"/>
        </w:rPr>
        <w:t xml:space="preserve">Table </w:t>
      </w:r>
      <w:r w:rsidR="0052261D" w:rsidRPr="00FA7AE7">
        <w:rPr>
          <w:rStyle w:val="Strong"/>
          <w:rFonts w:asciiTheme="majorBidi" w:eastAsiaTheme="majorEastAsia" w:hAnsiTheme="majorBidi" w:cstheme="majorBidi"/>
        </w:rPr>
        <w:t>F</w:t>
      </w:r>
      <w:r w:rsidRPr="00FA7AE7">
        <w:rPr>
          <w:rStyle w:val="Strong"/>
          <w:rFonts w:asciiTheme="majorBidi" w:eastAsiaTheme="majorEastAsia" w:hAnsiTheme="majorBidi" w:cstheme="majorBidi"/>
        </w:rPr>
        <w:t xml:space="preserve">1. </w:t>
      </w:r>
      <w:r w:rsidRPr="00FA7AE7">
        <w:rPr>
          <w:rStyle w:val="Strong"/>
          <w:rFonts w:asciiTheme="majorBidi" w:eastAsiaTheme="majorEastAsia" w:hAnsiTheme="majorBidi" w:cstheme="majorBidi"/>
          <w:b w:val="0"/>
          <w:bCs w:val="0"/>
        </w:rPr>
        <w:t>Goodness-of-Fit Indices for the Final Structural Model</w:t>
      </w:r>
    </w:p>
    <w:tbl>
      <w:tblPr>
        <w:tblStyle w:val="PlainTable2"/>
        <w:tblW w:w="0" w:type="auto"/>
        <w:tblLook w:val="04A0" w:firstRow="1" w:lastRow="0" w:firstColumn="1" w:lastColumn="0" w:noHBand="0" w:noVBand="1"/>
      </w:tblPr>
      <w:tblGrid>
        <w:gridCol w:w="1850"/>
        <w:gridCol w:w="1157"/>
        <w:gridCol w:w="1583"/>
        <w:gridCol w:w="2841"/>
        <w:gridCol w:w="1337"/>
      </w:tblGrid>
      <w:tr w:rsidR="00B222B2" w:rsidRPr="00FA7AE7" w:rsidTr="0002056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B222B2" w:rsidRPr="00FA7AE7" w:rsidRDefault="00B222B2" w:rsidP="00020560">
            <w:pPr>
              <w:spacing w:line="360" w:lineRule="auto"/>
              <w:rPr>
                <w:rFonts w:asciiTheme="majorBidi" w:hAnsiTheme="majorBidi" w:cstheme="majorBidi"/>
              </w:rPr>
            </w:pPr>
            <w:r w:rsidRPr="00FA7AE7">
              <w:rPr>
                <w:rFonts w:asciiTheme="majorBidi" w:hAnsiTheme="majorBidi" w:cstheme="majorBidi"/>
              </w:rPr>
              <w:t>Fit Category</w:t>
            </w:r>
          </w:p>
        </w:tc>
        <w:tc>
          <w:tcPr>
            <w:tcW w:w="0" w:type="auto"/>
            <w:hideMark/>
          </w:tcPr>
          <w:p w:rsidR="00B222B2" w:rsidRPr="00FA7AE7" w:rsidRDefault="00B222B2" w:rsidP="00020560">
            <w:pPr>
              <w:spacing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Fit Index</w:t>
            </w:r>
          </w:p>
        </w:tc>
        <w:tc>
          <w:tcPr>
            <w:tcW w:w="0" w:type="auto"/>
            <w:hideMark/>
          </w:tcPr>
          <w:p w:rsidR="00B222B2" w:rsidRPr="00FA7AE7" w:rsidRDefault="00B222B2" w:rsidP="00020560">
            <w:pPr>
              <w:spacing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Model Result</w:t>
            </w:r>
          </w:p>
        </w:tc>
        <w:tc>
          <w:tcPr>
            <w:tcW w:w="0" w:type="auto"/>
            <w:hideMark/>
          </w:tcPr>
          <w:p w:rsidR="00B222B2" w:rsidRPr="00FA7AE7" w:rsidRDefault="00B222B2" w:rsidP="00020560">
            <w:pPr>
              <w:spacing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Recommended Threshold</w:t>
            </w:r>
          </w:p>
        </w:tc>
        <w:tc>
          <w:tcPr>
            <w:tcW w:w="0" w:type="auto"/>
            <w:hideMark/>
          </w:tcPr>
          <w:p w:rsidR="00B222B2" w:rsidRPr="00FA7AE7" w:rsidRDefault="00B222B2" w:rsidP="00020560">
            <w:pPr>
              <w:spacing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Evaluation</w:t>
            </w:r>
          </w:p>
        </w:tc>
      </w:tr>
      <w:tr w:rsidR="00B222B2" w:rsidRPr="00FA7AE7" w:rsidTr="000205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B222B2" w:rsidRPr="00FA7AE7" w:rsidRDefault="00B222B2" w:rsidP="00020560">
            <w:pPr>
              <w:spacing w:line="360" w:lineRule="auto"/>
              <w:rPr>
                <w:rFonts w:asciiTheme="majorBidi" w:hAnsiTheme="majorBidi" w:cstheme="majorBidi"/>
              </w:rPr>
            </w:pPr>
            <w:r w:rsidRPr="00FA7AE7">
              <w:rPr>
                <w:rStyle w:val="Strong"/>
                <w:rFonts w:asciiTheme="majorBidi" w:hAnsiTheme="majorBidi" w:cstheme="majorBidi"/>
              </w:rPr>
              <w:t>Absolute Fit</w:t>
            </w:r>
          </w:p>
        </w:tc>
        <w:tc>
          <w:tcPr>
            <w:tcW w:w="0" w:type="auto"/>
            <w:hideMark/>
          </w:tcPr>
          <w:p w:rsidR="00B222B2" w:rsidRPr="00FA7AE7" w:rsidRDefault="00B222B2"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χ²/df</w:t>
            </w:r>
          </w:p>
        </w:tc>
        <w:tc>
          <w:tcPr>
            <w:tcW w:w="0" w:type="auto"/>
            <w:hideMark/>
          </w:tcPr>
          <w:p w:rsidR="00B222B2" w:rsidRPr="00FA7AE7" w:rsidRDefault="00B222B2"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1.251</w:t>
            </w:r>
          </w:p>
        </w:tc>
        <w:tc>
          <w:tcPr>
            <w:tcW w:w="0" w:type="auto"/>
            <w:hideMark/>
          </w:tcPr>
          <w:p w:rsidR="00B222B2" w:rsidRPr="00FA7AE7" w:rsidRDefault="00B222B2"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 3.0</w:t>
            </w:r>
          </w:p>
        </w:tc>
        <w:tc>
          <w:tcPr>
            <w:tcW w:w="0" w:type="auto"/>
            <w:hideMark/>
          </w:tcPr>
          <w:p w:rsidR="00B222B2" w:rsidRPr="00FA7AE7" w:rsidRDefault="00B222B2"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Excellent</w:t>
            </w:r>
          </w:p>
        </w:tc>
      </w:tr>
      <w:tr w:rsidR="00B222B2" w:rsidRPr="00FA7AE7" w:rsidTr="00020560">
        <w:tc>
          <w:tcPr>
            <w:cnfStyle w:val="001000000000" w:firstRow="0" w:lastRow="0" w:firstColumn="1" w:lastColumn="0" w:oddVBand="0" w:evenVBand="0" w:oddHBand="0" w:evenHBand="0" w:firstRowFirstColumn="0" w:firstRowLastColumn="0" w:lastRowFirstColumn="0" w:lastRowLastColumn="0"/>
            <w:tcW w:w="0" w:type="auto"/>
            <w:hideMark/>
          </w:tcPr>
          <w:p w:rsidR="00B222B2" w:rsidRPr="00FA7AE7" w:rsidRDefault="00B222B2" w:rsidP="00020560">
            <w:pPr>
              <w:spacing w:line="360" w:lineRule="auto"/>
              <w:rPr>
                <w:rFonts w:asciiTheme="majorBidi" w:hAnsiTheme="majorBidi" w:cstheme="majorBidi"/>
              </w:rPr>
            </w:pPr>
          </w:p>
        </w:tc>
        <w:tc>
          <w:tcPr>
            <w:tcW w:w="0" w:type="auto"/>
            <w:hideMark/>
          </w:tcPr>
          <w:p w:rsidR="00B222B2" w:rsidRPr="00FA7AE7" w:rsidRDefault="00B222B2"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RMSEA</w:t>
            </w:r>
          </w:p>
        </w:tc>
        <w:tc>
          <w:tcPr>
            <w:tcW w:w="0" w:type="auto"/>
            <w:hideMark/>
          </w:tcPr>
          <w:p w:rsidR="00B222B2" w:rsidRPr="00FA7AE7" w:rsidRDefault="00B222B2"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.024</w:t>
            </w:r>
          </w:p>
        </w:tc>
        <w:tc>
          <w:tcPr>
            <w:tcW w:w="0" w:type="auto"/>
            <w:hideMark/>
          </w:tcPr>
          <w:p w:rsidR="00B222B2" w:rsidRPr="00FA7AE7" w:rsidRDefault="00B222B2"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 .06 (Good)</w:t>
            </w:r>
          </w:p>
        </w:tc>
        <w:tc>
          <w:tcPr>
            <w:tcW w:w="0" w:type="auto"/>
            <w:hideMark/>
          </w:tcPr>
          <w:p w:rsidR="00B222B2" w:rsidRPr="00FA7AE7" w:rsidRDefault="00B222B2"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Excellent</w:t>
            </w:r>
          </w:p>
        </w:tc>
      </w:tr>
      <w:tr w:rsidR="00B222B2" w:rsidRPr="00FA7AE7" w:rsidTr="000205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B222B2" w:rsidRPr="00FA7AE7" w:rsidRDefault="00B222B2" w:rsidP="00020560">
            <w:pPr>
              <w:spacing w:line="360" w:lineRule="auto"/>
              <w:rPr>
                <w:rFonts w:asciiTheme="majorBidi" w:hAnsiTheme="majorBidi" w:cstheme="majorBidi"/>
              </w:rPr>
            </w:pPr>
          </w:p>
        </w:tc>
        <w:tc>
          <w:tcPr>
            <w:tcW w:w="0" w:type="auto"/>
            <w:hideMark/>
          </w:tcPr>
          <w:p w:rsidR="00B222B2" w:rsidRPr="00FA7AE7" w:rsidRDefault="00B222B2"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SRMR</w:t>
            </w:r>
          </w:p>
        </w:tc>
        <w:tc>
          <w:tcPr>
            <w:tcW w:w="0" w:type="auto"/>
            <w:hideMark/>
          </w:tcPr>
          <w:p w:rsidR="00B222B2" w:rsidRPr="00FA7AE7" w:rsidRDefault="00B222B2"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.048</w:t>
            </w:r>
          </w:p>
        </w:tc>
        <w:tc>
          <w:tcPr>
            <w:tcW w:w="0" w:type="auto"/>
            <w:hideMark/>
          </w:tcPr>
          <w:p w:rsidR="00B222B2" w:rsidRPr="00FA7AE7" w:rsidRDefault="00B222B2"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 .08</w:t>
            </w:r>
          </w:p>
        </w:tc>
        <w:tc>
          <w:tcPr>
            <w:tcW w:w="0" w:type="auto"/>
            <w:hideMark/>
          </w:tcPr>
          <w:p w:rsidR="00B222B2" w:rsidRPr="00FA7AE7" w:rsidRDefault="00B222B2"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Excellent</w:t>
            </w:r>
          </w:p>
        </w:tc>
      </w:tr>
      <w:tr w:rsidR="00B222B2" w:rsidRPr="00FA7AE7" w:rsidTr="00020560">
        <w:tc>
          <w:tcPr>
            <w:cnfStyle w:val="001000000000" w:firstRow="0" w:lastRow="0" w:firstColumn="1" w:lastColumn="0" w:oddVBand="0" w:evenVBand="0" w:oddHBand="0" w:evenHBand="0" w:firstRowFirstColumn="0" w:firstRowLastColumn="0" w:lastRowFirstColumn="0" w:lastRowLastColumn="0"/>
            <w:tcW w:w="0" w:type="auto"/>
            <w:hideMark/>
          </w:tcPr>
          <w:p w:rsidR="00B222B2" w:rsidRPr="00FA7AE7" w:rsidRDefault="00B222B2" w:rsidP="00020560">
            <w:pPr>
              <w:spacing w:line="360" w:lineRule="auto"/>
              <w:rPr>
                <w:rFonts w:asciiTheme="majorBidi" w:hAnsiTheme="majorBidi" w:cstheme="majorBidi"/>
              </w:rPr>
            </w:pPr>
            <w:r w:rsidRPr="00FA7AE7">
              <w:rPr>
                <w:rStyle w:val="Strong"/>
                <w:rFonts w:asciiTheme="majorBidi" w:hAnsiTheme="majorBidi" w:cstheme="majorBidi"/>
              </w:rPr>
              <w:t>Incremental Fit</w:t>
            </w:r>
          </w:p>
        </w:tc>
        <w:tc>
          <w:tcPr>
            <w:tcW w:w="0" w:type="auto"/>
            <w:hideMark/>
          </w:tcPr>
          <w:p w:rsidR="00B222B2" w:rsidRPr="00FA7AE7" w:rsidRDefault="00B222B2"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CFI</w:t>
            </w:r>
          </w:p>
        </w:tc>
        <w:tc>
          <w:tcPr>
            <w:tcW w:w="0" w:type="auto"/>
            <w:hideMark/>
          </w:tcPr>
          <w:p w:rsidR="00B222B2" w:rsidRPr="00FA7AE7" w:rsidRDefault="00B222B2"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.987</w:t>
            </w:r>
          </w:p>
        </w:tc>
        <w:tc>
          <w:tcPr>
            <w:tcW w:w="0" w:type="auto"/>
            <w:hideMark/>
          </w:tcPr>
          <w:p w:rsidR="00B222B2" w:rsidRPr="00FA7AE7" w:rsidRDefault="00B222B2"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 .95</w:t>
            </w:r>
          </w:p>
        </w:tc>
        <w:tc>
          <w:tcPr>
            <w:tcW w:w="0" w:type="auto"/>
            <w:hideMark/>
          </w:tcPr>
          <w:p w:rsidR="00B222B2" w:rsidRPr="00FA7AE7" w:rsidRDefault="00B222B2"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Excellent</w:t>
            </w:r>
          </w:p>
        </w:tc>
      </w:tr>
      <w:tr w:rsidR="00B222B2" w:rsidRPr="00FA7AE7" w:rsidTr="000205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B222B2" w:rsidRPr="00FA7AE7" w:rsidRDefault="00B222B2" w:rsidP="00020560">
            <w:pPr>
              <w:spacing w:line="360" w:lineRule="auto"/>
              <w:rPr>
                <w:rFonts w:asciiTheme="majorBidi" w:hAnsiTheme="majorBidi" w:cstheme="majorBidi"/>
              </w:rPr>
            </w:pPr>
          </w:p>
        </w:tc>
        <w:tc>
          <w:tcPr>
            <w:tcW w:w="0" w:type="auto"/>
            <w:hideMark/>
          </w:tcPr>
          <w:p w:rsidR="00B222B2" w:rsidRPr="00FA7AE7" w:rsidRDefault="00B222B2"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TLI</w:t>
            </w:r>
          </w:p>
        </w:tc>
        <w:tc>
          <w:tcPr>
            <w:tcW w:w="0" w:type="auto"/>
            <w:hideMark/>
          </w:tcPr>
          <w:p w:rsidR="00B222B2" w:rsidRPr="00FA7AE7" w:rsidRDefault="00B222B2"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.985</w:t>
            </w:r>
          </w:p>
        </w:tc>
        <w:tc>
          <w:tcPr>
            <w:tcW w:w="0" w:type="auto"/>
            <w:hideMark/>
          </w:tcPr>
          <w:p w:rsidR="00B222B2" w:rsidRPr="00FA7AE7" w:rsidRDefault="00B222B2"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 .95</w:t>
            </w:r>
          </w:p>
        </w:tc>
        <w:tc>
          <w:tcPr>
            <w:tcW w:w="0" w:type="auto"/>
            <w:hideMark/>
          </w:tcPr>
          <w:p w:rsidR="00B222B2" w:rsidRPr="00FA7AE7" w:rsidRDefault="00B222B2"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Excellent</w:t>
            </w:r>
          </w:p>
        </w:tc>
      </w:tr>
      <w:tr w:rsidR="00B222B2" w:rsidRPr="00FA7AE7" w:rsidTr="00020560">
        <w:tc>
          <w:tcPr>
            <w:cnfStyle w:val="001000000000" w:firstRow="0" w:lastRow="0" w:firstColumn="1" w:lastColumn="0" w:oddVBand="0" w:evenVBand="0" w:oddHBand="0" w:evenHBand="0" w:firstRowFirstColumn="0" w:firstRowLastColumn="0" w:lastRowFirstColumn="0" w:lastRowLastColumn="0"/>
            <w:tcW w:w="0" w:type="auto"/>
            <w:hideMark/>
          </w:tcPr>
          <w:p w:rsidR="00B222B2" w:rsidRPr="00FA7AE7" w:rsidRDefault="00B222B2" w:rsidP="00020560">
            <w:pPr>
              <w:spacing w:line="360" w:lineRule="auto"/>
              <w:rPr>
                <w:rFonts w:asciiTheme="majorBidi" w:hAnsiTheme="majorBidi" w:cstheme="majorBidi"/>
              </w:rPr>
            </w:pPr>
          </w:p>
        </w:tc>
        <w:tc>
          <w:tcPr>
            <w:tcW w:w="0" w:type="auto"/>
            <w:hideMark/>
          </w:tcPr>
          <w:p w:rsidR="00B222B2" w:rsidRPr="00FA7AE7" w:rsidRDefault="00B222B2"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NFI</w:t>
            </w:r>
          </w:p>
        </w:tc>
        <w:tc>
          <w:tcPr>
            <w:tcW w:w="0" w:type="auto"/>
            <w:hideMark/>
          </w:tcPr>
          <w:p w:rsidR="00B222B2" w:rsidRPr="00FA7AE7" w:rsidRDefault="00B222B2"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.953</w:t>
            </w:r>
          </w:p>
        </w:tc>
        <w:tc>
          <w:tcPr>
            <w:tcW w:w="0" w:type="auto"/>
            <w:hideMark/>
          </w:tcPr>
          <w:p w:rsidR="00B222B2" w:rsidRPr="00FA7AE7" w:rsidRDefault="00B222B2"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 .90</w:t>
            </w:r>
          </w:p>
        </w:tc>
        <w:tc>
          <w:tcPr>
            <w:tcW w:w="0" w:type="auto"/>
            <w:hideMark/>
          </w:tcPr>
          <w:p w:rsidR="00B222B2" w:rsidRPr="00FA7AE7" w:rsidRDefault="00B222B2"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Excellent</w:t>
            </w:r>
          </w:p>
        </w:tc>
      </w:tr>
      <w:tr w:rsidR="00B222B2" w:rsidRPr="00FA7AE7" w:rsidTr="000205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B222B2" w:rsidRPr="00FA7AE7" w:rsidRDefault="00B222B2" w:rsidP="00020560">
            <w:pPr>
              <w:spacing w:line="360" w:lineRule="auto"/>
              <w:rPr>
                <w:rFonts w:asciiTheme="majorBidi" w:hAnsiTheme="majorBidi" w:cstheme="majorBidi"/>
              </w:rPr>
            </w:pPr>
            <w:r w:rsidRPr="00FA7AE7">
              <w:rPr>
                <w:rStyle w:val="Strong"/>
                <w:rFonts w:asciiTheme="majorBidi" w:hAnsiTheme="majorBidi" w:cstheme="majorBidi"/>
              </w:rPr>
              <w:t>Parsimonious Fit</w:t>
            </w:r>
          </w:p>
        </w:tc>
        <w:tc>
          <w:tcPr>
            <w:tcW w:w="0" w:type="auto"/>
            <w:hideMark/>
          </w:tcPr>
          <w:p w:rsidR="00B222B2" w:rsidRPr="00FA7AE7" w:rsidRDefault="00B222B2"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PNFI</w:t>
            </w:r>
          </w:p>
        </w:tc>
        <w:tc>
          <w:tcPr>
            <w:tcW w:w="0" w:type="auto"/>
            <w:hideMark/>
          </w:tcPr>
          <w:p w:rsidR="00B222B2" w:rsidRPr="00FA7AE7" w:rsidRDefault="00B222B2"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.785</w:t>
            </w:r>
          </w:p>
        </w:tc>
        <w:tc>
          <w:tcPr>
            <w:tcW w:w="0" w:type="auto"/>
            <w:hideMark/>
          </w:tcPr>
          <w:p w:rsidR="00B222B2" w:rsidRPr="00FA7AE7" w:rsidRDefault="00B222B2"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 .50</w:t>
            </w:r>
          </w:p>
        </w:tc>
        <w:tc>
          <w:tcPr>
            <w:tcW w:w="0" w:type="auto"/>
            <w:hideMark/>
          </w:tcPr>
          <w:p w:rsidR="00B222B2" w:rsidRPr="00FA7AE7" w:rsidRDefault="00B222B2" w:rsidP="0002056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Excellent</w:t>
            </w:r>
          </w:p>
        </w:tc>
      </w:tr>
      <w:tr w:rsidR="00B222B2" w:rsidRPr="00FA7AE7" w:rsidTr="00020560">
        <w:tc>
          <w:tcPr>
            <w:cnfStyle w:val="001000000000" w:firstRow="0" w:lastRow="0" w:firstColumn="1" w:lastColumn="0" w:oddVBand="0" w:evenVBand="0" w:oddHBand="0" w:evenHBand="0" w:firstRowFirstColumn="0" w:firstRowLastColumn="0" w:lastRowFirstColumn="0" w:lastRowLastColumn="0"/>
            <w:tcW w:w="0" w:type="auto"/>
            <w:hideMark/>
          </w:tcPr>
          <w:p w:rsidR="00B222B2" w:rsidRPr="00FA7AE7" w:rsidRDefault="00B222B2" w:rsidP="00020560">
            <w:pPr>
              <w:spacing w:line="360" w:lineRule="auto"/>
              <w:rPr>
                <w:rFonts w:asciiTheme="majorBidi" w:hAnsiTheme="majorBidi" w:cstheme="majorBidi"/>
              </w:rPr>
            </w:pPr>
          </w:p>
        </w:tc>
        <w:tc>
          <w:tcPr>
            <w:tcW w:w="0" w:type="auto"/>
            <w:hideMark/>
          </w:tcPr>
          <w:p w:rsidR="00B222B2" w:rsidRPr="00FA7AE7" w:rsidRDefault="00B222B2"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PGFI</w:t>
            </w:r>
          </w:p>
        </w:tc>
        <w:tc>
          <w:tcPr>
            <w:tcW w:w="0" w:type="auto"/>
            <w:hideMark/>
          </w:tcPr>
          <w:p w:rsidR="00B222B2" w:rsidRPr="00FA7AE7" w:rsidRDefault="00B222B2"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.688</w:t>
            </w:r>
          </w:p>
        </w:tc>
        <w:tc>
          <w:tcPr>
            <w:tcW w:w="0" w:type="auto"/>
            <w:hideMark/>
          </w:tcPr>
          <w:p w:rsidR="00B222B2" w:rsidRPr="00FA7AE7" w:rsidRDefault="00B222B2"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 .50</w:t>
            </w:r>
          </w:p>
        </w:tc>
        <w:tc>
          <w:tcPr>
            <w:tcW w:w="0" w:type="auto"/>
            <w:hideMark/>
          </w:tcPr>
          <w:p w:rsidR="00B222B2" w:rsidRPr="00FA7AE7" w:rsidRDefault="00B222B2" w:rsidP="00020560">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A7AE7">
              <w:rPr>
                <w:rFonts w:asciiTheme="majorBidi" w:hAnsiTheme="majorBidi" w:cstheme="majorBidi"/>
              </w:rPr>
              <w:t>Excellent</w:t>
            </w:r>
          </w:p>
        </w:tc>
      </w:tr>
    </w:tbl>
    <w:p w:rsidR="00B222B2" w:rsidRPr="00FA7AE7" w:rsidRDefault="00B222B2" w:rsidP="00B222B2">
      <w:pPr>
        <w:spacing w:line="360" w:lineRule="auto"/>
        <w:rPr>
          <w:rFonts w:asciiTheme="majorBidi" w:hAnsiTheme="majorBidi" w:cstheme="majorBidi"/>
        </w:rPr>
      </w:pPr>
    </w:p>
    <w:p w:rsidR="00DD1B16" w:rsidRDefault="00DD1B16">
      <w:pPr>
        <w:spacing w:line="259" w:lineRule="auto"/>
        <w:rPr>
          <w:rFonts w:asciiTheme="majorBidi" w:hAnsiTheme="majorBidi" w:cstheme="majorBidi"/>
        </w:rPr>
      </w:pPr>
      <w:r>
        <w:rPr>
          <w:rFonts w:asciiTheme="majorBidi" w:hAnsiTheme="majorBidi" w:cstheme="majorBidi"/>
        </w:rPr>
        <w:br w:type="page"/>
      </w:r>
    </w:p>
    <w:p w:rsidR="00B222B2" w:rsidRDefault="00DD1B16" w:rsidP="00775DD7">
      <w:pPr>
        <w:pStyle w:val="Heading1"/>
      </w:pPr>
      <w:r>
        <w:lastRenderedPageBreak/>
        <w:t>Reference Appendix</w:t>
      </w:r>
    </w:p>
    <w:p w:rsidR="00DD1B16" w:rsidRPr="00DD1B16" w:rsidRDefault="00DD1B16" w:rsidP="00DD1B16">
      <w:pPr>
        <w:widowControl w:val="0"/>
        <w:autoSpaceDE w:val="0"/>
        <w:autoSpaceDN w:val="0"/>
        <w:adjustRightInd w:val="0"/>
        <w:spacing w:line="240" w:lineRule="auto"/>
        <w:ind w:left="480" w:hanging="480"/>
        <w:rPr>
          <w:rFonts w:ascii="Times New Roman" w:hAnsi="Times New Roman" w:cs="Times New Roman"/>
          <w:noProof/>
        </w:rPr>
      </w:pPr>
      <w:r>
        <w:rPr>
          <w:rFonts w:asciiTheme="majorBidi" w:hAnsiTheme="majorBidi" w:cstheme="majorBidi"/>
        </w:rPr>
        <w:fldChar w:fldCharType="begin" w:fldLock="1"/>
      </w:r>
      <w:r>
        <w:rPr>
          <w:rFonts w:asciiTheme="majorBidi" w:hAnsiTheme="majorBidi" w:cstheme="majorBidi"/>
        </w:rPr>
        <w:instrText xml:space="preserve">ADDIN Mendeley Bibliography CSL_BIBLIOGRAPHY </w:instrText>
      </w:r>
      <w:r>
        <w:rPr>
          <w:rFonts w:asciiTheme="majorBidi" w:hAnsiTheme="majorBidi" w:cstheme="majorBidi"/>
        </w:rPr>
        <w:fldChar w:fldCharType="separate"/>
      </w:r>
      <w:r w:rsidRPr="00DD1B16">
        <w:rPr>
          <w:rFonts w:ascii="Times New Roman" w:hAnsi="Times New Roman" w:cs="Times New Roman"/>
          <w:noProof/>
        </w:rPr>
        <w:t xml:space="preserve">Ajzen, I. (1991). The theory of planned behavior. </w:t>
      </w:r>
      <w:r w:rsidRPr="00DD1B16">
        <w:rPr>
          <w:rFonts w:ascii="Times New Roman" w:hAnsi="Times New Roman" w:cs="Times New Roman"/>
          <w:i/>
          <w:iCs/>
          <w:noProof/>
        </w:rPr>
        <w:t>Organizational Behavior and Human Decision Processes</w:t>
      </w:r>
      <w:r w:rsidRPr="00DD1B16">
        <w:rPr>
          <w:rFonts w:ascii="Times New Roman" w:hAnsi="Times New Roman" w:cs="Times New Roman"/>
          <w:noProof/>
        </w:rPr>
        <w:t xml:space="preserve">, </w:t>
      </w:r>
      <w:r w:rsidRPr="00DD1B16">
        <w:rPr>
          <w:rFonts w:ascii="Times New Roman" w:hAnsi="Times New Roman" w:cs="Times New Roman"/>
          <w:i/>
          <w:iCs/>
          <w:noProof/>
        </w:rPr>
        <w:t>50</w:t>
      </w:r>
      <w:r w:rsidRPr="00DD1B16">
        <w:rPr>
          <w:rFonts w:ascii="Times New Roman" w:hAnsi="Times New Roman" w:cs="Times New Roman"/>
          <w:noProof/>
        </w:rPr>
        <w:t>(2), 179–211. https://doi.org/10.1016/0749-5978(91)90020-T</w:t>
      </w:r>
    </w:p>
    <w:p w:rsidR="00DD1B16" w:rsidRPr="00DD1B16" w:rsidRDefault="00DD1B16" w:rsidP="00DD1B16">
      <w:pPr>
        <w:widowControl w:val="0"/>
        <w:autoSpaceDE w:val="0"/>
        <w:autoSpaceDN w:val="0"/>
        <w:adjustRightInd w:val="0"/>
        <w:spacing w:line="240" w:lineRule="auto"/>
        <w:ind w:left="480" w:hanging="480"/>
        <w:rPr>
          <w:rFonts w:ascii="Times New Roman" w:hAnsi="Times New Roman" w:cs="Times New Roman"/>
          <w:noProof/>
        </w:rPr>
      </w:pPr>
      <w:r w:rsidRPr="00DD1B16">
        <w:rPr>
          <w:rFonts w:ascii="Times New Roman" w:hAnsi="Times New Roman" w:cs="Times New Roman"/>
          <w:noProof/>
        </w:rPr>
        <w:t xml:space="preserve">Bhagat, R. S., &amp; Hofstede, G. (2002). </w:t>
      </w:r>
      <w:r w:rsidRPr="00DD1B16">
        <w:rPr>
          <w:rFonts w:ascii="Times New Roman" w:hAnsi="Times New Roman" w:cs="Times New Roman"/>
          <w:i/>
          <w:iCs/>
          <w:noProof/>
        </w:rPr>
        <w:t>Culture’s Consequences: Comparing Values, Behaviors, Institutions, and Organizations across Nations</w:t>
      </w:r>
      <w:r w:rsidRPr="00DD1B16">
        <w:rPr>
          <w:rFonts w:ascii="Times New Roman" w:hAnsi="Times New Roman" w:cs="Times New Roman"/>
          <w:noProof/>
        </w:rPr>
        <w:t>. The Academy of Management Review. https://doi.org/10.2307/4134391</w:t>
      </w:r>
    </w:p>
    <w:p w:rsidR="00DD1B16" w:rsidRPr="00DD1B16" w:rsidRDefault="00DD1B16" w:rsidP="00DD1B16">
      <w:pPr>
        <w:widowControl w:val="0"/>
        <w:autoSpaceDE w:val="0"/>
        <w:autoSpaceDN w:val="0"/>
        <w:adjustRightInd w:val="0"/>
        <w:spacing w:line="240" w:lineRule="auto"/>
        <w:ind w:left="480" w:hanging="480"/>
        <w:rPr>
          <w:rFonts w:ascii="Times New Roman" w:hAnsi="Times New Roman" w:cs="Times New Roman"/>
          <w:noProof/>
        </w:rPr>
      </w:pPr>
      <w:r w:rsidRPr="00DD1B16">
        <w:rPr>
          <w:rFonts w:ascii="Times New Roman" w:hAnsi="Times New Roman" w:cs="Times New Roman"/>
          <w:noProof/>
        </w:rPr>
        <w:t xml:space="preserve">Gagné, M., Forest, J., Vansteenkiste, M., Crevier-Braud, L., van den Broeck, A., Aspeli, A. K., Bellerose, J., Benabou, C., Chemolli, E., Güntert, S. T., Halvari, H., Indiyastuti, D. L., Johnson, P. A., Molstad, M. H., Naudin, M., Ndao, A., Olafsen, A. H., Roussel, P., Wang, Z., &amp; Westbye, C. (2015). The Multidimensional Work Motivation Scale: Validation evidence in seven languages and nine countries. </w:t>
      </w:r>
      <w:r w:rsidRPr="00DD1B16">
        <w:rPr>
          <w:rFonts w:ascii="Times New Roman" w:hAnsi="Times New Roman" w:cs="Times New Roman"/>
          <w:i/>
          <w:iCs/>
          <w:noProof/>
        </w:rPr>
        <w:t>European Journal of Work and Organizational Psychology</w:t>
      </w:r>
      <w:r w:rsidRPr="00DD1B16">
        <w:rPr>
          <w:rFonts w:ascii="Times New Roman" w:hAnsi="Times New Roman" w:cs="Times New Roman"/>
          <w:noProof/>
        </w:rPr>
        <w:t xml:space="preserve">, </w:t>
      </w:r>
      <w:r w:rsidRPr="00DD1B16">
        <w:rPr>
          <w:rFonts w:ascii="Times New Roman" w:hAnsi="Times New Roman" w:cs="Times New Roman"/>
          <w:i/>
          <w:iCs/>
          <w:noProof/>
        </w:rPr>
        <w:t>24</w:t>
      </w:r>
      <w:r w:rsidRPr="00DD1B16">
        <w:rPr>
          <w:rFonts w:ascii="Times New Roman" w:hAnsi="Times New Roman" w:cs="Times New Roman"/>
          <w:noProof/>
        </w:rPr>
        <w:t>(2), 178–196. https://doi.org/10.1080/1359432X.2013.877892</w:t>
      </w:r>
    </w:p>
    <w:p w:rsidR="00DD1B16" w:rsidRPr="00DD1B16" w:rsidRDefault="00DD1B16" w:rsidP="00DD1B16">
      <w:pPr>
        <w:widowControl w:val="0"/>
        <w:autoSpaceDE w:val="0"/>
        <w:autoSpaceDN w:val="0"/>
        <w:adjustRightInd w:val="0"/>
        <w:spacing w:line="240" w:lineRule="auto"/>
        <w:ind w:left="480" w:hanging="480"/>
        <w:rPr>
          <w:rFonts w:ascii="Times New Roman" w:hAnsi="Times New Roman" w:cs="Times New Roman"/>
          <w:noProof/>
        </w:rPr>
      </w:pPr>
      <w:r w:rsidRPr="00DD1B16">
        <w:rPr>
          <w:rFonts w:ascii="Times New Roman" w:hAnsi="Times New Roman" w:cs="Times New Roman"/>
          <w:noProof/>
        </w:rPr>
        <w:t xml:space="preserve">House, R. J., Hanges, P. J., Javidan, M., Dorfman, P. W., &amp; Gupta, V. (Eds. ). (2005). Culture, leadership, and organizations: the GLOBE study of 62 societies. In </w:t>
      </w:r>
      <w:r w:rsidRPr="00DD1B16">
        <w:rPr>
          <w:rFonts w:ascii="Times New Roman" w:hAnsi="Times New Roman" w:cs="Times New Roman"/>
          <w:i/>
          <w:iCs/>
          <w:noProof/>
        </w:rPr>
        <w:t>Choice Reviews Online</w:t>
      </w:r>
      <w:r w:rsidRPr="00DD1B16">
        <w:rPr>
          <w:rFonts w:ascii="Times New Roman" w:hAnsi="Times New Roman" w:cs="Times New Roman"/>
          <w:noProof/>
        </w:rPr>
        <w:t xml:space="preserve"> (Vol. 42, Issue 07). https://doi.org/10.5860/choice.42-4132</w:t>
      </w:r>
    </w:p>
    <w:p w:rsidR="00DD1B16" w:rsidRPr="00DD1B16" w:rsidRDefault="00DD1B16" w:rsidP="00DD1B16">
      <w:pPr>
        <w:widowControl w:val="0"/>
        <w:autoSpaceDE w:val="0"/>
        <w:autoSpaceDN w:val="0"/>
        <w:adjustRightInd w:val="0"/>
        <w:spacing w:line="240" w:lineRule="auto"/>
        <w:ind w:left="480" w:hanging="480"/>
        <w:rPr>
          <w:rFonts w:ascii="Times New Roman" w:hAnsi="Times New Roman" w:cs="Times New Roman"/>
          <w:noProof/>
        </w:rPr>
      </w:pPr>
      <w:r w:rsidRPr="00DD1B16">
        <w:rPr>
          <w:rFonts w:ascii="Times New Roman" w:hAnsi="Times New Roman" w:cs="Times New Roman"/>
          <w:noProof/>
        </w:rPr>
        <w:t xml:space="preserve">Janssen, O. (2000). Job demands, perceptions of effort‐reward fairness and innovative work behaviour. </w:t>
      </w:r>
      <w:r w:rsidRPr="00DD1B16">
        <w:rPr>
          <w:rFonts w:ascii="Times New Roman" w:hAnsi="Times New Roman" w:cs="Times New Roman"/>
          <w:i/>
          <w:iCs/>
          <w:noProof/>
        </w:rPr>
        <w:t>Journal of Occupational and Organizational Psychology</w:t>
      </w:r>
      <w:r w:rsidRPr="00DD1B16">
        <w:rPr>
          <w:rFonts w:ascii="Times New Roman" w:hAnsi="Times New Roman" w:cs="Times New Roman"/>
          <w:noProof/>
        </w:rPr>
        <w:t xml:space="preserve">, </w:t>
      </w:r>
      <w:r w:rsidRPr="00DD1B16">
        <w:rPr>
          <w:rFonts w:ascii="Times New Roman" w:hAnsi="Times New Roman" w:cs="Times New Roman"/>
          <w:i/>
          <w:iCs/>
          <w:noProof/>
        </w:rPr>
        <w:t>73</w:t>
      </w:r>
      <w:r w:rsidRPr="00DD1B16">
        <w:rPr>
          <w:rFonts w:ascii="Times New Roman" w:hAnsi="Times New Roman" w:cs="Times New Roman"/>
          <w:noProof/>
        </w:rPr>
        <w:t>(3), 287–302. https://doi.org/10.1348/096317900167038</w:t>
      </w:r>
    </w:p>
    <w:p w:rsidR="00DD1B16" w:rsidRPr="00DD1B16" w:rsidRDefault="00DD1B16" w:rsidP="00DD1B16">
      <w:pPr>
        <w:widowControl w:val="0"/>
        <w:autoSpaceDE w:val="0"/>
        <w:autoSpaceDN w:val="0"/>
        <w:adjustRightInd w:val="0"/>
        <w:spacing w:line="240" w:lineRule="auto"/>
        <w:ind w:left="480" w:hanging="480"/>
        <w:rPr>
          <w:rFonts w:ascii="Times New Roman" w:hAnsi="Times New Roman" w:cs="Times New Roman"/>
          <w:noProof/>
        </w:rPr>
      </w:pPr>
      <w:r w:rsidRPr="00DD1B16">
        <w:rPr>
          <w:rFonts w:ascii="Times New Roman" w:hAnsi="Times New Roman" w:cs="Times New Roman"/>
          <w:noProof/>
        </w:rPr>
        <w:t xml:space="preserve">Schaufeli, W. B., Bakker, A. B., &amp; Salanova, M. (2006). The Measurement of Work Engagement With a Short Questionnaire. </w:t>
      </w:r>
      <w:r w:rsidRPr="00DD1B16">
        <w:rPr>
          <w:rFonts w:ascii="Times New Roman" w:hAnsi="Times New Roman" w:cs="Times New Roman"/>
          <w:i/>
          <w:iCs/>
          <w:noProof/>
        </w:rPr>
        <w:t>Educational and Psychological Measurement</w:t>
      </w:r>
      <w:r w:rsidRPr="00DD1B16">
        <w:rPr>
          <w:rFonts w:ascii="Times New Roman" w:hAnsi="Times New Roman" w:cs="Times New Roman"/>
          <w:noProof/>
        </w:rPr>
        <w:t xml:space="preserve">, </w:t>
      </w:r>
      <w:r w:rsidRPr="00DD1B16">
        <w:rPr>
          <w:rFonts w:ascii="Times New Roman" w:hAnsi="Times New Roman" w:cs="Times New Roman"/>
          <w:i/>
          <w:iCs/>
          <w:noProof/>
        </w:rPr>
        <w:t>66</w:t>
      </w:r>
      <w:r w:rsidRPr="00DD1B16">
        <w:rPr>
          <w:rFonts w:ascii="Times New Roman" w:hAnsi="Times New Roman" w:cs="Times New Roman"/>
          <w:noProof/>
        </w:rPr>
        <w:t>(4), 701–716. https://doi.org/10.1177/0013164405282471</w:t>
      </w:r>
    </w:p>
    <w:p w:rsidR="00DD1B16" w:rsidRPr="00DD1B16" w:rsidRDefault="00DD1B16" w:rsidP="00DD1B16">
      <w:pPr>
        <w:widowControl w:val="0"/>
        <w:autoSpaceDE w:val="0"/>
        <w:autoSpaceDN w:val="0"/>
        <w:adjustRightInd w:val="0"/>
        <w:spacing w:line="240" w:lineRule="auto"/>
        <w:ind w:left="480" w:hanging="480"/>
        <w:rPr>
          <w:rFonts w:ascii="Times New Roman" w:hAnsi="Times New Roman" w:cs="Times New Roman"/>
          <w:noProof/>
        </w:rPr>
      </w:pPr>
      <w:r w:rsidRPr="00DD1B16">
        <w:rPr>
          <w:rFonts w:ascii="Times New Roman" w:hAnsi="Times New Roman" w:cs="Times New Roman"/>
          <w:noProof/>
        </w:rPr>
        <w:t xml:space="preserve">Singgih, G. G., &amp; Famiola, M. (2024). </w:t>
      </w:r>
      <w:r w:rsidRPr="00DD1B16">
        <w:rPr>
          <w:rFonts w:ascii="Times New Roman" w:hAnsi="Times New Roman" w:cs="Times New Roman"/>
          <w:i/>
          <w:iCs/>
          <w:noProof/>
        </w:rPr>
        <w:t>Core Values of Sustainable Innovation in Indonesian SMEs</w:t>
      </w:r>
      <w:r w:rsidRPr="00DD1B16">
        <w:rPr>
          <w:rFonts w:ascii="Times New Roman" w:hAnsi="Times New Roman" w:cs="Times New Roman"/>
          <w:noProof/>
        </w:rPr>
        <w:t xml:space="preserve"> (pp. 39–74). https://doi.org/10.1007/978-3-031-78361-6_3</w:t>
      </w:r>
    </w:p>
    <w:p w:rsidR="00DD1B16" w:rsidRPr="00DD1B16" w:rsidRDefault="00DD1B16" w:rsidP="00DD1B16">
      <w:pPr>
        <w:widowControl w:val="0"/>
        <w:autoSpaceDE w:val="0"/>
        <w:autoSpaceDN w:val="0"/>
        <w:adjustRightInd w:val="0"/>
        <w:spacing w:line="240" w:lineRule="auto"/>
        <w:ind w:left="480" w:hanging="480"/>
        <w:rPr>
          <w:rFonts w:ascii="Times New Roman" w:hAnsi="Times New Roman" w:cs="Times New Roman"/>
          <w:noProof/>
        </w:rPr>
      </w:pPr>
      <w:r w:rsidRPr="00DD1B16">
        <w:rPr>
          <w:rFonts w:ascii="Times New Roman" w:hAnsi="Times New Roman" w:cs="Times New Roman"/>
          <w:noProof/>
        </w:rPr>
        <w:t xml:space="preserve">Tierney, P., &amp; Farmer, S. M. (2002). CREATIVE SELF-EFFICACY: ITS POTENTIAL ANTECEDENTS AND RELATIONSHIP TO CREATIVE PERFORMANCE. </w:t>
      </w:r>
      <w:r w:rsidRPr="00DD1B16">
        <w:rPr>
          <w:rFonts w:ascii="Times New Roman" w:hAnsi="Times New Roman" w:cs="Times New Roman"/>
          <w:i/>
          <w:iCs/>
          <w:noProof/>
        </w:rPr>
        <w:t>Academy of Management Journal</w:t>
      </w:r>
      <w:r w:rsidRPr="00DD1B16">
        <w:rPr>
          <w:rFonts w:ascii="Times New Roman" w:hAnsi="Times New Roman" w:cs="Times New Roman"/>
          <w:noProof/>
        </w:rPr>
        <w:t xml:space="preserve">, </w:t>
      </w:r>
      <w:r w:rsidRPr="00DD1B16">
        <w:rPr>
          <w:rFonts w:ascii="Times New Roman" w:hAnsi="Times New Roman" w:cs="Times New Roman"/>
          <w:i/>
          <w:iCs/>
          <w:noProof/>
        </w:rPr>
        <w:t>45</w:t>
      </w:r>
      <w:r w:rsidRPr="00DD1B16">
        <w:rPr>
          <w:rFonts w:ascii="Times New Roman" w:hAnsi="Times New Roman" w:cs="Times New Roman"/>
          <w:noProof/>
        </w:rPr>
        <w:t>(6), 1137–1148. https://doi.org/10.2307/3069429</w:t>
      </w:r>
    </w:p>
    <w:p w:rsidR="00DD1B16" w:rsidRPr="00DD1B16" w:rsidRDefault="00DD1B16" w:rsidP="00DD1B16">
      <w:pPr>
        <w:widowControl w:val="0"/>
        <w:autoSpaceDE w:val="0"/>
        <w:autoSpaceDN w:val="0"/>
        <w:adjustRightInd w:val="0"/>
        <w:spacing w:line="240" w:lineRule="auto"/>
        <w:ind w:left="480" w:hanging="480"/>
        <w:rPr>
          <w:rFonts w:ascii="Times New Roman" w:hAnsi="Times New Roman" w:cs="Times New Roman"/>
          <w:noProof/>
        </w:rPr>
      </w:pPr>
      <w:r w:rsidRPr="00DD1B16">
        <w:rPr>
          <w:rFonts w:ascii="Times New Roman" w:hAnsi="Times New Roman" w:cs="Times New Roman"/>
          <w:noProof/>
        </w:rPr>
        <w:t xml:space="preserve">Triandis, H. C. (2018). Individualism and collectivism. In </w:t>
      </w:r>
      <w:r w:rsidRPr="00DD1B16">
        <w:rPr>
          <w:rFonts w:ascii="Times New Roman" w:hAnsi="Times New Roman" w:cs="Times New Roman"/>
          <w:i/>
          <w:iCs/>
          <w:noProof/>
        </w:rPr>
        <w:t>Individualism and Collectivism</w:t>
      </w:r>
      <w:r w:rsidRPr="00DD1B16">
        <w:rPr>
          <w:rFonts w:ascii="Times New Roman" w:hAnsi="Times New Roman" w:cs="Times New Roman"/>
          <w:noProof/>
        </w:rPr>
        <w:t>. Routledge. https://doi.org/10.4324/9780429499845</w:t>
      </w:r>
    </w:p>
    <w:p w:rsidR="00DD1B16" w:rsidRPr="00DD1B16" w:rsidRDefault="00DD1B16" w:rsidP="00DD1B16">
      <w:pPr>
        <w:widowControl w:val="0"/>
        <w:autoSpaceDE w:val="0"/>
        <w:autoSpaceDN w:val="0"/>
        <w:adjustRightInd w:val="0"/>
        <w:spacing w:line="240" w:lineRule="auto"/>
        <w:ind w:left="480" w:hanging="480"/>
        <w:rPr>
          <w:rFonts w:ascii="Times New Roman" w:hAnsi="Times New Roman" w:cs="Times New Roman"/>
          <w:noProof/>
        </w:rPr>
      </w:pPr>
      <w:r w:rsidRPr="00DD1B16">
        <w:rPr>
          <w:rFonts w:ascii="Times New Roman" w:hAnsi="Times New Roman" w:cs="Times New Roman"/>
          <w:noProof/>
        </w:rPr>
        <w:t xml:space="preserve">Triandis, H. C., &amp; Hofstede, G. (1993). Cultures and Organizations: Software of the Mind. </w:t>
      </w:r>
      <w:r w:rsidRPr="00DD1B16">
        <w:rPr>
          <w:rFonts w:ascii="Times New Roman" w:hAnsi="Times New Roman" w:cs="Times New Roman"/>
          <w:i/>
          <w:iCs/>
          <w:noProof/>
        </w:rPr>
        <w:t>Administrative Science Quarterly</w:t>
      </w:r>
      <w:r w:rsidRPr="00DD1B16">
        <w:rPr>
          <w:rFonts w:ascii="Times New Roman" w:hAnsi="Times New Roman" w:cs="Times New Roman"/>
          <w:noProof/>
        </w:rPr>
        <w:t xml:space="preserve">, </w:t>
      </w:r>
      <w:r w:rsidRPr="00DD1B16">
        <w:rPr>
          <w:rFonts w:ascii="Times New Roman" w:hAnsi="Times New Roman" w:cs="Times New Roman"/>
          <w:i/>
          <w:iCs/>
          <w:noProof/>
        </w:rPr>
        <w:t>38</w:t>
      </w:r>
      <w:r w:rsidRPr="00DD1B16">
        <w:rPr>
          <w:rFonts w:ascii="Times New Roman" w:hAnsi="Times New Roman" w:cs="Times New Roman"/>
          <w:noProof/>
        </w:rPr>
        <w:t>(1), 132. https://doi.org/10.2307/2393257</w:t>
      </w:r>
    </w:p>
    <w:p w:rsidR="00DD1B16" w:rsidRPr="00DD1B16" w:rsidRDefault="00DD1B16" w:rsidP="00DD1B16">
      <w:pPr>
        <w:widowControl w:val="0"/>
        <w:autoSpaceDE w:val="0"/>
        <w:autoSpaceDN w:val="0"/>
        <w:adjustRightInd w:val="0"/>
        <w:spacing w:line="240" w:lineRule="auto"/>
        <w:ind w:left="480" w:hanging="480"/>
        <w:rPr>
          <w:rFonts w:ascii="Times New Roman" w:hAnsi="Times New Roman" w:cs="Times New Roman"/>
          <w:noProof/>
        </w:rPr>
      </w:pPr>
      <w:r w:rsidRPr="00DD1B16">
        <w:rPr>
          <w:rFonts w:ascii="Times New Roman" w:hAnsi="Times New Roman" w:cs="Times New Roman"/>
          <w:noProof/>
        </w:rPr>
        <w:t xml:space="preserve">Tsui, A. S. (2007). From Homogenization to Pluralism: International Management Research in the Academy and Beyond. </w:t>
      </w:r>
      <w:r w:rsidRPr="00DD1B16">
        <w:rPr>
          <w:rFonts w:ascii="Times New Roman" w:hAnsi="Times New Roman" w:cs="Times New Roman"/>
          <w:i/>
          <w:iCs/>
          <w:noProof/>
        </w:rPr>
        <w:t>Academy of Management Journal</w:t>
      </w:r>
      <w:r w:rsidRPr="00DD1B16">
        <w:rPr>
          <w:rFonts w:ascii="Times New Roman" w:hAnsi="Times New Roman" w:cs="Times New Roman"/>
          <w:noProof/>
        </w:rPr>
        <w:t xml:space="preserve">, </w:t>
      </w:r>
      <w:r w:rsidRPr="00DD1B16">
        <w:rPr>
          <w:rFonts w:ascii="Times New Roman" w:hAnsi="Times New Roman" w:cs="Times New Roman"/>
          <w:i/>
          <w:iCs/>
          <w:noProof/>
        </w:rPr>
        <w:t>50</w:t>
      </w:r>
      <w:r w:rsidRPr="00DD1B16">
        <w:rPr>
          <w:rFonts w:ascii="Times New Roman" w:hAnsi="Times New Roman" w:cs="Times New Roman"/>
          <w:noProof/>
        </w:rPr>
        <w:t>(6), 1353–1364. https://doi.org/10.5465/amj.2007.28166121</w:t>
      </w:r>
    </w:p>
    <w:p w:rsidR="00DD1B16" w:rsidRPr="00DD1B16" w:rsidRDefault="00DD1B16" w:rsidP="00DD1B16">
      <w:pPr>
        <w:widowControl w:val="0"/>
        <w:autoSpaceDE w:val="0"/>
        <w:autoSpaceDN w:val="0"/>
        <w:adjustRightInd w:val="0"/>
        <w:spacing w:line="240" w:lineRule="auto"/>
        <w:ind w:left="480" w:hanging="480"/>
        <w:rPr>
          <w:rFonts w:ascii="Times New Roman" w:hAnsi="Times New Roman" w:cs="Times New Roman"/>
          <w:noProof/>
        </w:rPr>
      </w:pPr>
      <w:r w:rsidRPr="00DD1B16">
        <w:rPr>
          <w:rFonts w:ascii="Times New Roman" w:hAnsi="Times New Roman" w:cs="Times New Roman"/>
          <w:noProof/>
        </w:rPr>
        <w:t xml:space="preserve">van den Hooff, B., &amp; de Ridder, J. A. (2004). Knowledge sharing in context: the influence of organizational commitment, communication climate and CMC use on knowledge sharing. </w:t>
      </w:r>
      <w:r w:rsidRPr="00DD1B16">
        <w:rPr>
          <w:rFonts w:ascii="Times New Roman" w:hAnsi="Times New Roman" w:cs="Times New Roman"/>
          <w:i/>
          <w:iCs/>
          <w:noProof/>
        </w:rPr>
        <w:t>Journal of Knowledge Management</w:t>
      </w:r>
      <w:r w:rsidRPr="00DD1B16">
        <w:rPr>
          <w:rFonts w:ascii="Times New Roman" w:hAnsi="Times New Roman" w:cs="Times New Roman"/>
          <w:noProof/>
        </w:rPr>
        <w:t xml:space="preserve">, </w:t>
      </w:r>
      <w:r w:rsidRPr="00DD1B16">
        <w:rPr>
          <w:rFonts w:ascii="Times New Roman" w:hAnsi="Times New Roman" w:cs="Times New Roman"/>
          <w:i/>
          <w:iCs/>
          <w:noProof/>
        </w:rPr>
        <w:t>8</w:t>
      </w:r>
      <w:r w:rsidRPr="00DD1B16">
        <w:rPr>
          <w:rFonts w:ascii="Times New Roman" w:hAnsi="Times New Roman" w:cs="Times New Roman"/>
          <w:noProof/>
        </w:rPr>
        <w:t>(6), 117–130. https://doi.org/10.1108/13673270410567675</w:t>
      </w:r>
    </w:p>
    <w:p w:rsidR="00DD1B16" w:rsidRPr="00DD1B16" w:rsidRDefault="00DD1B16" w:rsidP="00DD1B16">
      <w:pPr>
        <w:widowControl w:val="0"/>
        <w:autoSpaceDE w:val="0"/>
        <w:autoSpaceDN w:val="0"/>
        <w:adjustRightInd w:val="0"/>
        <w:spacing w:line="240" w:lineRule="auto"/>
        <w:ind w:left="480" w:hanging="480"/>
        <w:rPr>
          <w:rFonts w:ascii="Times New Roman" w:hAnsi="Times New Roman" w:cs="Times New Roman"/>
          <w:noProof/>
        </w:rPr>
      </w:pPr>
      <w:r w:rsidRPr="00DD1B16">
        <w:rPr>
          <w:rFonts w:ascii="Times New Roman" w:hAnsi="Times New Roman" w:cs="Times New Roman"/>
          <w:noProof/>
        </w:rPr>
        <w:t xml:space="preserve">Yulianto, H. (2025). The Socio-Cultural Digital Innovation Capacity for Business Sustainability of Traditional Craft SMEs. </w:t>
      </w:r>
      <w:r w:rsidRPr="00DD1B16">
        <w:rPr>
          <w:rFonts w:ascii="Times New Roman" w:hAnsi="Times New Roman" w:cs="Times New Roman"/>
          <w:i/>
          <w:iCs/>
          <w:noProof/>
        </w:rPr>
        <w:t>Esaprom Journal</w:t>
      </w:r>
      <w:r w:rsidRPr="00DD1B16">
        <w:rPr>
          <w:rFonts w:ascii="Times New Roman" w:hAnsi="Times New Roman" w:cs="Times New Roman"/>
          <w:noProof/>
        </w:rPr>
        <w:t>.</w:t>
      </w:r>
    </w:p>
    <w:p w:rsidR="00DD1B16" w:rsidRPr="00FA7AE7" w:rsidRDefault="00DD1B16">
      <w:pPr>
        <w:rPr>
          <w:rFonts w:asciiTheme="majorBidi" w:hAnsiTheme="majorBidi" w:cstheme="majorBidi"/>
        </w:rPr>
      </w:pPr>
      <w:r>
        <w:rPr>
          <w:rFonts w:asciiTheme="majorBidi" w:hAnsiTheme="majorBidi" w:cstheme="majorBidi"/>
        </w:rPr>
        <w:lastRenderedPageBreak/>
        <w:fldChar w:fldCharType="end"/>
      </w:r>
    </w:p>
    <w:sectPr w:rsidR="00DD1B16" w:rsidRPr="00FA7A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176F92"/>
    <w:multiLevelType w:val="multilevel"/>
    <w:tmpl w:val="DD246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FA0027B"/>
    <w:multiLevelType w:val="hybridMultilevel"/>
    <w:tmpl w:val="9DC2A0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2B2"/>
    <w:rsid w:val="00212A51"/>
    <w:rsid w:val="00317202"/>
    <w:rsid w:val="00427418"/>
    <w:rsid w:val="0052261D"/>
    <w:rsid w:val="00637C4A"/>
    <w:rsid w:val="006B60E2"/>
    <w:rsid w:val="007704A5"/>
    <w:rsid w:val="00775DD7"/>
    <w:rsid w:val="00896CB3"/>
    <w:rsid w:val="008F5666"/>
    <w:rsid w:val="00B222B2"/>
    <w:rsid w:val="00BA48E9"/>
    <w:rsid w:val="00BC6A58"/>
    <w:rsid w:val="00CE2872"/>
    <w:rsid w:val="00DD1B16"/>
    <w:rsid w:val="00F656D9"/>
    <w:rsid w:val="00FA7A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BE4AB"/>
  <w15:chartTrackingRefBased/>
  <w15:docId w15:val="{5F5DD91B-C6CA-491D-A4B9-ACBD6D7A3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222B2"/>
    <w:pPr>
      <w:spacing w:line="278" w:lineRule="auto"/>
    </w:pPr>
    <w:rPr>
      <w:kern w:val="2"/>
      <w:sz w:val="24"/>
      <w:szCs w:val="24"/>
      <w14:ligatures w14:val="standardContextual"/>
    </w:rPr>
  </w:style>
  <w:style w:type="paragraph" w:styleId="Heading1">
    <w:name w:val="heading 1"/>
    <w:basedOn w:val="Normal"/>
    <w:next w:val="Normal"/>
    <w:link w:val="Heading1Char"/>
    <w:uiPriority w:val="9"/>
    <w:qFormat/>
    <w:rsid w:val="00B222B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96CB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317202"/>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2">
    <w:name w:val="Plain Table 2"/>
    <w:basedOn w:val="TableNormal"/>
    <w:uiPriority w:val="42"/>
    <w:rsid w:val="00B222B2"/>
    <w:pPr>
      <w:spacing w:after="0" w:line="240" w:lineRule="auto"/>
    </w:pPr>
    <w:rPr>
      <w:kern w:val="2"/>
      <w:sz w:val="24"/>
      <w:szCs w:val="24"/>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uiPriority w:val="9"/>
    <w:rsid w:val="00B222B2"/>
    <w:rPr>
      <w:rFonts w:asciiTheme="majorHAnsi" w:eastAsiaTheme="majorEastAsia" w:hAnsiTheme="majorHAnsi" w:cstheme="majorBidi"/>
      <w:color w:val="2F5496" w:themeColor="accent1" w:themeShade="BF"/>
      <w:kern w:val="2"/>
      <w:sz w:val="32"/>
      <w:szCs w:val="32"/>
      <w14:ligatures w14:val="standardContextual"/>
    </w:rPr>
  </w:style>
  <w:style w:type="character" w:styleId="Strong">
    <w:name w:val="Strong"/>
    <w:basedOn w:val="DefaultParagraphFont"/>
    <w:uiPriority w:val="22"/>
    <w:qFormat/>
    <w:rsid w:val="00B222B2"/>
    <w:rPr>
      <w:b/>
      <w:bCs/>
    </w:rPr>
  </w:style>
  <w:style w:type="paragraph" w:customStyle="1" w:styleId="ds-markdown-paragraph">
    <w:name w:val="ds-markdown-paragraph"/>
    <w:basedOn w:val="Normal"/>
    <w:rsid w:val="00B222B2"/>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B222B2"/>
    <w:rPr>
      <w:i/>
      <w:iCs/>
    </w:rPr>
  </w:style>
  <w:style w:type="character" w:customStyle="1" w:styleId="Heading3Char">
    <w:name w:val="Heading 3 Char"/>
    <w:basedOn w:val="DefaultParagraphFont"/>
    <w:link w:val="Heading3"/>
    <w:uiPriority w:val="9"/>
    <w:semiHidden/>
    <w:rsid w:val="00317202"/>
    <w:rPr>
      <w:rFonts w:asciiTheme="majorHAnsi" w:eastAsiaTheme="majorEastAsia" w:hAnsiTheme="majorHAnsi" w:cstheme="majorBidi"/>
      <w:color w:val="1F3763" w:themeColor="accent1" w:themeShade="7F"/>
      <w:kern w:val="2"/>
      <w:sz w:val="24"/>
      <w:szCs w:val="24"/>
      <w14:ligatures w14:val="standardContextual"/>
    </w:rPr>
  </w:style>
  <w:style w:type="character" w:customStyle="1" w:styleId="Heading2Char">
    <w:name w:val="Heading 2 Char"/>
    <w:basedOn w:val="DefaultParagraphFont"/>
    <w:link w:val="Heading2"/>
    <w:uiPriority w:val="9"/>
    <w:rsid w:val="00896CB3"/>
    <w:rPr>
      <w:rFonts w:asciiTheme="majorHAnsi" w:eastAsiaTheme="majorEastAsia" w:hAnsiTheme="majorHAnsi" w:cstheme="majorBidi"/>
      <w:color w:val="2F5496" w:themeColor="accent1" w:themeShade="BF"/>
      <w:kern w:val="2"/>
      <w:sz w:val="26"/>
      <w:szCs w:val="26"/>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163672">
      <w:bodyDiv w:val="1"/>
      <w:marLeft w:val="0"/>
      <w:marRight w:val="0"/>
      <w:marTop w:val="0"/>
      <w:marBottom w:val="0"/>
      <w:divBdr>
        <w:top w:val="none" w:sz="0" w:space="0" w:color="auto"/>
        <w:left w:val="none" w:sz="0" w:space="0" w:color="auto"/>
        <w:bottom w:val="none" w:sz="0" w:space="0" w:color="auto"/>
        <w:right w:val="none" w:sz="0" w:space="0" w:color="auto"/>
      </w:divBdr>
    </w:div>
    <w:div w:id="1966741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B3A1A4FE-FAE3-4E44-A8AA-47D3F19EF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4621</Words>
  <Characters>26346</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dwimariyono</dc:creator>
  <cp:keywords/>
  <dc:description/>
  <cp:lastModifiedBy>dwimariyono</cp:lastModifiedBy>
  <cp:revision>10</cp:revision>
  <dcterms:created xsi:type="dcterms:W3CDTF">2026-04-05T01:56:00Z</dcterms:created>
  <dcterms:modified xsi:type="dcterms:W3CDTF">2026-04-05T11:06:00Z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http://www.zotero.org/styles/african-online-scientific-information-systems-vancouver</vt:lpwstr>
  </property>
  <property fmtid="{D5CDD505-2E9C-101B-9397-08002B2CF9AE}" pid="3" name="Mendeley Recent Style Name 0_1">
    <vt:lpwstr>African Online Scientific Information Systems - Vancouver</vt:lpwstr>
  </property>
  <property fmtid="{D5CDD505-2E9C-101B-9397-08002B2CF9AE}" pid="4" name="Mendeley Recent Style Id 1_1">
    <vt:lpwstr>https://csl.mendeley.com/styles/475823531/apa</vt:lpwstr>
  </property>
  <property fmtid="{D5CDD505-2E9C-101B-9397-08002B2CF9AE}" pid="5" name="Mendeley Recent Style Name 1_1">
    <vt:lpwstr>American Psychological Association 6th edition - Mincho Slavov</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http://www.zotero.org/styles/new-harts-rules-the-oxford-style-guide-author-date</vt:lpwstr>
  </property>
  <property fmtid="{D5CDD505-2E9C-101B-9397-08002B2CF9AE}" pid="17" name="Mendeley Recent Style Name 7_1">
    <vt:lpwstr>New Hart's Rules: The Oxford Style Guide (author-date)</vt:lpwstr>
  </property>
  <property fmtid="{D5CDD505-2E9C-101B-9397-08002B2CF9AE}" pid="18" name="Mendeley Recent Style Id 8_1">
    <vt:lpwstr>http://www.zotero.org/styles/universitas-negeri-yogyakarta-program-pascasarjana</vt:lpwstr>
  </property>
  <property fmtid="{D5CDD505-2E9C-101B-9397-08002B2CF9AE}" pid="19" name="Mendeley Recent Style Name 8_1">
    <vt:lpwstr>Universitas Negeri Yogyakarta - Program Pascasarjana (Bahasa Indonesia)</vt:lpwstr>
  </property>
  <property fmtid="{D5CDD505-2E9C-101B-9397-08002B2CF9AE}" pid="20" name="Mendeley Recent Style Id 9_1">
    <vt:lpwstr>http://www.zotero.org/styles/vancouver-brackets</vt:lpwstr>
  </property>
  <property fmtid="{D5CDD505-2E9C-101B-9397-08002B2CF9AE}" pid="21" name="Mendeley Recent Style Name 9_1">
    <vt:lpwstr>Vancouver (brackets)</vt:lpwstr>
  </property>
  <property fmtid="{D5CDD505-2E9C-101B-9397-08002B2CF9AE}" pid="22" name="Mendeley Document_1">
    <vt:lpwstr>True</vt:lpwstr>
  </property>
  <property fmtid="{D5CDD505-2E9C-101B-9397-08002B2CF9AE}" pid="23" name="Mendeley Unique User Id_1">
    <vt:lpwstr>31669e51-6e21-35a3-b117-c12cf2f1bab5</vt:lpwstr>
  </property>
  <property fmtid="{D5CDD505-2E9C-101B-9397-08002B2CF9AE}" pid="24" name="Mendeley Citation Style_1">
    <vt:lpwstr>http://www.zotero.org/styles/apa</vt:lpwstr>
  </property>
</Properties>
</file>