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6C6BD" w14:textId="77777777" w:rsidR="00066E6D" w:rsidRDefault="00066E6D" w:rsidP="00066E6D">
      <w:pPr>
        <w:spacing w:after="0"/>
        <w:jc w:val="center"/>
        <w:rPr>
          <w:rFonts w:cstheme="minorHAnsi"/>
        </w:rPr>
      </w:pPr>
      <w:r w:rsidRPr="00066E6D">
        <w:rPr>
          <w:rFonts w:cstheme="minorHAnsi"/>
          <w:b/>
          <w:bCs/>
        </w:rPr>
        <w:t>Mapping knowledge structures research concentration and governance visibility in sustainable tourism innovation</w:t>
      </w:r>
    </w:p>
    <w:p w14:paraId="4D54F2EE" w14:textId="7BA57502" w:rsidR="000F097B" w:rsidRPr="000F097B" w:rsidRDefault="000F097B" w:rsidP="00066E6D">
      <w:pPr>
        <w:spacing w:after="0"/>
        <w:jc w:val="center"/>
        <w:rPr>
          <w:rFonts w:cstheme="minorHAnsi"/>
        </w:rPr>
      </w:pPr>
      <w:r w:rsidRPr="000F097B">
        <w:rPr>
          <w:rFonts w:cstheme="minorHAnsi"/>
        </w:rPr>
        <w:t>Khalaf Sulaiman Khalaf Al Bahri</w:t>
      </w:r>
      <w:r w:rsidRPr="000F097B">
        <w:rPr>
          <w:rFonts w:cstheme="minorHAnsi"/>
          <w:i/>
          <w:iCs/>
        </w:rPr>
        <w:t xml:space="preserve"> </w:t>
      </w:r>
      <w:r w:rsidRPr="000F097B">
        <w:rPr>
          <w:rFonts w:cstheme="minorHAnsi"/>
          <w:i/>
          <w:iCs/>
          <w:vertAlign w:val="superscript"/>
        </w:rPr>
        <w:t>1</w:t>
      </w:r>
      <w:r w:rsidRPr="000F097B">
        <w:rPr>
          <w:rFonts w:cstheme="minorHAnsi"/>
          <w:i/>
          <w:iCs/>
        </w:rPr>
        <w:t xml:space="preserve">, </w:t>
      </w:r>
      <w:r w:rsidRPr="000F097B">
        <w:rPr>
          <w:rFonts w:cstheme="minorHAnsi"/>
        </w:rPr>
        <w:t>Aza Azlina Md Kassim</w:t>
      </w:r>
      <w:r w:rsidRPr="000F097B">
        <w:rPr>
          <w:rFonts w:cstheme="minorHAnsi"/>
          <w:i/>
          <w:iCs/>
          <w:vertAlign w:val="superscript"/>
        </w:rPr>
        <w:t xml:space="preserve"> 2</w:t>
      </w:r>
      <w:r w:rsidRPr="000F097B">
        <w:rPr>
          <w:rFonts w:cstheme="minorHAnsi"/>
          <w:i/>
          <w:iCs/>
        </w:rPr>
        <w:t>,</w:t>
      </w:r>
      <w:r w:rsidRPr="000F097B">
        <w:rPr>
          <w:rFonts w:cstheme="minorHAnsi"/>
        </w:rPr>
        <w:t xml:space="preserve"> Graduate School of Management, Management and Science University, Selangor, Malaysia</w:t>
      </w:r>
      <w:r w:rsidRPr="000F097B">
        <w:rPr>
          <w:rFonts w:cstheme="minorHAnsi"/>
          <w:b/>
          <w:bCs/>
          <w:i/>
          <w:iCs/>
          <w:vertAlign w:val="superscript"/>
        </w:rPr>
        <w:t>,</w:t>
      </w:r>
    </w:p>
    <w:p w14:paraId="4EF86888" w14:textId="77777777" w:rsidR="000F097B" w:rsidRPr="000F097B" w:rsidRDefault="000F097B" w:rsidP="000F097B">
      <w:pPr>
        <w:spacing w:after="0"/>
        <w:jc w:val="center"/>
        <w:rPr>
          <w:rFonts w:cstheme="minorHAnsi"/>
          <w:b/>
          <w:bCs/>
          <w:i/>
          <w:iCs/>
          <w:vertAlign w:val="superscript"/>
        </w:rPr>
      </w:pPr>
      <w:r w:rsidRPr="000F097B">
        <w:rPr>
          <w:rFonts w:cstheme="minorHAnsi"/>
        </w:rPr>
        <w:t>Corresponding Author</w:t>
      </w:r>
      <w:r w:rsidRPr="000F097B">
        <w:rPr>
          <w:rFonts w:cstheme="minorHAnsi"/>
          <w:b/>
          <w:bCs/>
          <w:i/>
          <w:iCs/>
          <w:vertAlign w:val="superscript"/>
        </w:rPr>
        <w:t>1</w:t>
      </w:r>
      <w:r w:rsidRPr="000F097B">
        <w:rPr>
          <w:rFonts w:cstheme="minorHAnsi"/>
        </w:rPr>
        <w:t xml:space="preserve"> Email: </w:t>
      </w:r>
      <w:hyperlink r:id="rId7" w:history="1">
        <w:r w:rsidRPr="000F097B">
          <w:rPr>
            <w:rStyle w:val="Hyperlink"/>
            <w:rFonts w:cstheme="minorHAnsi"/>
          </w:rPr>
          <w:t>012024090084@gsm.msu.edu.my</w:t>
        </w:r>
      </w:hyperlink>
    </w:p>
    <w:p w14:paraId="441DFBE2" w14:textId="7A15B446" w:rsidR="000F097B" w:rsidRPr="000F097B" w:rsidRDefault="000F097B" w:rsidP="000F097B">
      <w:pPr>
        <w:tabs>
          <w:tab w:val="left" w:pos="5790"/>
        </w:tabs>
        <w:spacing w:after="0"/>
        <w:jc w:val="center"/>
        <w:rPr>
          <w:rFonts w:cstheme="minorHAnsi"/>
        </w:rPr>
      </w:pPr>
      <w:r w:rsidRPr="000F097B">
        <w:rPr>
          <w:rFonts w:cstheme="minorHAnsi"/>
        </w:rPr>
        <w:t>Corresponding Author</w:t>
      </w:r>
      <w:r w:rsidRPr="000F097B">
        <w:rPr>
          <w:rFonts w:cstheme="minorHAnsi"/>
          <w:b/>
          <w:bCs/>
          <w:i/>
          <w:iCs/>
          <w:vertAlign w:val="superscript"/>
        </w:rPr>
        <w:t>2</w:t>
      </w:r>
      <w:r w:rsidRPr="000F097B">
        <w:rPr>
          <w:rFonts w:cstheme="minorHAnsi"/>
        </w:rPr>
        <w:t xml:space="preserve"> Email: </w:t>
      </w:r>
      <w:hyperlink r:id="rId8" w:history="1">
        <w:r w:rsidRPr="000F097B">
          <w:rPr>
            <w:rStyle w:val="Hyperlink"/>
            <w:rFonts w:cstheme="minorHAnsi"/>
          </w:rPr>
          <w:t>aza_azlina@msu.edu.my</w:t>
        </w:r>
      </w:hyperlink>
    </w:p>
    <w:p w14:paraId="3E330840" w14:textId="77777777" w:rsidR="006D1818" w:rsidRPr="00054276" w:rsidRDefault="001D75D1" w:rsidP="00054276">
      <w:pPr>
        <w:spacing w:line="360" w:lineRule="auto"/>
        <w:jc w:val="right"/>
        <w:rPr>
          <w:rFonts w:cstheme="minorHAnsi"/>
          <w:b/>
          <w:bCs/>
        </w:rPr>
      </w:pPr>
      <w:r w:rsidRPr="001D75D1">
        <w:rPr>
          <w:rFonts w:cstheme="minorHAnsi"/>
          <w:b/>
          <w:bCs/>
        </w:rPr>
        <w:t>Abstract</w:t>
      </w:r>
    </w:p>
    <w:p w14:paraId="194F11DA" w14:textId="46D0574A" w:rsidR="006D1818" w:rsidRPr="00054276" w:rsidRDefault="001D75D1" w:rsidP="00054276">
      <w:pPr>
        <w:bidi w:val="0"/>
        <w:spacing w:line="360" w:lineRule="auto"/>
        <w:jc w:val="both"/>
        <w:rPr>
          <w:rFonts w:cstheme="minorHAnsi"/>
        </w:rPr>
      </w:pPr>
      <w:r w:rsidRPr="00054276">
        <w:rPr>
          <w:rFonts w:cstheme="minorHAnsi"/>
        </w:rPr>
        <w:tab/>
      </w:r>
      <w:r w:rsidR="006D1818" w:rsidRPr="00054276">
        <w:rPr>
          <w:rFonts w:cstheme="minorHAnsi"/>
        </w:rPr>
        <w:t>This study maps the knowledge structure of research on technological innovation in sustainable tourism, with particular attention to thematic prominence, concentration of influence, collaboration patterns, and governance visibility. It draws on a bibliometric analysis of 1,044 Scopus-indexed journal articles published between 2010 and 2023. The analysis examines publication growth, keyword co-occurrence, temporal trends, and co-authorship networks across countries and authors. The dataset was developed through a multi-query retrieval strategy and refined through merging, deduplication, and validation procedures. VOSviewer was used to generate the main science-mapping outputs.</w:t>
      </w:r>
    </w:p>
    <w:p w14:paraId="096C92CB" w14:textId="0C47C2A2" w:rsidR="006D1818" w:rsidRPr="006D1818" w:rsidRDefault="000C323A" w:rsidP="00054276">
      <w:pPr>
        <w:bidi w:val="0"/>
        <w:spacing w:line="360" w:lineRule="auto"/>
        <w:jc w:val="both"/>
        <w:rPr>
          <w:rFonts w:cstheme="minorHAnsi"/>
        </w:rPr>
      </w:pPr>
      <w:r>
        <w:rPr>
          <w:rFonts w:cstheme="minorHAnsi"/>
        </w:rPr>
        <w:tab/>
      </w:r>
      <w:r w:rsidR="006D1818" w:rsidRPr="006D1818">
        <w:rPr>
          <w:rFonts w:cstheme="minorHAnsi"/>
        </w:rPr>
        <w:t>The findings show strong expansion of the field, especially in recent years, alongside the growing prominence of smart tourism, digital transformation, and artificial intelligence within the conceptual landscape. At the same time, the literature reveals uneven contributor visibility and a marked concentration of publication and citation influence within a relatively small group of countries. The dominant thematic streams remain largely technology-centred, while governance, accountability, and outcome-evaluation constructs appear less visible within the field’s conceptual core.</w:t>
      </w:r>
    </w:p>
    <w:p w14:paraId="25482ADF" w14:textId="3802748E" w:rsidR="006D1818" w:rsidRPr="006D1818" w:rsidRDefault="000C323A" w:rsidP="00054276">
      <w:pPr>
        <w:bidi w:val="0"/>
        <w:spacing w:line="360" w:lineRule="auto"/>
        <w:jc w:val="both"/>
        <w:rPr>
          <w:rFonts w:cstheme="minorHAnsi"/>
        </w:rPr>
      </w:pPr>
      <w:r>
        <w:rPr>
          <w:rFonts w:cstheme="minorHAnsi"/>
        </w:rPr>
        <w:tab/>
      </w:r>
      <w:r w:rsidR="006D1818" w:rsidRPr="006D1818">
        <w:rPr>
          <w:rFonts w:cstheme="minorHAnsi"/>
        </w:rPr>
        <w:t>By interpreting bibliometric evidence through the lenses of knowledge structures, concentration, and governance visibility, the study moves beyond descriptive mapping and offers a more critical account of how this research domain is organised. It argues that future scholarship should pay closer attention to governance conditions, measurement logic, and the institutional pathways through which technological innovation may contribute to sustainable tourism outcomes.</w:t>
      </w:r>
    </w:p>
    <w:p w14:paraId="5CA17E88" w14:textId="77777777" w:rsidR="006D1818" w:rsidRDefault="006D1818" w:rsidP="00054276">
      <w:pPr>
        <w:bidi w:val="0"/>
        <w:spacing w:line="360" w:lineRule="auto"/>
        <w:jc w:val="both"/>
        <w:rPr>
          <w:rFonts w:cstheme="minorHAnsi"/>
        </w:rPr>
      </w:pPr>
      <w:r w:rsidRPr="006D1818">
        <w:rPr>
          <w:rFonts w:cstheme="minorHAnsi"/>
          <w:b/>
          <w:bCs/>
        </w:rPr>
        <w:t>Keywords:</w:t>
      </w:r>
      <w:r w:rsidRPr="006D1818">
        <w:rPr>
          <w:rFonts w:cstheme="minorHAnsi"/>
        </w:rPr>
        <w:t xml:space="preserve"> technological innovation; sustainable tourism; bibliometric analysis; VOSviewer; knowledge structures; concentration; governance visibility</w:t>
      </w:r>
    </w:p>
    <w:p w14:paraId="54BA68B0" w14:textId="77777777" w:rsidR="00FB1F53" w:rsidRPr="00FB1F53" w:rsidRDefault="00FB1F53" w:rsidP="00FB1F53">
      <w:pPr>
        <w:bidi w:val="0"/>
        <w:spacing w:line="360" w:lineRule="auto"/>
        <w:jc w:val="both"/>
        <w:rPr>
          <w:rFonts w:cstheme="minorHAnsi"/>
          <w:b/>
          <w:bCs/>
        </w:rPr>
      </w:pPr>
      <w:r w:rsidRPr="00FB1F53">
        <w:rPr>
          <w:rFonts w:cstheme="minorHAnsi"/>
          <w:b/>
          <w:bCs/>
        </w:rPr>
        <w:t>1. Introduction</w:t>
      </w:r>
    </w:p>
    <w:p w14:paraId="0E4F0BF8" w14:textId="09532B92" w:rsidR="00FB1F53" w:rsidRPr="00FB1F53" w:rsidRDefault="00FB1F53" w:rsidP="00FB1F53">
      <w:pPr>
        <w:bidi w:val="0"/>
        <w:spacing w:line="360" w:lineRule="auto"/>
        <w:jc w:val="both"/>
        <w:rPr>
          <w:rFonts w:cstheme="minorHAnsi"/>
        </w:rPr>
      </w:pPr>
      <w:r>
        <w:rPr>
          <w:rFonts w:cstheme="minorHAnsi"/>
        </w:rPr>
        <w:tab/>
      </w:r>
      <w:r w:rsidRPr="00FB1F53">
        <w:rPr>
          <w:rFonts w:cstheme="minorHAnsi"/>
        </w:rPr>
        <w:t xml:space="preserve">Technological innovation has become a prominent feature of contemporary tourism systems. Digital platforms, smart infrastructures, artificial intelligence, the Internet of Things, and data-driven applications increasingly shape how tourism services are designed, </w:t>
      </w:r>
      <w:r w:rsidRPr="00FB1F53">
        <w:rPr>
          <w:rFonts w:cstheme="minorHAnsi"/>
        </w:rPr>
        <w:lastRenderedPageBreak/>
        <w:t>coordinated, marketed, and evaluated (</w:t>
      </w:r>
      <w:hyperlink w:anchor="Gretzel" w:history="1">
        <w:r w:rsidRPr="00FB1F53">
          <w:rPr>
            <w:rStyle w:val="Hyperlink"/>
            <w:rFonts w:cstheme="minorHAnsi"/>
          </w:rPr>
          <w:t>Gretzel et al., 2015</w:t>
        </w:r>
      </w:hyperlink>
      <w:r w:rsidRPr="00FB1F53">
        <w:rPr>
          <w:rFonts w:cstheme="minorHAnsi"/>
        </w:rPr>
        <w:t xml:space="preserve">; </w:t>
      </w:r>
      <w:hyperlink w:anchor="Sigala" w:history="1">
        <w:r w:rsidRPr="00FB1F53">
          <w:rPr>
            <w:rStyle w:val="Hyperlink"/>
            <w:rFonts w:cstheme="minorHAnsi"/>
          </w:rPr>
          <w:t>Sigala, 2020</w:t>
        </w:r>
      </w:hyperlink>
      <w:r w:rsidRPr="00FB1F53">
        <w:rPr>
          <w:rFonts w:cstheme="minorHAnsi"/>
        </w:rPr>
        <w:t>). At the same time, sustainable tourism has developed into a multidimensional research and policy agenda concerned not only with environmental performance, but also with socio-cultural continuity, economic resilience, and the institutional conditions that support long-term destination viability (</w:t>
      </w:r>
      <w:hyperlink w:anchor="Hall" w:history="1">
        <w:r w:rsidRPr="00FB1F53">
          <w:rPr>
            <w:rStyle w:val="Hyperlink"/>
            <w:rFonts w:cstheme="minorHAnsi"/>
          </w:rPr>
          <w:t>Hall, 2019</w:t>
        </w:r>
      </w:hyperlink>
      <w:r w:rsidRPr="00FB1F53">
        <w:rPr>
          <w:rFonts w:cstheme="minorHAnsi"/>
        </w:rPr>
        <w:t xml:space="preserve">; </w:t>
      </w:r>
      <w:hyperlink w:anchor="Milano" w:history="1">
        <w:r w:rsidRPr="00FB1F53">
          <w:rPr>
            <w:rStyle w:val="Hyperlink"/>
            <w:rFonts w:cstheme="minorHAnsi"/>
          </w:rPr>
          <w:t>Milano et al., 2019</w:t>
        </w:r>
      </w:hyperlink>
      <w:r w:rsidRPr="00FB1F53">
        <w:rPr>
          <w:rFonts w:cstheme="minorHAnsi"/>
        </w:rPr>
        <w:t xml:space="preserve">). As a result, the intersection of technological innovation and sustainable tourism has become a rapidly expanding area of scholarship. </w:t>
      </w:r>
    </w:p>
    <w:p w14:paraId="098AEF61" w14:textId="61C605BB" w:rsidR="00FB1F53" w:rsidRPr="00FB1F53" w:rsidRDefault="00FB1F53" w:rsidP="00FB1F53">
      <w:pPr>
        <w:bidi w:val="0"/>
        <w:spacing w:line="360" w:lineRule="auto"/>
        <w:jc w:val="both"/>
        <w:rPr>
          <w:rFonts w:cstheme="minorHAnsi"/>
        </w:rPr>
      </w:pPr>
      <w:r>
        <w:rPr>
          <w:rFonts w:cstheme="minorHAnsi"/>
        </w:rPr>
        <w:tab/>
      </w:r>
      <w:r w:rsidRPr="00FB1F53">
        <w:rPr>
          <w:rFonts w:cstheme="minorHAnsi"/>
        </w:rPr>
        <w:t>Despite this growth, the field continues to face important conceptual and analytical tensions. Tourism research often presents technological innovation as a pathway to sustainability while giving less attention to the governance conditions through which that promise is translated into measurable outcomes. Technological mechanisms tend to be highly visible, whereas accountability, evaluation logic, and outcome specification receive comparatively less emphasis (</w:t>
      </w:r>
      <w:hyperlink w:anchor="Hall" w:history="1">
        <w:r w:rsidRPr="00FB1F53">
          <w:rPr>
            <w:rStyle w:val="Hyperlink"/>
            <w:rFonts w:cstheme="minorHAnsi"/>
          </w:rPr>
          <w:t>Hall, 2019</w:t>
        </w:r>
      </w:hyperlink>
      <w:r w:rsidRPr="00FB1F53">
        <w:rPr>
          <w:rFonts w:cstheme="minorHAnsi"/>
        </w:rPr>
        <w:t xml:space="preserve">; </w:t>
      </w:r>
      <w:hyperlink w:anchor="Gelter" w:history="1">
        <w:r w:rsidRPr="00FB1F53">
          <w:rPr>
            <w:rStyle w:val="Hyperlink"/>
            <w:rFonts w:cstheme="minorHAnsi"/>
          </w:rPr>
          <w:t>Gelter et al., 2021</w:t>
        </w:r>
      </w:hyperlink>
      <w:r w:rsidRPr="00FB1F53">
        <w:rPr>
          <w:rFonts w:cstheme="minorHAnsi"/>
        </w:rPr>
        <w:t xml:space="preserve">; </w:t>
      </w:r>
      <w:hyperlink w:anchor="Çakar" w:history="1">
        <w:r w:rsidRPr="00FB1F53">
          <w:rPr>
            <w:rStyle w:val="Hyperlink"/>
            <w:rFonts w:cstheme="minorHAnsi"/>
          </w:rPr>
          <w:t>Çakar, 2023</w:t>
        </w:r>
      </w:hyperlink>
      <w:r w:rsidRPr="00FB1F53">
        <w:rPr>
          <w:rFonts w:cstheme="minorHAnsi"/>
        </w:rPr>
        <w:t xml:space="preserve">). In addition, terms such as </w:t>
      </w:r>
      <w:r w:rsidRPr="00FB1F53">
        <w:rPr>
          <w:rFonts w:cstheme="minorHAnsi"/>
          <w:i/>
          <w:iCs/>
        </w:rPr>
        <w:t>smart tourism</w:t>
      </w:r>
      <w:r w:rsidRPr="00FB1F53">
        <w:rPr>
          <w:rFonts w:cstheme="minorHAnsi"/>
        </w:rPr>
        <w:t xml:space="preserve">, </w:t>
      </w:r>
      <w:r w:rsidRPr="00FB1F53">
        <w:rPr>
          <w:rFonts w:cstheme="minorHAnsi"/>
          <w:i/>
          <w:iCs/>
        </w:rPr>
        <w:t>digital transformation</w:t>
      </w:r>
      <w:r w:rsidRPr="00FB1F53">
        <w:rPr>
          <w:rFonts w:cstheme="minorHAnsi"/>
        </w:rPr>
        <w:t xml:space="preserve">, and </w:t>
      </w:r>
      <w:r w:rsidRPr="00FB1F53">
        <w:rPr>
          <w:rFonts w:cstheme="minorHAnsi"/>
          <w:i/>
          <w:iCs/>
        </w:rPr>
        <w:t>technological innovation</w:t>
      </w:r>
      <w:r w:rsidRPr="00FB1F53">
        <w:rPr>
          <w:rFonts w:cstheme="minorHAnsi"/>
        </w:rPr>
        <w:t xml:space="preserve"> are frequently used in overlapping ways, even though they refer to different analytical levels and forms of change (</w:t>
      </w:r>
      <w:hyperlink w:anchor="Gretzel" w:history="1">
        <w:r w:rsidRPr="00FB1F53">
          <w:rPr>
            <w:rStyle w:val="Hyperlink"/>
            <w:rFonts w:cstheme="minorHAnsi"/>
          </w:rPr>
          <w:t>Gretzel et al., 2015</w:t>
        </w:r>
      </w:hyperlink>
      <w:r w:rsidRPr="00FB1F53">
        <w:rPr>
          <w:rFonts w:cstheme="minorHAnsi"/>
        </w:rPr>
        <w:t xml:space="preserve">; </w:t>
      </w:r>
      <w:hyperlink w:anchor="Sigala" w:history="1">
        <w:r w:rsidRPr="00FB1F53">
          <w:rPr>
            <w:rStyle w:val="Hyperlink"/>
            <w:rFonts w:cstheme="minorHAnsi"/>
          </w:rPr>
          <w:t>Sigala, 2020</w:t>
        </w:r>
      </w:hyperlink>
      <w:r w:rsidRPr="00FB1F53">
        <w:rPr>
          <w:rFonts w:cstheme="minorHAnsi"/>
        </w:rPr>
        <w:t xml:space="preserve">; </w:t>
      </w:r>
      <w:hyperlink w:anchor="Xiang" w:history="1">
        <w:r w:rsidRPr="00FB1F53">
          <w:rPr>
            <w:rStyle w:val="Hyperlink"/>
            <w:rFonts w:cstheme="minorHAnsi"/>
          </w:rPr>
          <w:t>Xiang et al., 2021</w:t>
        </w:r>
      </w:hyperlink>
      <w:r w:rsidRPr="00FB1F53">
        <w:rPr>
          <w:rFonts w:cstheme="minorHAnsi"/>
        </w:rPr>
        <w:t>). This weakens conceptual clarity and makes cumulative knowledge development more difficult.</w:t>
      </w:r>
    </w:p>
    <w:p w14:paraId="320E1E40" w14:textId="3FF9BD0C" w:rsidR="00FB1F53" w:rsidRPr="00FB1F53" w:rsidRDefault="00FB1F53" w:rsidP="00FB1F53">
      <w:pPr>
        <w:bidi w:val="0"/>
        <w:spacing w:line="360" w:lineRule="auto"/>
        <w:jc w:val="both"/>
        <w:rPr>
          <w:rFonts w:cstheme="minorHAnsi"/>
        </w:rPr>
      </w:pPr>
      <w:r>
        <w:rPr>
          <w:rFonts w:cstheme="minorHAnsi"/>
        </w:rPr>
        <w:tab/>
      </w:r>
      <w:r w:rsidRPr="00FB1F53">
        <w:rPr>
          <w:rFonts w:cstheme="minorHAnsi"/>
        </w:rPr>
        <w:t>These issues are especially significant in sustainability-oriented tourism research. Sustainability cannot be reduced to technical optimisation or efficiency gains alone; it is also shaped by governance arrangements, political choices, social trade-offs, and the capacity to define and monitor outcomes credibly (</w:t>
      </w:r>
      <w:hyperlink w:anchor="Hall" w:history="1">
        <w:r w:rsidRPr="00FB1F53">
          <w:rPr>
            <w:rStyle w:val="Hyperlink"/>
            <w:rFonts w:cstheme="minorHAnsi"/>
          </w:rPr>
          <w:t>Hall, 2019</w:t>
        </w:r>
      </w:hyperlink>
      <w:r w:rsidRPr="00FB1F53">
        <w:rPr>
          <w:rFonts w:cstheme="minorHAnsi"/>
        </w:rPr>
        <w:t>). Even when tourism research highlights smart systems, big data, or AI-enabled solutions, the practical significance of these innovations depends on whether the field engages with accountability, legitimacy, institutional capacity, and evaluative design (</w:t>
      </w:r>
      <w:hyperlink w:anchor="Gelter" w:history="1">
        <w:r w:rsidRPr="00FB1F53">
          <w:rPr>
            <w:rStyle w:val="Hyperlink"/>
            <w:rFonts w:cstheme="minorHAnsi"/>
          </w:rPr>
          <w:t>Gelter et al., 2021</w:t>
        </w:r>
      </w:hyperlink>
      <w:r w:rsidRPr="00FB1F53">
        <w:rPr>
          <w:rFonts w:cstheme="minorHAnsi"/>
        </w:rPr>
        <w:t xml:space="preserve">; </w:t>
      </w:r>
      <w:hyperlink w:anchor="Rahmadian" w:history="1">
        <w:r w:rsidRPr="00FB1F53">
          <w:rPr>
            <w:rStyle w:val="Hyperlink"/>
            <w:rFonts w:cstheme="minorHAnsi"/>
          </w:rPr>
          <w:t>Rahmadian et al., 2022</w:t>
        </w:r>
      </w:hyperlink>
      <w:r w:rsidRPr="00FB1F53">
        <w:rPr>
          <w:rFonts w:cstheme="minorHAnsi"/>
        </w:rPr>
        <w:t>). Thus, the issue is not only which technologies are discussed, but also which surrounding conditions are made visible in the literature.</w:t>
      </w:r>
    </w:p>
    <w:p w14:paraId="62AB5810" w14:textId="2ABD4E06" w:rsidR="00FB1F53" w:rsidRPr="00FB1F53" w:rsidRDefault="00FB1F53" w:rsidP="00FB1F53">
      <w:pPr>
        <w:bidi w:val="0"/>
        <w:spacing w:line="360" w:lineRule="auto"/>
        <w:jc w:val="both"/>
        <w:rPr>
          <w:rFonts w:cstheme="minorHAnsi"/>
        </w:rPr>
      </w:pPr>
      <w:r>
        <w:rPr>
          <w:rFonts w:cstheme="minorHAnsi"/>
        </w:rPr>
        <w:tab/>
      </w:r>
      <w:r w:rsidRPr="00FB1F53">
        <w:rPr>
          <w:rFonts w:cstheme="minorHAnsi"/>
        </w:rPr>
        <w:t>Bibliometric analysis provides a useful way to examine how this research domain has evolved and how its main priorities have been organised. Beyond describing publication growth, bibliometric methods can reveal knowledge structures, identify where influence is concentrated, and show which themes occupy central or peripheral positions within the conceptual landscape (</w:t>
      </w:r>
      <w:hyperlink w:anchor="Donthu" w:history="1">
        <w:r w:rsidRPr="00FB1F53">
          <w:rPr>
            <w:rStyle w:val="Hyperlink"/>
            <w:rFonts w:cstheme="minorHAnsi"/>
          </w:rPr>
          <w:t>Donthu et al., 2021</w:t>
        </w:r>
      </w:hyperlink>
      <w:r w:rsidRPr="00FB1F53">
        <w:rPr>
          <w:rFonts w:cstheme="minorHAnsi"/>
        </w:rPr>
        <w:t xml:space="preserve">; </w:t>
      </w:r>
      <w:hyperlink w:anchor="AriaMCuccurullo201" w:history="1">
        <w:r w:rsidRPr="00FB1F53">
          <w:rPr>
            <w:rStyle w:val="Hyperlink"/>
            <w:rFonts w:cstheme="minorHAnsi"/>
          </w:rPr>
          <w:t>Aria &amp; Cuccurullo, 2017</w:t>
        </w:r>
      </w:hyperlink>
      <w:r w:rsidRPr="00FB1F53">
        <w:rPr>
          <w:rFonts w:cstheme="minorHAnsi"/>
        </w:rPr>
        <w:t xml:space="preserve">; </w:t>
      </w:r>
      <w:hyperlink w:anchor="Köseoglu" w:history="1">
        <w:r w:rsidRPr="00FB1F53">
          <w:rPr>
            <w:rStyle w:val="Hyperlink"/>
            <w:rFonts w:cstheme="minorHAnsi"/>
          </w:rPr>
          <w:t>Köseoglu et al., 2016</w:t>
        </w:r>
      </w:hyperlink>
      <w:r w:rsidRPr="00FB1F53">
        <w:rPr>
          <w:rFonts w:cstheme="minorHAnsi"/>
        </w:rPr>
        <w:t xml:space="preserve">). This is especially relevant in research on technological innovation and sustainable tourism, where prior studies have increased visibility around smart tourism, digitalisation, and </w:t>
      </w:r>
      <w:r w:rsidRPr="00FB1F53">
        <w:rPr>
          <w:rFonts w:cstheme="minorHAnsi"/>
        </w:rPr>
        <w:lastRenderedPageBreak/>
        <w:t>sustainability-related innovation, but have given less attention to how the field is structured in terms of concentration and governance visibility.</w:t>
      </w:r>
    </w:p>
    <w:p w14:paraId="625E3D58" w14:textId="0CA2C48A" w:rsidR="00FB1F53" w:rsidRPr="00FB1F53" w:rsidRDefault="00FB1F53" w:rsidP="00FB1F53">
      <w:pPr>
        <w:bidi w:val="0"/>
        <w:spacing w:line="360" w:lineRule="auto"/>
        <w:jc w:val="both"/>
        <w:rPr>
          <w:rFonts w:cstheme="minorHAnsi"/>
        </w:rPr>
      </w:pPr>
      <w:r>
        <w:rPr>
          <w:rFonts w:cstheme="minorHAnsi"/>
        </w:rPr>
        <w:tab/>
      </w:r>
      <w:r w:rsidRPr="00FB1F53">
        <w:rPr>
          <w:rFonts w:cstheme="minorHAnsi"/>
        </w:rPr>
        <w:t>Accordingly, this study maps research on technological innovation in sustainable tourism through a bibliometric analysis focused on three interpretive dimensions: knowledge structures, concentration, and governance visibility. Using a dataset of 1,044 Scopus-indexed journal articles published between 2010 and 2023, it examines publication growth, keyword co-occurrence, temporal developments, and co-authorship patterns across countries and authors. Rather than treating bibliometric outputs as purely descriptive, the study uses them to explore how the field is organised, where influence is clustered, and how governance-oriented concerns are positioned within the wider conceptual domain.</w:t>
      </w:r>
    </w:p>
    <w:p w14:paraId="088B63C0" w14:textId="77777777" w:rsidR="00066E6D" w:rsidRPr="00066E6D" w:rsidRDefault="00FB1F53" w:rsidP="00066E6D">
      <w:pPr>
        <w:bidi w:val="0"/>
        <w:spacing w:line="360" w:lineRule="auto"/>
        <w:jc w:val="both"/>
        <w:rPr>
          <w:rFonts w:cstheme="minorHAnsi"/>
        </w:rPr>
      </w:pPr>
      <w:r>
        <w:rPr>
          <w:rFonts w:cstheme="minorHAnsi"/>
        </w:rPr>
        <w:tab/>
      </w:r>
      <w:r w:rsidR="00066E6D" w:rsidRPr="00066E6D">
        <w:rPr>
          <w:rFonts w:cstheme="minorHAnsi"/>
        </w:rPr>
        <w:t>The study makes three contributions. First, it provides an updated bibliometric mapping of a rapidly expanding field at the intersection of technological innovation and sustainable tourism. Second, it interprets the literature in terms of research concentration and collaboration visibility, thereby clarifying how influence and agenda formation are distributed across the field. Third, it highlights the relative visibility of governance-related concerns within the dominant conceptual space. Together, these contributions allow the study to move beyond descriptive mapping by showing how technological visibility, research concentration, and governance visibility shape the organisation of sustainable tourism innovation research.</w:t>
      </w:r>
    </w:p>
    <w:p w14:paraId="65C2357F" w14:textId="77777777" w:rsidR="00191D13" w:rsidRPr="00191D13" w:rsidRDefault="00191D13" w:rsidP="00014D37">
      <w:pPr>
        <w:bidi w:val="0"/>
        <w:spacing w:after="0" w:line="360" w:lineRule="auto"/>
        <w:jc w:val="both"/>
        <w:rPr>
          <w:rFonts w:cstheme="minorHAnsi"/>
          <w:b/>
          <w:bCs/>
        </w:rPr>
      </w:pPr>
      <w:r w:rsidRPr="00191D13">
        <w:rPr>
          <w:rFonts w:cstheme="minorHAnsi"/>
          <w:b/>
          <w:bCs/>
        </w:rPr>
        <w:t>2. Literature Review</w:t>
      </w:r>
    </w:p>
    <w:p w14:paraId="3CAEA3D2" w14:textId="77777777" w:rsidR="00014D37" w:rsidRPr="00014D37" w:rsidRDefault="00014D37" w:rsidP="00014D37">
      <w:pPr>
        <w:bidi w:val="0"/>
        <w:spacing w:after="0" w:line="360" w:lineRule="auto"/>
        <w:jc w:val="both"/>
        <w:rPr>
          <w:rFonts w:cstheme="minorHAnsi"/>
          <w:b/>
          <w:bCs/>
        </w:rPr>
      </w:pPr>
      <w:r w:rsidRPr="00014D37">
        <w:rPr>
          <w:rFonts w:cstheme="minorHAnsi"/>
          <w:b/>
          <w:bCs/>
        </w:rPr>
        <w:t>2.1 Sustainable tourism and governance</w:t>
      </w:r>
    </w:p>
    <w:p w14:paraId="12CF83A9" w14:textId="24F24BC4" w:rsidR="00014D37" w:rsidRPr="00014D37" w:rsidRDefault="00014D37" w:rsidP="00014D37">
      <w:pPr>
        <w:bidi w:val="0"/>
        <w:spacing w:line="360" w:lineRule="auto"/>
        <w:jc w:val="both"/>
        <w:rPr>
          <w:rFonts w:cstheme="minorHAnsi"/>
        </w:rPr>
      </w:pPr>
      <w:r>
        <w:rPr>
          <w:rFonts w:cstheme="minorHAnsi"/>
        </w:rPr>
        <w:tab/>
      </w:r>
      <w:r w:rsidRPr="00014D37">
        <w:rPr>
          <w:rFonts w:cstheme="minorHAnsi"/>
        </w:rPr>
        <w:t>Sustainable tourism is widely presented as a desirable pathway for destination development, yet its practical meaning remains contested because it must reconcile environmental protection, socio-cultural continuity, and economic viability within specific institutional settings. In tourism research, sustainability is no longer understood simply as efficient resource management; it is increasingly approached as a governance issue involving regulation, legitimacy, accountability, and the distribution of costs and benefits across stakeholders (</w:t>
      </w:r>
      <w:hyperlink w:anchor="Hall" w:history="1">
        <w:r w:rsidRPr="00014D37">
          <w:rPr>
            <w:rStyle w:val="Hyperlink"/>
            <w:rFonts w:cstheme="minorHAnsi"/>
          </w:rPr>
          <w:t>Hall, 2019</w:t>
        </w:r>
      </w:hyperlink>
      <w:r w:rsidRPr="00014D37">
        <w:rPr>
          <w:rFonts w:cstheme="minorHAnsi"/>
        </w:rPr>
        <w:t xml:space="preserve">; </w:t>
      </w:r>
      <w:hyperlink w:anchor="Milano" w:history="1">
        <w:r w:rsidRPr="00014D37">
          <w:rPr>
            <w:rStyle w:val="Hyperlink"/>
            <w:rFonts w:cstheme="minorHAnsi"/>
          </w:rPr>
          <w:t>Milano et al., 2019</w:t>
        </w:r>
      </w:hyperlink>
      <w:r w:rsidRPr="00014D37">
        <w:rPr>
          <w:rFonts w:cstheme="minorHAnsi"/>
        </w:rPr>
        <w:t>). This broader perspective is especially important in destinations where growth-oriented tourism strategies generate tensions around carrying capacity, resident well-being, and long-term place resilience.</w:t>
      </w:r>
    </w:p>
    <w:p w14:paraId="3DFAB21A" w14:textId="4CB550A3" w:rsidR="00014D37" w:rsidRPr="00014D37" w:rsidRDefault="00014D37" w:rsidP="00014D37">
      <w:pPr>
        <w:bidi w:val="0"/>
        <w:spacing w:line="360" w:lineRule="auto"/>
        <w:jc w:val="both"/>
        <w:rPr>
          <w:rFonts w:cstheme="minorHAnsi"/>
        </w:rPr>
      </w:pPr>
      <w:r>
        <w:rPr>
          <w:rFonts w:cstheme="minorHAnsi"/>
        </w:rPr>
        <w:tab/>
      </w:r>
      <w:r w:rsidRPr="00014D37">
        <w:rPr>
          <w:rFonts w:cstheme="minorHAnsi"/>
        </w:rPr>
        <w:t>From this perspective, governance is not an additional layer applied after implementation, but a condition that shapes whether sustainability goals can be defined, monitored, and enforced. Hall (</w:t>
      </w:r>
      <w:hyperlink w:anchor="Hall" w:history="1">
        <w:r w:rsidRPr="00014D37">
          <w:rPr>
            <w:rStyle w:val="Hyperlink"/>
            <w:rFonts w:cstheme="minorHAnsi"/>
          </w:rPr>
          <w:t>2019</w:t>
        </w:r>
      </w:hyperlink>
      <w:r w:rsidRPr="00014D37">
        <w:rPr>
          <w:rFonts w:cstheme="minorHAnsi"/>
        </w:rPr>
        <w:t xml:space="preserve">) argues that tourism sustainability becomes analytically weak when reduced to managerial rhetoric detached from institutional responsibility and </w:t>
      </w:r>
      <w:r w:rsidRPr="00014D37">
        <w:rPr>
          <w:rFonts w:cstheme="minorHAnsi"/>
        </w:rPr>
        <w:lastRenderedPageBreak/>
        <w:t>measurable consequences. This concern is reinforced by debates on overtourism and destination pressure, where the key issue is often less the existence of tourism development than the way it is planned, controlled, and made accountable to affected communities (</w:t>
      </w:r>
      <w:hyperlink w:anchor="Milano" w:history="1">
        <w:r w:rsidRPr="00014D37">
          <w:rPr>
            <w:rStyle w:val="Hyperlink"/>
            <w:rFonts w:cstheme="minorHAnsi"/>
          </w:rPr>
          <w:t>Milano et al., 2019</w:t>
        </w:r>
      </w:hyperlink>
      <w:r w:rsidRPr="00014D37">
        <w:rPr>
          <w:rFonts w:cstheme="minorHAnsi"/>
        </w:rPr>
        <w:t>). For studies on technological innovation, this literature is important because it suggests that digital or smart interventions cannot be judged solely by efficiency gains; they must also be assessed in relation to governance capacity, social legitimacy, and evaluative clarity.</w:t>
      </w:r>
    </w:p>
    <w:p w14:paraId="558F62C4" w14:textId="77777777" w:rsidR="00014D37" w:rsidRPr="00014D37" w:rsidRDefault="00014D37" w:rsidP="00014D37">
      <w:pPr>
        <w:bidi w:val="0"/>
        <w:spacing w:line="360" w:lineRule="auto"/>
        <w:jc w:val="both"/>
        <w:rPr>
          <w:rFonts w:cstheme="minorHAnsi"/>
          <w:b/>
          <w:bCs/>
        </w:rPr>
      </w:pPr>
      <w:r w:rsidRPr="00014D37">
        <w:rPr>
          <w:rFonts w:cstheme="minorHAnsi"/>
          <w:b/>
          <w:bCs/>
        </w:rPr>
        <w:t>2.2 Smart tourism and innovation</w:t>
      </w:r>
    </w:p>
    <w:p w14:paraId="78CCD271" w14:textId="6596E79B" w:rsidR="00014D37" w:rsidRPr="00014D37" w:rsidRDefault="00014D37" w:rsidP="00014D37">
      <w:pPr>
        <w:bidi w:val="0"/>
        <w:spacing w:line="360" w:lineRule="auto"/>
        <w:jc w:val="both"/>
        <w:rPr>
          <w:rFonts w:cstheme="minorHAnsi"/>
        </w:rPr>
      </w:pPr>
      <w:r>
        <w:rPr>
          <w:rFonts w:cstheme="minorHAnsi"/>
        </w:rPr>
        <w:tab/>
      </w:r>
      <w:r w:rsidRPr="00014D37">
        <w:rPr>
          <w:rFonts w:cstheme="minorHAnsi"/>
        </w:rPr>
        <w:t>Research on smart tourism has played a major role in shaping how technology is understood in tourism studies. Foundational work conceptualised smart tourism as a digitally connected ecosystem in which information and communication technologies facilitate interaction, coordination, and value creation among destinations, businesses, residents, and visitors (</w:t>
      </w:r>
      <w:hyperlink w:anchor="Gretzel" w:history="1">
        <w:r w:rsidRPr="00014D37">
          <w:rPr>
            <w:rStyle w:val="Hyperlink"/>
            <w:rFonts w:cstheme="minorHAnsi"/>
          </w:rPr>
          <w:t>Gretzel et al., 2015</w:t>
        </w:r>
      </w:hyperlink>
      <w:r w:rsidRPr="00014D37">
        <w:rPr>
          <w:rFonts w:cstheme="minorHAnsi"/>
        </w:rPr>
        <w:t>). This perspective established a useful vocabulary for examining digital infrastructures, real-time data, platform-mediated services, and intelligent destination systems. However, the later expansion of the field also introduced conceptual looseness, as smart tourism has often been used as a broad umbrella term covering multiple forms of digital change without clearly distinguishing among technological tools, organisational transformation, and governance arrangements.</w:t>
      </w:r>
    </w:p>
    <w:p w14:paraId="64B21FB3" w14:textId="14855390" w:rsidR="00014D37" w:rsidRPr="00014D37" w:rsidRDefault="00014D37" w:rsidP="00014D37">
      <w:pPr>
        <w:bidi w:val="0"/>
        <w:spacing w:line="360" w:lineRule="auto"/>
        <w:jc w:val="both"/>
        <w:rPr>
          <w:rFonts w:cstheme="minorHAnsi"/>
        </w:rPr>
      </w:pPr>
      <w:r>
        <w:rPr>
          <w:rFonts w:cstheme="minorHAnsi"/>
        </w:rPr>
        <w:tab/>
      </w:r>
      <w:r w:rsidRPr="00014D37">
        <w:rPr>
          <w:rFonts w:cstheme="minorHAnsi"/>
        </w:rPr>
        <w:t>This broadening has both value and risk. It reflects the interconnected nature of contemporary tourism systems, but it can also blur analytical precision by grouping distinct processes under a common language of innovation. Sigala (</w:t>
      </w:r>
      <w:hyperlink w:anchor="Sigala" w:history="1">
        <w:r w:rsidRPr="00014D37">
          <w:rPr>
            <w:rStyle w:val="Hyperlink"/>
            <w:rFonts w:cstheme="minorHAnsi"/>
          </w:rPr>
          <w:t>2020</w:t>
        </w:r>
      </w:hyperlink>
      <w:r w:rsidRPr="00014D37">
        <w:rPr>
          <w:rFonts w:cstheme="minorHAnsi"/>
        </w:rPr>
        <w:t>) shows that digital transformation became especially prominent during and after the COVID-19 period, when technological adaptation was increasingly framed as a route toward recovery, resilience, and reinvention. Yet this acceleration also intensified concerns about institutional readiness, uneven access, and the distribution of benefits from technology-led change. Likewise, Gelter et al. (</w:t>
      </w:r>
      <w:hyperlink w:anchor="Gelter" w:history="1">
        <w:r w:rsidRPr="00014D37">
          <w:rPr>
            <w:rStyle w:val="Hyperlink"/>
            <w:rFonts w:cstheme="minorHAnsi"/>
          </w:rPr>
          <w:t>2021</w:t>
        </w:r>
      </w:hyperlink>
      <w:r w:rsidRPr="00014D37">
        <w:rPr>
          <w:rFonts w:cstheme="minorHAnsi"/>
        </w:rPr>
        <w:t>) show that smart tourism is not merely a technical condition; it is shaped by how stakeholders interpret and govern technological change in practice. The key issue, therefore, is not only the spread of digital innovation, but also the conceptual terms through which that innovation is framed and the assumptions attached to its expected outcomes.</w:t>
      </w:r>
    </w:p>
    <w:p w14:paraId="2077108A" w14:textId="77777777" w:rsidR="00014D37" w:rsidRPr="00014D37" w:rsidRDefault="00014D37" w:rsidP="00014D37">
      <w:pPr>
        <w:bidi w:val="0"/>
        <w:spacing w:line="360" w:lineRule="auto"/>
        <w:jc w:val="both"/>
        <w:rPr>
          <w:rFonts w:cstheme="minorHAnsi"/>
          <w:b/>
          <w:bCs/>
        </w:rPr>
      </w:pPr>
      <w:r w:rsidRPr="00014D37">
        <w:rPr>
          <w:rFonts w:cstheme="minorHAnsi"/>
          <w:b/>
          <w:bCs/>
        </w:rPr>
        <w:t>2.3 Measurement, evaluation, and sustainability outcomes</w:t>
      </w:r>
    </w:p>
    <w:p w14:paraId="12C230F0" w14:textId="69EB3197" w:rsidR="00014D37" w:rsidRPr="00014D37" w:rsidRDefault="00014D37" w:rsidP="00014D37">
      <w:pPr>
        <w:bidi w:val="0"/>
        <w:spacing w:line="360" w:lineRule="auto"/>
        <w:jc w:val="both"/>
        <w:rPr>
          <w:rFonts w:cstheme="minorHAnsi"/>
        </w:rPr>
      </w:pPr>
      <w:r>
        <w:rPr>
          <w:rFonts w:cstheme="minorHAnsi"/>
        </w:rPr>
        <w:tab/>
      </w:r>
      <w:r w:rsidRPr="00014D37">
        <w:rPr>
          <w:rFonts w:cstheme="minorHAnsi"/>
        </w:rPr>
        <w:t xml:space="preserve">A further issue in the literature concerns the relationship between technological adoption and the measurement of sustainability outcomes. Sustainability in tourism cannot </w:t>
      </w:r>
      <w:r w:rsidRPr="00014D37">
        <w:rPr>
          <w:rFonts w:cstheme="minorHAnsi"/>
        </w:rPr>
        <w:lastRenderedPageBreak/>
        <w:t>be meaningfully advanced without some basis for evaluating whether interventions improve environmental performance, socio-cultural resilience, or institutional effectiveness. Recent policy discussions increasingly emphasise the role of indicators, reporting systems, and monitoring tools in making sustainability claims credible and comparable, especially in areas such as climate action and resource management (</w:t>
      </w:r>
      <w:hyperlink w:anchor="UNTourism" w:history="1">
        <w:r w:rsidRPr="00014D37">
          <w:rPr>
            <w:rStyle w:val="Hyperlink"/>
            <w:rFonts w:cstheme="minorHAnsi"/>
          </w:rPr>
          <w:t>UN Tourism, 2023</w:t>
        </w:r>
      </w:hyperlink>
      <w:r w:rsidRPr="00014D37">
        <w:rPr>
          <w:rFonts w:cstheme="minorHAnsi"/>
        </w:rPr>
        <w:t>). Measurement, therefore, is not merely a technical afterthought; it forms part of the governance architecture through which sustainability is made operational.</w:t>
      </w:r>
    </w:p>
    <w:p w14:paraId="3EDC2082" w14:textId="529CB33E" w:rsidR="00014D37" w:rsidRPr="00014D37" w:rsidRDefault="00014D37" w:rsidP="00014D37">
      <w:pPr>
        <w:bidi w:val="0"/>
        <w:spacing w:line="360" w:lineRule="auto"/>
        <w:jc w:val="both"/>
        <w:rPr>
          <w:rFonts w:cstheme="minorHAnsi"/>
        </w:rPr>
      </w:pPr>
      <w:r>
        <w:rPr>
          <w:rFonts w:cstheme="minorHAnsi"/>
        </w:rPr>
        <w:tab/>
      </w:r>
      <w:r w:rsidRPr="00014D37">
        <w:rPr>
          <w:rFonts w:cstheme="minorHAnsi"/>
        </w:rPr>
        <w:t>At the same time, the increasing use of digital tools has encouraged assumptions that more data automatically lead to better sustainability outcomes. The literature does not fully support such a conclusion. Rahmadian et al. (</w:t>
      </w:r>
      <w:hyperlink w:anchor="Rahmadian" w:history="1">
        <w:r w:rsidRPr="00014D37">
          <w:rPr>
            <w:rStyle w:val="Hyperlink"/>
            <w:rFonts w:cstheme="minorHAnsi"/>
          </w:rPr>
          <w:t>2022</w:t>
        </w:r>
      </w:hyperlink>
      <w:r w:rsidRPr="00014D37">
        <w:rPr>
          <w:rFonts w:cstheme="minorHAnsi"/>
        </w:rPr>
        <w:t>) show that empirical evidence on big data applications in sustainable tourism remains uneven and that sustainability is operationalised inconsistently across studies. This inconsistency reveals a recurring gap between the visibility of digital tools and the clarity of outcome frameworks. Put differently, the field often appears more advanced in identifying technological possibilities than in specifying how those possibilities should be evaluated, governed, and translated into measurable improvements.</w:t>
      </w:r>
    </w:p>
    <w:p w14:paraId="1DD7F358" w14:textId="77777777" w:rsidR="00014D37" w:rsidRPr="00014D37" w:rsidRDefault="00014D37" w:rsidP="00014D37">
      <w:pPr>
        <w:bidi w:val="0"/>
        <w:spacing w:line="360" w:lineRule="auto"/>
        <w:jc w:val="both"/>
        <w:rPr>
          <w:rFonts w:cstheme="minorHAnsi"/>
          <w:b/>
          <w:bCs/>
        </w:rPr>
      </w:pPr>
      <w:r w:rsidRPr="00014D37">
        <w:rPr>
          <w:rFonts w:cstheme="minorHAnsi"/>
          <w:b/>
          <w:bCs/>
        </w:rPr>
        <w:t>2.4 Bibliometric studies and the problem of contribution</w:t>
      </w:r>
    </w:p>
    <w:p w14:paraId="009F41D4" w14:textId="7348889F" w:rsidR="00014D37" w:rsidRPr="00014D37" w:rsidRDefault="00014D37" w:rsidP="00014D37">
      <w:pPr>
        <w:bidi w:val="0"/>
        <w:spacing w:line="360" w:lineRule="auto"/>
        <w:jc w:val="both"/>
        <w:rPr>
          <w:rFonts w:cstheme="minorHAnsi"/>
        </w:rPr>
      </w:pPr>
      <w:r>
        <w:rPr>
          <w:rFonts w:cstheme="minorHAnsi"/>
        </w:rPr>
        <w:tab/>
      </w:r>
      <w:r w:rsidRPr="00014D37">
        <w:rPr>
          <w:rFonts w:cstheme="minorHAnsi"/>
        </w:rPr>
        <w:t>Bibliometric analysis has become a widely used method for synthesising large and rapidly expanding research domains. In tourism and hospitality studies, it has been particularly useful for identifying publication trends, influential authors, keyword clusters, and collaboration networks (</w:t>
      </w:r>
      <w:hyperlink w:anchor="Köseoglu" w:history="1">
        <w:r w:rsidRPr="00014D37">
          <w:rPr>
            <w:rStyle w:val="Hyperlink"/>
            <w:rFonts w:cstheme="minorHAnsi"/>
          </w:rPr>
          <w:t>Köseoglu et al., 2016</w:t>
        </w:r>
      </w:hyperlink>
      <w:r w:rsidRPr="00014D37">
        <w:rPr>
          <w:rFonts w:cstheme="minorHAnsi"/>
        </w:rPr>
        <w:t xml:space="preserve">; </w:t>
      </w:r>
      <w:hyperlink w:anchor="Donthu" w:history="1">
        <w:r w:rsidRPr="00014D37">
          <w:rPr>
            <w:rStyle w:val="Hyperlink"/>
            <w:rFonts w:cstheme="minorHAnsi"/>
          </w:rPr>
          <w:t>Donthu et al., 2021</w:t>
        </w:r>
      </w:hyperlink>
      <w:r w:rsidRPr="00014D37">
        <w:rPr>
          <w:rFonts w:cstheme="minorHAnsi"/>
        </w:rPr>
        <w:t>). Its value lies in the ability to process large volumes of metadata systematically and visualise how a field develops over time. However, methodological guidance increasingly stresses that bibliometric studies must move beyond descriptive reporting if they are to make a meaningful scholarly contribution (</w:t>
      </w:r>
      <w:hyperlink w:anchor="Donthu" w:history="1">
        <w:r w:rsidRPr="00014D37">
          <w:rPr>
            <w:rStyle w:val="Hyperlink"/>
            <w:rFonts w:cstheme="minorHAnsi"/>
          </w:rPr>
          <w:t>Donthu et al., 2021</w:t>
        </w:r>
      </w:hyperlink>
      <w:r w:rsidRPr="00014D37">
        <w:rPr>
          <w:rFonts w:cstheme="minorHAnsi"/>
        </w:rPr>
        <w:t>).</w:t>
      </w:r>
    </w:p>
    <w:p w14:paraId="78AD00BC" w14:textId="379E6F03" w:rsidR="00014D37" w:rsidRDefault="00014D37" w:rsidP="00014D37">
      <w:pPr>
        <w:bidi w:val="0"/>
        <w:spacing w:line="360" w:lineRule="auto"/>
        <w:jc w:val="both"/>
        <w:rPr>
          <w:rFonts w:cstheme="minorHAnsi"/>
        </w:rPr>
      </w:pPr>
      <w:r>
        <w:rPr>
          <w:rFonts w:cstheme="minorHAnsi"/>
        </w:rPr>
        <w:tab/>
      </w:r>
      <w:r w:rsidRPr="00014D37">
        <w:rPr>
          <w:rFonts w:cstheme="minorHAnsi"/>
        </w:rPr>
        <w:t>This expectation is especially relevant in areas that have already been mapped repeatedly. In such contexts, originality depends less on showing that a field is growing and more on offering a sharper explanation of how it is structured, what dominates its conceptual centre, and which concerns remain underrepresented despite their substantive importance. Tourism-specific reflections make a similar point: bibliometric work becomes theoretically valuable when it clarifies conceptual boundaries, reveals imbalances in visibility, or identifies areas where cumulative knowledge remains weak (</w:t>
      </w:r>
      <w:hyperlink w:anchor="Köseoglu" w:history="1">
        <w:r w:rsidRPr="00014D37">
          <w:rPr>
            <w:rStyle w:val="Hyperlink"/>
            <w:rFonts w:cstheme="minorHAnsi"/>
          </w:rPr>
          <w:t>Köseoglu et al., 2016</w:t>
        </w:r>
      </w:hyperlink>
      <w:r w:rsidRPr="00014D37">
        <w:rPr>
          <w:rFonts w:cstheme="minorHAnsi"/>
        </w:rPr>
        <w:t xml:space="preserve">). For research on technological innovation and sustainable tourism, this raises the bar for contribution because </w:t>
      </w:r>
      <w:r w:rsidRPr="00014D37">
        <w:rPr>
          <w:rFonts w:cstheme="minorHAnsi"/>
        </w:rPr>
        <w:lastRenderedPageBreak/>
        <w:t>the field already contains substantial work on smart destinations, digitalisation, and sustainability-oriented tourism innovation.</w:t>
      </w:r>
    </w:p>
    <w:p w14:paraId="20021846" w14:textId="77777777" w:rsidR="00014D37" w:rsidRPr="00014D37" w:rsidRDefault="00014D37" w:rsidP="00014D37">
      <w:pPr>
        <w:bidi w:val="0"/>
        <w:spacing w:line="360" w:lineRule="auto"/>
        <w:jc w:val="both"/>
        <w:rPr>
          <w:rFonts w:cstheme="minorHAnsi"/>
          <w:b/>
          <w:bCs/>
        </w:rPr>
      </w:pPr>
      <w:r w:rsidRPr="00014D37">
        <w:rPr>
          <w:rFonts w:cstheme="minorHAnsi"/>
          <w:b/>
          <w:bCs/>
        </w:rPr>
        <w:t>2.5 Study positioning</w:t>
      </w:r>
    </w:p>
    <w:p w14:paraId="0B69EAB5" w14:textId="18332B2B" w:rsidR="00014D37" w:rsidRPr="00014D37" w:rsidRDefault="00014D37" w:rsidP="00014D37">
      <w:pPr>
        <w:bidi w:val="0"/>
        <w:spacing w:line="360" w:lineRule="auto"/>
        <w:jc w:val="both"/>
        <w:rPr>
          <w:rFonts w:cstheme="minorHAnsi"/>
        </w:rPr>
      </w:pPr>
      <w:r>
        <w:rPr>
          <w:rFonts w:cstheme="minorHAnsi"/>
        </w:rPr>
        <w:tab/>
      </w:r>
      <w:r w:rsidRPr="00014D37">
        <w:rPr>
          <w:rFonts w:cstheme="minorHAnsi"/>
        </w:rPr>
        <w:t>Against this background, the present study is positioned not simply as another mapping exercise, but as an interpretive assessment of how research on technological innovation in sustainable tourism is organised. It proceeds from the view that publication patterns, collaboration structures, and keyword configurations are not merely technical outputs; they also reveal how attention is distributed across the field and which concerns gain greater visibility within it. A bibliometric approach is therefore useful here not only because the literature has expanded, but because its internal organisation has become analytically significant.</w:t>
      </w:r>
    </w:p>
    <w:p w14:paraId="795DDAD9" w14:textId="7E0BD002" w:rsidR="00014D37" w:rsidRPr="00014D37" w:rsidRDefault="00014D37" w:rsidP="00014D37">
      <w:pPr>
        <w:bidi w:val="0"/>
        <w:spacing w:line="360" w:lineRule="auto"/>
        <w:jc w:val="both"/>
        <w:rPr>
          <w:rFonts w:cstheme="minorHAnsi"/>
        </w:rPr>
      </w:pPr>
      <w:r>
        <w:rPr>
          <w:rFonts w:cstheme="minorHAnsi"/>
        </w:rPr>
        <w:tab/>
      </w:r>
      <w:r w:rsidRPr="00014D37">
        <w:rPr>
          <w:rFonts w:cstheme="minorHAnsi"/>
        </w:rPr>
        <w:t>More specifically, the study focuses on three interpretive dimensions: knowledge structures, concentration, and governance visibility. It examines whether research output and influence are concentrated within a relatively narrow set of countries and collaboration networks, how dominant themes are positioned within the conceptual landscape, and to what extent governance-oriented concerns remain less visible than technology-centred narratives. This positioning allows the paper to contribute in two ways. First, it offers an updated map of the field based on a transparent bibliometric design. Second, it uses the resulting patterns to support a more critical discussion of how research agendas are formed and how innovation is linked to sustainability through governance and evaluative reasoning.</w:t>
      </w:r>
    </w:p>
    <w:p w14:paraId="781F7616" w14:textId="203D2316" w:rsidR="00014D37" w:rsidRPr="00014D37" w:rsidRDefault="00191D13" w:rsidP="00014D37">
      <w:pPr>
        <w:bidi w:val="0"/>
        <w:spacing w:line="360" w:lineRule="auto"/>
        <w:jc w:val="both"/>
        <w:rPr>
          <w:rFonts w:cstheme="minorHAnsi"/>
          <w:b/>
          <w:bCs/>
          <w:rtl/>
        </w:rPr>
      </w:pPr>
      <w:r w:rsidRPr="00191D13">
        <w:rPr>
          <w:rFonts w:cstheme="minorHAnsi"/>
          <w:b/>
          <w:bCs/>
        </w:rPr>
        <w:t>2.6 Research gaps</w:t>
      </w:r>
    </w:p>
    <w:p w14:paraId="6A022B77" w14:textId="6477C7C6" w:rsidR="00014D37" w:rsidRPr="00014D37" w:rsidRDefault="00014D37" w:rsidP="00014D37">
      <w:pPr>
        <w:bidi w:val="0"/>
        <w:spacing w:line="360" w:lineRule="auto"/>
        <w:jc w:val="both"/>
        <w:rPr>
          <w:rFonts w:cstheme="minorHAnsi"/>
        </w:rPr>
      </w:pPr>
      <w:r>
        <w:rPr>
          <w:rFonts w:cstheme="minorHAnsi"/>
        </w:rPr>
        <w:tab/>
      </w:r>
      <w:r w:rsidRPr="00014D37">
        <w:rPr>
          <w:rFonts w:cstheme="minorHAnsi"/>
        </w:rPr>
        <w:t>Despite the growing body of research on technology and sustainable tourism, three gaps remain particularly significant.</w:t>
      </w:r>
    </w:p>
    <w:p w14:paraId="704A6FA2" w14:textId="1886F37E" w:rsidR="00014D37" w:rsidRPr="00014D37" w:rsidRDefault="00014D37" w:rsidP="00014D37">
      <w:pPr>
        <w:bidi w:val="0"/>
        <w:spacing w:line="360" w:lineRule="auto"/>
        <w:jc w:val="both"/>
        <w:rPr>
          <w:rFonts w:cstheme="minorHAnsi"/>
        </w:rPr>
      </w:pPr>
      <w:r>
        <w:rPr>
          <w:rFonts w:cstheme="minorHAnsi"/>
        </w:rPr>
        <w:tab/>
      </w:r>
      <w:r w:rsidRPr="00014D37">
        <w:rPr>
          <w:rFonts w:cstheme="minorHAnsi"/>
        </w:rPr>
        <w:t>First, the literature continues to emphasise the visibility of technological mechanisms more strongly than the governance conditions and measurable outcomes through which sustainability claims can be assessed. Artificial intelligence, smart tourism systems, digital platforms, and data-driven tools are widely discussed, yet the institutional conditions that make such innovations accountable, equitable, and evaluable receive less consistent attention (</w:t>
      </w:r>
      <w:hyperlink w:anchor="Hall" w:history="1">
        <w:r w:rsidRPr="00014D37">
          <w:rPr>
            <w:rStyle w:val="Hyperlink"/>
            <w:rFonts w:cstheme="minorHAnsi"/>
          </w:rPr>
          <w:t>Hall, 2019</w:t>
        </w:r>
      </w:hyperlink>
      <w:r w:rsidRPr="00014D37">
        <w:rPr>
          <w:rFonts w:cstheme="minorHAnsi"/>
        </w:rPr>
        <w:t xml:space="preserve">; </w:t>
      </w:r>
      <w:hyperlink w:anchor="Sigala" w:history="1">
        <w:r w:rsidRPr="00014D37">
          <w:rPr>
            <w:rStyle w:val="Hyperlink"/>
            <w:rFonts w:cstheme="minorHAnsi"/>
          </w:rPr>
          <w:t>Sigala, 2020;</w:t>
        </w:r>
      </w:hyperlink>
      <w:r w:rsidRPr="00014D37">
        <w:rPr>
          <w:rFonts w:cstheme="minorHAnsi"/>
        </w:rPr>
        <w:t xml:space="preserve"> </w:t>
      </w:r>
      <w:hyperlink w:anchor="Rahmadian" w:history="1">
        <w:r w:rsidRPr="00014D37">
          <w:rPr>
            <w:rStyle w:val="Hyperlink"/>
            <w:rFonts w:cstheme="minorHAnsi"/>
          </w:rPr>
          <w:t>Rahmadian et al., 2022</w:t>
        </w:r>
      </w:hyperlink>
      <w:r w:rsidRPr="00014D37">
        <w:rPr>
          <w:rFonts w:cstheme="minorHAnsi"/>
        </w:rPr>
        <w:t>). As a result, innovation is often presented as supportive of sustainability without sufficient clarification of the pathways through which that support is expected to occur.</w:t>
      </w:r>
    </w:p>
    <w:p w14:paraId="72A9A045" w14:textId="59486E57" w:rsidR="00014D37" w:rsidRPr="00014D37" w:rsidRDefault="00014D37" w:rsidP="00014D37">
      <w:pPr>
        <w:bidi w:val="0"/>
        <w:spacing w:line="360" w:lineRule="auto"/>
        <w:jc w:val="both"/>
        <w:rPr>
          <w:rFonts w:cstheme="minorHAnsi"/>
        </w:rPr>
      </w:pPr>
      <w:r>
        <w:rPr>
          <w:rFonts w:cstheme="minorHAnsi"/>
        </w:rPr>
        <w:lastRenderedPageBreak/>
        <w:tab/>
      </w:r>
      <w:r w:rsidRPr="00014D37">
        <w:rPr>
          <w:rFonts w:cstheme="minorHAnsi"/>
        </w:rPr>
        <w:t>Second, conceptual boundaries remain insufficiently stable. The frequent interchangeability of terms such as smart tourism, digital transformation, and technological innovation makes it difficult to determine whether studies are addressing the same phenomena, closely related processes, or analytically distinct layers of change (</w:t>
      </w:r>
      <w:hyperlink w:anchor="Gretzel" w:history="1">
        <w:r w:rsidRPr="00014D37">
          <w:rPr>
            <w:rStyle w:val="Hyperlink"/>
            <w:rFonts w:cstheme="minorHAnsi"/>
          </w:rPr>
          <w:t>Gretzel et al., 2015</w:t>
        </w:r>
      </w:hyperlink>
      <w:r w:rsidRPr="00014D37">
        <w:rPr>
          <w:rFonts w:cstheme="minorHAnsi"/>
        </w:rPr>
        <w:t xml:space="preserve">; </w:t>
      </w:r>
      <w:hyperlink w:anchor="Sigala" w:history="1">
        <w:r w:rsidRPr="00014D37">
          <w:rPr>
            <w:rStyle w:val="Hyperlink"/>
            <w:rFonts w:cstheme="minorHAnsi"/>
          </w:rPr>
          <w:t>Sigala, 2020</w:t>
        </w:r>
      </w:hyperlink>
      <w:r w:rsidRPr="00014D37">
        <w:rPr>
          <w:rFonts w:cstheme="minorHAnsi"/>
        </w:rPr>
        <w:t xml:space="preserve">; </w:t>
      </w:r>
      <w:hyperlink w:anchor="Xiang" w:history="1">
        <w:r w:rsidRPr="00014D37">
          <w:rPr>
            <w:rStyle w:val="Hyperlink"/>
            <w:rFonts w:cstheme="minorHAnsi"/>
          </w:rPr>
          <w:t>Xiang et al., 2021</w:t>
        </w:r>
      </w:hyperlink>
      <w:r w:rsidRPr="00014D37">
        <w:rPr>
          <w:rFonts w:cstheme="minorHAnsi"/>
        </w:rPr>
        <w:t>). This weakens cumulative theory building because the field risks expanding through overlapping labels rather than clearly differentiated constructs.</w:t>
      </w:r>
    </w:p>
    <w:p w14:paraId="7076722C" w14:textId="1B48F13A" w:rsidR="00014D37" w:rsidRPr="00014D37" w:rsidRDefault="00014D37" w:rsidP="00014D37">
      <w:pPr>
        <w:bidi w:val="0"/>
        <w:spacing w:line="360" w:lineRule="auto"/>
        <w:jc w:val="both"/>
        <w:rPr>
          <w:rFonts w:cstheme="minorHAnsi"/>
        </w:rPr>
      </w:pPr>
      <w:r>
        <w:rPr>
          <w:rFonts w:cstheme="minorHAnsi"/>
        </w:rPr>
        <w:tab/>
      </w:r>
      <w:r w:rsidRPr="00014D37">
        <w:rPr>
          <w:rFonts w:cstheme="minorHAnsi"/>
        </w:rPr>
        <w:t>Third, although bibliometric methods are widely used in tourism research, fewer studies have used them to examine the internal organisation of the field itself. Existing mapping exercises often identify productive authors, dominant keywords, or publication growth, but less often assess whether influence and visibility are concentrated within a narrow core, whether collaboration patterns reinforce that concentration, and whether governance-related concepts remain less central than technology-oriented narratives within the dominant conceptual structure (</w:t>
      </w:r>
      <w:hyperlink w:anchor="Köseoglu" w:history="1">
        <w:r w:rsidRPr="00014D37">
          <w:rPr>
            <w:rStyle w:val="Hyperlink"/>
            <w:rFonts w:cstheme="minorHAnsi"/>
          </w:rPr>
          <w:t>Köseoglu et al., 2016</w:t>
        </w:r>
      </w:hyperlink>
      <w:r w:rsidRPr="00014D37">
        <w:rPr>
          <w:rFonts w:cstheme="minorHAnsi"/>
        </w:rPr>
        <w:t xml:space="preserve">; </w:t>
      </w:r>
      <w:hyperlink w:anchor="Donthu" w:history="1">
        <w:r w:rsidRPr="00014D37">
          <w:rPr>
            <w:rStyle w:val="Hyperlink"/>
            <w:rFonts w:cstheme="minorHAnsi"/>
          </w:rPr>
          <w:t>Donthu et al., 2021</w:t>
        </w:r>
      </w:hyperlink>
      <w:r w:rsidRPr="00014D37">
        <w:rPr>
          <w:rFonts w:cstheme="minorHAnsi"/>
        </w:rPr>
        <w:t>). This matters because the theoretical and policy relevance of innovation research depends not only on which technologies are discussed, but also on whether the literature gives sufficient attention to the institutional and evaluative conditions that make sustainability claims credible.</w:t>
      </w:r>
    </w:p>
    <w:p w14:paraId="0B06EC9C" w14:textId="73B3C113" w:rsidR="00014D37" w:rsidRDefault="00014D37" w:rsidP="00014D37">
      <w:pPr>
        <w:bidi w:val="0"/>
        <w:spacing w:line="360" w:lineRule="auto"/>
        <w:jc w:val="both"/>
        <w:rPr>
          <w:rFonts w:cstheme="minorHAnsi"/>
        </w:rPr>
      </w:pPr>
      <w:r>
        <w:rPr>
          <w:rFonts w:cstheme="minorHAnsi"/>
        </w:rPr>
        <w:tab/>
      </w:r>
      <w:r w:rsidRPr="00014D37">
        <w:rPr>
          <w:rFonts w:cstheme="minorHAnsi"/>
        </w:rPr>
        <w:t>In response to these gaps, the present study maps the literature through a bibliometric analysis centred on knowledge structures, concentration, and governance visibility. By combining bibliometric performance indicators with science-mapping outputs, it examines how publication growth, collaboration patterns, and thematic prominence interact within the field and what these patterns suggest about the balance between technology-centred narratives and governance-oriented concerns.</w:t>
      </w:r>
    </w:p>
    <w:p w14:paraId="25402AC1" w14:textId="77777777" w:rsidR="0065391F" w:rsidRPr="0065391F" w:rsidRDefault="0065391F" w:rsidP="00EC5B7F">
      <w:pPr>
        <w:bidi w:val="0"/>
        <w:spacing w:after="0" w:line="360" w:lineRule="auto"/>
        <w:jc w:val="both"/>
        <w:rPr>
          <w:rFonts w:cstheme="minorHAnsi"/>
          <w:b/>
          <w:bCs/>
        </w:rPr>
      </w:pPr>
      <w:r w:rsidRPr="0065391F">
        <w:rPr>
          <w:rFonts w:cstheme="minorHAnsi"/>
          <w:b/>
          <w:bCs/>
        </w:rPr>
        <w:t>3. Methodology</w:t>
      </w:r>
    </w:p>
    <w:p w14:paraId="29B4F346" w14:textId="77777777" w:rsidR="0065391F" w:rsidRPr="0065391F" w:rsidRDefault="0065391F" w:rsidP="00EC5B7F">
      <w:pPr>
        <w:bidi w:val="0"/>
        <w:spacing w:after="0" w:line="360" w:lineRule="auto"/>
        <w:jc w:val="both"/>
        <w:rPr>
          <w:rFonts w:cstheme="minorHAnsi"/>
          <w:b/>
          <w:bCs/>
        </w:rPr>
      </w:pPr>
      <w:r w:rsidRPr="0065391F">
        <w:rPr>
          <w:rFonts w:cstheme="minorHAnsi"/>
          <w:b/>
          <w:bCs/>
        </w:rPr>
        <w:t>3.1 Research design</w:t>
      </w:r>
    </w:p>
    <w:p w14:paraId="5617454B" w14:textId="55CA30ED" w:rsidR="00717014" w:rsidRDefault="0065391F" w:rsidP="00717014">
      <w:pPr>
        <w:bidi w:val="0"/>
        <w:spacing w:line="360" w:lineRule="auto"/>
        <w:jc w:val="both"/>
        <w:rPr>
          <w:rFonts w:cstheme="minorHAnsi"/>
        </w:rPr>
      </w:pPr>
      <w:r>
        <w:rPr>
          <w:rFonts w:cstheme="minorHAnsi"/>
        </w:rPr>
        <w:tab/>
      </w:r>
      <w:r w:rsidRPr="0065391F">
        <w:rPr>
          <w:rFonts w:cstheme="minorHAnsi"/>
        </w:rPr>
        <w:t>This study employed a bibliometric design to examine the development and internal structure of scholarship at the intersection of technological innovation and sustainable tourism. Bibliometric analysis is well suited to fast-expanding fields because it enables the systematic examination of publication metadata, including keyword patterns, author linkages, citation visibility, and publication growth over time (</w:t>
      </w:r>
      <w:hyperlink w:anchor="Donthu" w:history="1">
        <w:r w:rsidRPr="0065391F">
          <w:rPr>
            <w:rStyle w:val="Hyperlink"/>
            <w:rFonts w:cstheme="minorHAnsi"/>
          </w:rPr>
          <w:t>Donthu et al., 2021</w:t>
        </w:r>
      </w:hyperlink>
      <w:r w:rsidRPr="0065391F">
        <w:rPr>
          <w:rFonts w:cstheme="minorHAnsi"/>
        </w:rPr>
        <w:t xml:space="preserve">; </w:t>
      </w:r>
      <w:hyperlink w:anchor="AriaMCuccurullo201" w:history="1">
        <w:r w:rsidRPr="0065391F">
          <w:rPr>
            <w:rStyle w:val="Hyperlink"/>
            <w:rFonts w:cstheme="minorHAnsi"/>
          </w:rPr>
          <w:t>Aria &amp; Cuccurullo, 2017</w:t>
        </w:r>
      </w:hyperlink>
      <w:r w:rsidRPr="0065391F">
        <w:rPr>
          <w:rFonts w:cstheme="minorHAnsi"/>
        </w:rPr>
        <w:t>). In this study, bibliometrics was used not only to describe output trends, but also to support an interpretive reading of how the field is organised in terms of knowledge structures, concentration, and governance visibility.</w:t>
      </w:r>
    </w:p>
    <w:p w14:paraId="1C05133F" w14:textId="77777777" w:rsidR="00717014" w:rsidRPr="0065391F" w:rsidRDefault="00717014" w:rsidP="00717014">
      <w:pPr>
        <w:bidi w:val="0"/>
        <w:spacing w:line="360" w:lineRule="auto"/>
        <w:jc w:val="both"/>
        <w:rPr>
          <w:rFonts w:cstheme="minorHAnsi"/>
        </w:rPr>
      </w:pPr>
    </w:p>
    <w:p w14:paraId="0AF8C5A2" w14:textId="77777777" w:rsidR="0065391F" w:rsidRPr="0065391F" w:rsidRDefault="0065391F" w:rsidP="0065391F">
      <w:pPr>
        <w:bidi w:val="0"/>
        <w:spacing w:line="360" w:lineRule="auto"/>
        <w:jc w:val="both"/>
        <w:rPr>
          <w:rFonts w:cstheme="minorHAnsi"/>
          <w:b/>
          <w:bCs/>
        </w:rPr>
      </w:pPr>
      <w:r w:rsidRPr="0065391F">
        <w:rPr>
          <w:rFonts w:cstheme="minorHAnsi"/>
          <w:b/>
          <w:bCs/>
        </w:rPr>
        <w:lastRenderedPageBreak/>
        <w:t>3.2 Data source</w:t>
      </w:r>
    </w:p>
    <w:p w14:paraId="04C28B68" w14:textId="42F16741" w:rsidR="0065391F" w:rsidRPr="0065391F" w:rsidRDefault="0065391F" w:rsidP="0065391F">
      <w:pPr>
        <w:bidi w:val="0"/>
        <w:spacing w:line="360" w:lineRule="auto"/>
        <w:jc w:val="both"/>
        <w:rPr>
          <w:rFonts w:cstheme="minorHAnsi"/>
        </w:rPr>
      </w:pPr>
      <w:r>
        <w:rPr>
          <w:rFonts w:cstheme="minorHAnsi"/>
        </w:rPr>
        <w:tab/>
      </w:r>
      <w:r w:rsidRPr="0065391F">
        <w:rPr>
          <w:rFonts w:cstheme="minorHAnsi"/>
        </w:rPr>
        <w:t>The dataset was retrieved from the Scopus database and exported in CSV format on 25 February 2026. Scopus was selected because of its broad coverage of peer-reviewed journals across tourism, hospitality, sustainability, and technology-related fields, making it suitable for interdisciplinary bibliometric mapping. The use of a single database also ensured greater consistency in metadata formatting for network visualisation and comparison. Its use as the sole source is acknowledged later as a limitation.</w:t>
      </w:r>
    </w:p>
    <w:p w14:paraId="366AC70F" w14:textId="77777777" w:rsidR="0065391F" w:rsidRPr="0065391F" w:rsidRDefault="0065391F" w:rsidP="0065391F">
      <w:pPr>
        <w:bidi w:val="0"/>
        <w:spacing w:line="360" w:lineRule="auto"/>
        <w:jc w:val="both"/>
        <w:rPr>
          <w:rFonts w:cstheme="minorHAnsi"/>
          <w:b/>
          <w:bCs/>
        </w:rPr>
      </w:pPr>
      <w:r w:rsidRPr="0065391F">
        <w:rPr>
          <w:rFonts w:cstheme="minorHAnsi"/>
          <w:b/>
          <w:bCs/>
        </w:rPr>
        <w:t>3.3 Search strategy</w:t>
      </w:r>
    </w:p>
    <w:p w14:paraId="39635FB8" w14:textId="42130347" w:rsidR="0065391F" w:rsidRPr="0065391F" w:rsidRDefault="0065391F" w:rsidP="0065391F">
      <w:pPr>
        <w:bidi w:val="0"/>
        <w:spacing w:line="360" w:lineRule="auto"/>
        <w:jc w:val="both"/>
        <w:rPr>
          <w:rFonts w:cstheme="minorHAnsi"/>
        </w:rPr>
      </w:pPr>
      <w:r>
        <w:rPr>
          <w:rFonts w:cstheme="minorHAnsi"/>
        </w:rPr>
        <w:tab/>
      </w:r>
      <w:r w:rsidRPr="0065391F">
        <w:rPr>
          <w:rFonts w:cstheme="minorHAnsi"/>
        </w:rPr>
        <w:t>To capture the intersection between technological innovation and sustainable tourism with adequate construct breadth, the dataset was developed through a multi-query retrieval strategy rather than a single broad search string. Each query retained the core phrase “sustainable tourism” and combined it with a technology-related term commonly used in tourism and hospitality research. Seven separate searches were conducted in the TITLE-ABS-KEY field of Scopus:</w:t>
      </w:r>
    </w:p>
    <w:p w14:paraId="345BE472" w14:textId="77777777" w:rsidR="0065391F" w:rsidRPr="0065391F" w:rsidRDefault="0065391F" w:rsidP="00C558E8">
      <w:pPr>
        <w:numPr>
          <w:ilvl w:val="0"/>
          <w:numId w:val="14"/>
        </w:numPr>
        <w:bidi w:val="0"/>
        <w:spacing w:line="276" w:lineRule="auto"/>
        <w:jc w:val="both"/>
        <w:rPr>
          <w:rFonts w:cstheme="minorHAnsi"/>
        </w:rPr>
      </w:pPr>
      <w:r w:rsidRPr="0065391F">
        <w:rPr>
          <w:rFonts w:cstheme="minorHAnsi"/>
        </w:rPr>
        <w:t xml:space="preserve">“sustainable tourism” AND “smart tourism” </w:t>
      </w:r>
    </w:p>
    <w:p w14:paraId="4457B1A5" w14:textId="77777777" w:rsidR="0065391F" w:rsidRPr="0065391F" w:rsidRDefault="0065391F" w:rsidP="00C558E8">
      <w:pPr>
        <w:numPr>
          <w:ilvl w:val="0"/>
          <w:numId w:val="14"/>
        </w:numPr>
        <w:bidi w:val="0"/>
        <w:spacing w:line="276" w:lineRule="auto"/>
        <w:jc w:val="both"/>
        <w:rPr>
          <w:rFonts w:cstheme="minorHAnsi"/>
        </w:rPr>
      </w:pPr>
      <w:r w:rsidRPr="0065391F">
        <w:rPr>
          <w:rFonts w:cstheme="minorHAnsi"/>
        </w:rPr>
        <w:t xml:space="preserve">“sustainable tourism” AND “digital transformation” </w:t>
      </w:r>
    </w:p>
    <w:p w14:paraId="7346E4AD" w14:textId="77777777" w:rsidR="0065391F" w:rsidRPr="0065391F" w:rsidRDefault="0065391F" w:rsidP="00C558E8">
      <w:pPr>
        <w:numPr>
          <w:ilvl w:val="0"/>
          <w:numId w:val="14"/>
        </w:numPr>
        <w:bidi w:val="0"/>
        <w:spacing w:line="276" w:lineRule="auto"/>
        <w:jc w:val="both"/>
        <w:rPr>
          <w:rFonts w:cstheme="minorHAnsi"/>
        </w:rPr>
      </w:pPr>
      <w:r w:rsidRPr="0065391F">
        <w:rPr>
          <w:rFonts w:cstheme="minorHAnsi"/>
        </w:rPr>
        <w:t xml:space="preserve">“sustainable tourism” AND “technological innovation” </w:t>
      </w:r>
    </w:p>
    <w:p w14:paraId="01BFA39B" w14:textId="77777777" w:rsidR="0065391F" w:rsidRPr="0065391F" w:rsidRDefault="0065391F" w:rsidP="00C558E8">
      <w:pPr>
        <w:numPr>
          <w:ilvl w:val="0"/>
          <w:numId w:val="14"/>
        </w:numPr>
        <w:bidi w:val="0"/>
        <w:spacing w:line="276" w:lineRule="auto"/>
        <w:jc w:val="both"/>
        <w:rPr>
          <w:rFonts w:cstheme="minorHAnsi"/>
        </w:rPr>
      </w:pPr>
      <w:r w:rsidRPr="0065391F">
        <w:rPr>
          <w:rFonts w:cstheme="minorHAnsi"/>
        </w:rPr>
        <w:t xml:space="preserve">“sustainable tourism” AND “artificial intelligence” </w:t>
      </w:r>
    </w:p>
    <w:p w14:paraId="2FF4345F" w14:textId="77777777" w:rsidR="0065391F" w:rsidRPr="0065391F" w:rsidRDefault="0065391F" w:rsidP="00C558E8">
      <w:pPr>
        <w:numPr>
          <w:ilvl w:val="0"/>
          <w:numId w:val="14"/>
        </w:numPr>
        <w:bidi w:val="0"/>
        <w:spacing w:line="276" w:lineRule="auto"/>
        <w:jc w:val="both"/>
        <w:rPr>
          <w:rFonts w:cstheme="minorHAnsi"/>
        </w:rPr>
      </w:pPr>
      <w:r w:rsidRPr="0065391F">
        <w:rPr>
          <w:rFonts w:cstheme="minorHAnsi"/>
        </w:rPr>
        <w:t xml:space="preserve">“sustainable tourism” AND “internet of things” </w:t>
      </w:r>
    </w:p>
    <w:p w14:paraId="4689E9CB" w14:textId="77777777" w:rsidR="0065391F" w:rsidRPr="0065391F" w:rsidRDefault="0065391F" w:rsidP="00C558E8">
      <w:pPr>
        <w:numPr>
          <w:ilvl w:val="0"/>
          <w:numId w:val="14"/>
        </w:numPr>
        <w:bidi w:val="0"/>
        <w:spacing w:line="276" w:lineRule="auto"/>
        <w:jc w:val="both"/>
        <w:rPr>
          <w:rFonts w:cstheme="minorHAnsi"/>
        </w:rPr>
      </w:pPr>
      <w:r w:rsidRPr="0065391F">
        <w:rPr>
          <w:rFonts w:cstheme="minorHAnsi"/>
        </w:rPr>
        <w:t xml:space="preserve">“sustainable tourism” AND “blockchain” </w:t>
      </w:r>
    </w:p>
    <w:p w14:paraId="33DAF3F4" w14:textId="77777777" w:rsidR="0065391F" w:rsidRPr="0065391F" w:rsidRDefault="0065391F" w:rsidP="00C558E8">
      <w:pPr>
        <w:numPr>
          <w:ilvl w:val="0"/>
          <w:numId w:val="14"/>
        </w:numPr>
        <w:bidi w:val="0"/>
        <w:spacing w:line="276" w:lineRule="auto"/>
        <w:jc w:val="both"/>
        <w:rPr>
          <w:rFonts w:cstheme="minorHAnsi"/>
        </w:rPr>
      </w:pPr>
      <w:r w:rsidRPr="0065391F">
        <w:rPr>
          <w:rFonts w:cstheme="minorHAnsi"/>
        </w:rPr>
        <w:t xml:space="preserve">“sustainable tourism” AND “big data” </w:t>
      </w:r>
    </w:p>
    <w:p w14:paraId="22FD4589" w14:textId="696169C4" w:rsidR="0065391F" w:rsidRDefault="0065391F" w:rsidP="0065391F">
      <w:pPr>
        <w:bidi w:val="0"/>
        <w:spacing w:line="360" w:lineRule="auto"/>
        <w:jc w:val="both"/>
        <w:rPr>
          <w:rFonts w:cstheme="minorHAnsi"/>
        </w:rPr>
      </w:pPr>
      <w:r>
        <w:rPr>
          <w:rFonts w:cstheme="minorHAnsi"/>
        </w:rPr>
        <w:tab/>
      </w:r>
      <w:r w:rsidRPr="0065391F">
        <w:rPr>
          <w:rFonts w:cstheme="minorHAnsi"/>
        </w:rPr>
        <w:t>This strategy was intended to reduce the risk of overlooking relevant strands of literature that might not be captured through a single umbrella term. The exact field restriction, search date, and filtering parameters are reported in Appendix A for transparency and replicability.</w:t>
      </w:r>
    </w:p>
    <w:p w14:paraId="78332EFA" w14:textId="77777777" w:rsidR="0065391F" w:rsidRPr="0065391F" w:rsidRDefault="0065391F" w:rsidP="0065391F">
      <w:pPr>
        <w:bidi w:val="0"/>
        <w:spacing w:line="360" w:lineRule="auto"/>
        <w:jc w:val="both"/>
        <w:rPr>
          <w:rFonts w:cstheme="minorHAnsi"/>
          <w:b/>
          <w:bCs/>
        </w:rPr>
      </w:pPr>
      <w:r w:rsidRPr="0065391F">
        <w:rPr>
          <w:rFonts w:cstheme="minorHAnsi"/>
          <w:b/>
          <w:bCs/>
        </w:rPr>
        <w:t>3.4 Eligibility criteria</w:t>
      </w:r>
    </w:p>
    <w:p w14:paraId="64F37BA3" w14:textId="4A596BAC" w:rsidR="00C558E8" w:rsidRDefault="0065391F" w:rsidP="00041E18">
      <w:pPr>
        <w:bidi w:val="0"/>
        <w:spacing w:line="360" w:lineRule="auto"/>
        <w:jc w:val="both"/>
        <w:rPr>
          <w:rFonts w:cstheme="minorHAnsi"/>
        </w:rPr>
      </w:pPr>
      <w:r>
        <w:rPr>
          <w:rFonts w:cstheme="minorHAnsi"/>
        </w:rPr>
        <w:tab/>
      </w:r>
      <w:r w:rsidRPr="0065391F">
        <w:rPr>
          <w:rFonts w:cstheme="minorHAnsi"/>
        </w:rPr>
        <w:t>The analytical window was limited to 2010</w:t>
      </w:r>
      <w:r w:rsidR="000C323A">
        <w:rPr>
          <w:rFonts w:cstheme="minorHAnsi"/>
        </w:rPr>
        <w:t>-</w:t>
      </w:r>
      <w:r w:rsidRPr="0065391F">
        <w:rPr>
          <w:rFonts w:cstheme="minorHAnsi"/>
        </w:rPr>
        <w:t xml:space="preserve">2023 in order to work with complete publication years and avoid distortion from partial-year indexing. Records were restricted to English-language journal articles to improve comparability and consistency across bibliometric outputs. This focus also reduced heterogeneity associated with conference papers, book </w:t>
      </w:r>
      <w:r w:rsidRPr="0065391F">
        <w:rPr>
          <w:rFonts w:cstheme="minorHAnsi"/>
        </w:rPr>
        <w:lastRenderedPageBreak/>
        <w:t>chapters, editorials, and other document types that often differ in citation behaviour, review standards, and metadata completeness.</w:t>
      </w:r>
    </w:p>
    <w:p w14:paraId="693474C1" w14:textId="77777777" w:rsidR="00041E18" w:rsidRDefault="0065391F" w:rsidP="00041E18">
      <w:pPr>
        <w:bidi w:val="0"/>
        <w:spacing w:line="360" w:lineRule="auto"/>
        <w:jc w:val="both"/>
        <w:rPr>
          <w:rFonts w:cstheme="minorHAnsi"/>
          <w:b/>
          <w:bCs/>
        </w:rPr>
      </w:pPr>
      <w:r w:rsidRPr="0065391F">
        <w:rPr>
          <w:rFonts w:cstheme="minorHAnsi"/>
          <w:b/>
          <w:bCs/>
        </w:rPr>
        <w:t>3.5 Dataset construction and deduplication</w:t>
      </w:r>
    </w:p>
    <w:p w14:paraId="61BFA8D4" w14:textId="62D6E5A2" w:rsidR="0065391F" w:rsidRPr="0065391F" w:rsidRDefault="0065391F" w:rsidP="00041E18">
      <w:pPr>
        <w:bidi w:val="0"/>
        <w:spacing w:line="360" w:lineRule="auto"/>
        <w:jc w:val="both"/>
        <w:rPr>
          <w:rFonts w:cstheme="minorHAnsi"/>
          <w:b/>
          <w:bCs/>
        </w:rPr>
      </w:pPr>
      <w:r w:rsidRPr="0065391F">
        <w:rPr>
          <w:rFonts w:cstheme="minorHAnsi"/>
        </w:rPr>
        <w:t>Because the seven search strings were executed separately, overlap across exported records was expected. All files were therefore merged into a single working dataset before deduplication. Duplicate entries were removed primarily through DOI matching and, where DOI data were unavailable, through title-and-year comparison. The combined retrieval produced 1,412 records. After removing 368 duplicates, the final dataset comprised 1,044 unique journal articles meeting the predefined eligibility criteria.</w:t>
      </w:r>
    </w:p>
    <w:p w14:paraId="0C308073" w14:textId="77777777" w:rsidR="00717014" w:rsidRPr="00717014" w:rsidRDefault="0065391F" w:rsidP="00717014">
      <w:pPr>
        <w:bidi w:val="0"/>
        <w:spacing w:line="360" w:lineRule="auto"/>
        <w:jc w:val="both"/>
        <w:rPr>
          <w:rFonts w:cstheme="minorHAnsi"/>
        </w:rPr>
      </w:pPr>
      <w:r>
        <w:rPr>
          <w:rFonts w:cstheme="minorHAnsi"/>
        </w:rPr>
        <w:tab/>
      </w:r>
      <w:r w:rsidRPr="0065391F">
        <w:rPr>
          <w:rFonts w:cstheme="minorHAnsi"/>
        </w:rPr>
        <w:t xml:space="preserve">To make the process transparent, the study reports a PRISMA 2020-style flow diagram adapted for bibliometric research. The diagram summarises record identification, merging, deduplication, and final inclusion, and is presented as Figure 1. No further exclusions were made after duplication because the inclusion criteria had already been applied at the retrieval stage through the search filters and time window. </w:t>
      </w:r>
      <w:r w:rsidR="00717014" w:rsidRPr="00717014">
        <w:rPr>
          <w:rFonts w:cstheme="minorHAnsi"/>
        </w:rPr>
        <w:t>Figure 1 summarises the dataset construction process.</w:t>
      </w:r>
    </w:p>
    <w:p w14:paraId="2CD61E9E" w14:textId="1DAF5743" w:rsidR="00152D10" w:rsidRPr="00B14418" w:rsidRDefault="00717014" w:rsidP="00717014">
      <w:pPr>
        <w:bidi w:val="0"/>
        <w:spacing w:line="360" w:lineRule="auto"/>
        <w:jc w:val="both"/>
        <w:rPr>
          <w:rFonts w:cstheme="minorHAnsi"/>
          <w:sz w:val="20"/>
          <w:szCs w:val="20"/>
        </w:rPr>
      </w:pPr>
      <w:r w:rsidRPr="00717014">
        <w:rPr>
          <w:rFonts w:cstheme="minorHAnsi"/>
          <w:b/>
          <w:bCs/>
          <w:sz w:val="20"/>
          <w:szCs w:val="20"/>
          <w:lang w:bidi="ar-OM"/>
        </w:rPr>
        <w:t xml:space="preserve">[Insert Figure </w:t>
      </w:r>
      <w:r>
        <w:rPr>
          <w:rFonts w:cstheme="minorHAnsi"/>
          <w:b/>
          <w:bCs/>
          <w:sz w:val="20"/>
          <w:szCs w:val="20"/>
          <w:lang w:bidi="ar-OM"/>
        </w:rPr>
        <w:t>1</w:t>
      </w:r>
      <w:r w:rsidRPr="00717014">
        <w:rPr>
          <w:rFonts w:cstheme="minorHAnsi"/>
          <w:b/>
          <w:bCs/>
          <w:sz w:val="20"/>
          <w:szCs w:val="20"/>
          <w:lang w:bidi="ar-OM"/>
        </w:rPr>
        <w:t xml:space="preserve"> here]</w:t>
      </w:r>
      <w:r>
        <w:rPr>
          <w:rFonts w:cstheme="minorHAnsi"/>
          <w:b/>
          <w:bCs/>
          <w:sz w:val="20"/>
          <w:szCs w:val="20"/>
          <w:lang w:bidi="ar-OM"/>
        </w:rPr>
        <w:t xml:space="preserve"> </w:t>
      </w:r>
      <w:r w:rsidR="00946984" w:rsidRPr="00946984">
        <w:rPr>
          <w:rFonts w:cstheme="minorHAnsi"/>
          <w:b/>
          <w:bCs/>
          <w:sz w:val="20"/>
          <w:szCs w:val="20"/>
          <w:lang w:bidi="ar-OM"/>
        </w:rPr>
        <w:t>Figure 1. Adapted PRISMA-style flow diagram for Scopus dataset construction (2010–2023)</w:t>
      </w:r>
    </w:p>
    <w:p w14:paraId="52234274" w14:textId="00BF88C4" w:rsidR="0065391F" w:rsidRPr="0065391F" w:rsidRDefault="0065391F" w:rsidP="00946984">
      <w:pPr>
        <w:bidi w:val="0"/>
        <w:spacing w:line="360" w:lineRule="auto"/>
        <w:jc w:val="both"/>
        <w:rPr>
          <w:rFonts w:cstheme="minorHAnsi"/>
          <w:b/>
          <w:bCs/>
        </w:rPr>
      </w:pPr>
      <w:r w:rsidRPr="0065391F">
        <w:rPr>
          <w:rFonts w:cstheme="minorHAnsi"/>
          <w:b/>
          <w:bCs/>
        </w:rPr>
        <w:t>3.6 Science-mapping procedures</w:t>
      </w:r>
    </w:p>
    <w:p w14:paraId="2DB92AF7" w14:textId="7ECC1FF7" w:rsidR="0065391F" w:rsidRPr="0065391F" w:rsidRDefault="0065391F" w:rsidP="0065391F">
      <w:pPr>
        <w:bidi w:val="0"/>
        <w:spacing w:line="360" w:lineRule="auto"/>
        <w:jc w:val="both"/>
        <w:rPr>
          <w:rFonts w:cstheme="minorHAnsi"/>
        </w:rPr>
      </w:pPr>
      <w:r>
        <w:rPr>
          <w:rFonts w:cstheme="minorHAnsi"/>
        </w:rPr>
        <w:tab/>
      </w:r>
      <w:r w:rsidRPr="0065391F">
        <w:rPr>
          <w:rFonts w:cstheme="minorHAnsi"/>
        </w:rPr>
        <w:t>Science mapping was conducted using VOSviewer. The software was used to generate four outputs: country co-authorship networks, keyword co-occurrence networks, overlay visualisation by average publication year, and author co-authorship networks. Together, these outputs supported the analysis of publication visibility, conceptual structure, temporal emphasis, and collaboration patterns across the dataset.</w:t>
      </w:r>
    </w:p>
    <w:p w14:paraId="33B222DE" w14:textId="23BC0302" w:rsidR="0065391F" w:rsidRPr="0065391F" w:rsidRDefault="0065391F" w:rsidP="0065391F">
      <w:pPr>
        <w:bidi w:val="0"/>
        <w:spacing w:line="360" w:lineRule="auto"/>
        <w:jc w:val="both"/>
        <w:rPr>
          <w:rFonts w:cstheme="minorHAnsi"/>
        </w:rPr>
      </w:pPr>
      <w:r>
        <w:rPr>
          <w:rFonts w:cstheme="minorHAnsi"/>
        </w:rPr>
        <w:tab/>
      </w:r>
      <w:r w:rsidRPr="0065391F">
        <w:rPr>
          <w:rFonts w:cstheme="minorHAnsi"/>
        </w:rPr>
        <w:t>Keyword co-occurrence analysis used full counting with a minimum occurrence threshold of five. Total link strength (TLS) was used as an indicator of network connectivity, enabling interpretation of conceptual and collaborative prominence beyond visual inspection alone. For each map, exported VOSviewer item lists were used to support reporting of occurrences, links, cluster membership, and overlay scores.</w:t>
      </w:r>
    </w:p>
    <w:p w14:paraId="53F07005" w14:textId="77777777" w:rsidR="0065391F" w:rsidRPr="0065391F" w:rsidRDefault="0065391F" w:rsidP="0065391F">
      <w:pPr>
        <w:bidi w:val="0"/>
        <w:spacing w:line="360" w:lineRule="auto"/>
        <w:jc w:val="both"/>
        <w:rPr>
          <w:rFonts w:cstheme="minorHAnsi"/>
          <w:b/>
          <w:bCs/>
        </w:rPr>
      </w:pPr>
      <w:r w:rsidRPr="0065391F">
        <w:rPr>
          <w:rFonts w:cstheme="minorHAnsi"/>
          <w:b/>
          <w:bCs/>
        </w:rPr>
        <w:t>3.7 Retrieval validation</w:t>
      </w:r>
    </w:p>
    <w:p w14:paraId="4A0653B2" w14:textId="616925D1" w:rsidR="0065391F" w:rsidRPr="0065391F" w:rsidRDefault="0065391F" w:rsidP="0065391F">
      <w:pPr>
        <w:bidi w:val="0"/>
        <w:spacing w:line="360" w:lineRule="auto"/>
        <w:jc w:val="both"/>
        <w:rPr>
          <w:rFonts w:cstheme="minorHAnsi"/>
        </w:rPr>
      </w:pPr>
      <w:r>
        <w:rPr>
          <w:rFonts w:cstheme="minorHAnsi"/>
        </w:rPr>
        <w:tab/>
      </w:r>
      <w:r w:rsidRPr="0065391F">
        <w:rPr>
          <w:rFonts w:cstheme="minorHAnsi"/>
        </w:rPr>
        <w:t xml:space="preserve">To strengthen confidence in dataset boundaries, a retrieval validation procedure was conducted. Multi-query bibliometric searches can improve breadth, but they may also </w:t>
      </w:r>
      <w:r w:rsidRPr="0065391F">
        <w:rPr>
          <w:rFonts w:cstheme="minorHAnsi"/>
        </w:rPr>
        <w:lastRenderedPageBreak/>
        <w:t>introduce records only loosely connected to the intended scope. A manual validation check was therefore used to estimate how closely the retrieved dataset aligned with the study’s operational focus.</w:t>
      </w:r>
    </w:p>
    <w:p w14:paraId="6FC5B25F" w14:textId="5D1C5A2B" w:rsidR="0065391F" w:rsidRPr="0065391F" w:rsidRDefault="0065391F" w:rsidP="0065391F">
      <w:pPr>
        <w:bidi w:val="0"/>
        <w:spacing w:line="360" w:lineRule="auto"/>
        <w:jc w:val="both"/>
        <w:rPr>
          <w:rFonts w:cstheme="minorHAnsi"/>
        </w:rPr>
      </w:pPr>
      <w:r>
        <w:rPr>
          <w:rFonts w:cstheme="minorHAnsi"/>
        </w:rPr>
        <w:tab/>
      </w:r>
      <w:r w:rsidRPr="0065391F">
        <w:rPr>
          <w:rFonts w:cstheme="minorHAnsi"/>
        </w:rPr>
        <w:t>Two coders independently reviewed a subset of 25 records using an inclusion rule that required visible evidence of three elements in the title, abstract, or keywords: a tourism or hospitality context, a sustainability-related outcome or concern, and a technology or innovation mechanism. Inter-coder agreement reached 76.0% (19 of 25 records), with Cohen’s kappa of 0.35, indicating fair agreement under a relatively strict three-component inclusion rule. Disagreements were mainly associated with borderline cases in which sustainability was explicit, but the technological component was only weakly signalled in the bibliographic metadata. These cases were resolved through adjudication, and the validation exercise was retained as a boundary check rather than a separate exclusion stage.</w:t>
      </w:r>
    </w:p>
    <w:p w14:paraId="0E58D722" w14:textId="77777777" w:rsidR="0065391F" w:rsidRPr="0065391F" w:rsidRDefault="0065391F" w:rsidP="0065391F">
      <w:pPr>
        <w:bidi w:val="0"/>
        <w:spacing w:line="360" w:lineRule="auto"/>
        <w:jc w:val="both"/>
        <w:rPr>
          <w:rFonts w:cstheme="minorHAnsi"/>
          <w:b/>
          <w:bCs/>
        </w:rPr>
      </w:pPr>
      <w:r w:rsidRPr="0065391F">
        <w:rPr>
          <w:rFonts w:cstheme="minorHAnsi"/>
          <w:b/>
          <w:bCs/>
        </w:rPr>
        <w:t>3.8 Analytical scope and limitations</w:t>
      </w:r>
    </w:p>
    <w:p w14:paraId="634CFD83" w14:textId="27951493" w:rsidR="0065391F" w:rsidRDefault="0065391F" w:rsidP="0065391F">
      <w:pPr>
        <w:bidi w:val="0"/>
        <w:spacing w:line="360" w:lineRule="auto"/>
        <w:jc w:val="both"/>
        <w:rPr>
          <w:rFonts w:cstheme="minorHAnsi"/>
        </w:rPr>
      </w:pPr>
      <w:r>
        <w:rPr>
          <w:rFonts w:cstheme="minorHAnsi"/>
        </w:rPr>
        <w:tab/>
      </w:r>
      <w:r w:rsidRPr="0065391F">
        <w:rPr>
          <w:rFonts w:cstheme="minorHAnsi"/>
        </w:rPr>
        <w:t>Several limitations should be considered when interpreting the findings. First, the analysis is restricted to English-language journal articles indexed in Scopus and may therefore omit relevant work published in other languages, regional outlets, or non-indexed sources. Second, bibliometric analysis operates at the level of publication metadata and is intended to identify patterns in output, themes, and collaboration rather than directly verify destination performance or sustainability outcomes. Third, the use of a single database improves metadata consistency but may narrow coverage relative to multi-database designs. The findings should therefore be interpreted as evidence of knowledge structures and visibility within the selected corpus, not as a direct measure of policy readiness, destination success, or the real-world effectiveness of technological innovation in tourism settings.</w:t>
      </w:r>
    </w:p>
    <w:p w14:paraId="07AD2DC0" w14:textId="77777777" w:rsidR="0065391F" w:rsidRPr="0065391F" w:rsidRDefault="0065391F" w:rsidP="0065391F">
      <w:pPr>
        <w:bidi w:val="0"/>
        <w:spacing w:line="360" w:lineRule="auto"/>
        <w:jc w:val="both"/>
        <w:rPr>
          <w:rFonts w:cstheme="minorHAnsi"/>
          <w:b/>
          <w:bCs/>
        </w:rPr>
      </w:pPr>
      <w:r w:rsidRPr="0065391F">
        <w:rPr>
          <w:rFonts w:cstheme="minorHAnsi"/>
          <w:b/>
          <w:bCs/>
        </w:rPr>
        <w:t>4. Results</w:t>
      </w:r>
    </w:p>
    <w:p w14:paraId="19C0CB09" w14:textId="12F663F7" w:rsidR="0065391F" w:rsidRDefault="0065391F" w:rsidP="0065391F">
      <w:pPr>
        <w:bidi w:val="0"/>
        <w:spacing w:line="360" w:lineRule="auto"/>
        <w:jc w:val="both"/>
        <w:rPr>
          <w:rFonts w:cstheme="minorHAnsi"/>
        </w:rPr>
      </w:pPr>
      <w:r>
        <w:rPr>
          <w:rFonts w:cstheme="minorHAnsi"/>
        </w:rPr>
        <w:tab/>
      </w:r>
      <w:r w:rsidRPr="0065391F">
        <w:rPr>
          <w:rFonts w:cstheme="minorHAnsi"/>
        </w:rPr>
        <w:t>This section presents the bibliometric findings derived from the final Scopus dataset covering the period 2010 to 2023 (N = 1,044). The results are organised into five components: publication growth, country contribution and collaboration visibility, conceptual structure, temporal evolution of dominant themes, and author collaboration patterns. A final subsection integrates these outputs through a diagnostic reading of concentration and visibility within the field.</w:t>
      </w:r>
    </w:p>
    <w:p w14:paraId="1F5093F2" w14:textId="77777777" w:rsidR="00D34264" w:rsidRDefault="00D34264" w:rsidP="00D34264">
      <w:pPr>
        <w:bidi w:val="0"/>
        <w:spacing w:line="360" w:lineRule="auto"/>
        <w:jc w:val="both"/>
        <w:rPr>
          <w:rFonts w:cstheme="minorHAnsi"/>
        </w:rPr>
      </w:pPr>
    </w:p>
    <w:p w14:paraId="0353B1BC" w14:textId="77777777" w:rsidR="00D34264" w:rsidRPr="0065391F" w:rsidRDefault="00D34264" w:rsidP="00D34264">
      <w:pPr>
        <w:bidi w:val="0"/>
        <w:spacing w:line="360" w:lineRule="auto"/>
        <w:jc w:val="both"/>
        <w:rPr>
          <w:rFonts w:cstheme="minorHAnsi"/>
        </w:rPr>
      </w:pPr>
    </w:p>
    <w:p w14:paraId="1439D929" w14:textId="77777777" w:rsidR="0065391F" w:rsidRPr="0065391F" w:rsidRDefault="0065391F" w:rsidP="0065391F">
      <w:pPr>
        <w:bidi w:val="0"/>
        <w:spacing w:line="360" w:lineRule="auto"/>
        <w:jc w:val="both"/>
        <w:rPr>
          <w:rFonts w:cstheme="minorHAnsi"/>
          <w:b/>
          <w:bCs/>
        </w:rPr>
      </w:pPr>
      <w:r w:rsidRPr="0065391F">
        <w:rPr>
          <w:rFonts w:cstheme="minorHAnsi"/>
          <w:b/>
          <w:bCs/>
        </w:rPr>
        <w:lastRenderedPageBreak/>
        <w:t>4.1 Publication growth over time</w:t>
      </w:r>
    </w:p>
    <w:p w14:paraId="0A4CB8EA" w14:textId="672C980B" w:rsidR="0065391F" w:rsidRPr="0065391F" w:rsidRDefault="0065391F" w:rsidP="0065391F">
      <w:pPr>
        <w:bidi w:val="0"/>
        <w:spacing w:line="360" w:lineRule="auto"/>
        <w:jc w:val="both"/>
        <w:rPr>
          <w:rFonts w:cstheme="minorHAnsi"/>
        </w:rPr>
      </w:pPr>
      <w:r>
        <w:rPr>
          <w:rFonts w:cstheme="minorHAnsi"/>
        </w:rPr>
        <w:tab/>
      </w:r>
      <w:r w:rsidRPr="0065391F">
        <w:rPr>
          <w:rFonts w:cstheme="minorHAnsi"/>
        </w:rPr>
        <w:t>The annual distribution of publications shows a clear expansion of research on technological innovation in sustainable tourism over the study period. Output remained limited in the early years of the dataset, but the field gained momentum from the late 2010s onward, followed by pronounced acceleration during 2020</w:t>
      </w:r>
      <w:r w:rsidR="000C323A">
        <w:rPr>
          <w:rFonts w:cstheme="minorHAnsi"/>
        </w:rPr>
        <w:t>-</w:t>
      </w:r>
      <w:r w:rsidRPr="0065391F">
        <w:rPr>
          <w:rFonts w:cstheme="minorHAnsi"/>
        </w:rPr>
        <w:t>2023. This pattern suggests that the intersection between tourism sustainability and technology-related research has moved from a relatively niche concern to a more visible and rapidly growing area of scholarship.</w:t>
      </w:r>
    </w:p>
    <w:p w14:paraId="46E1A7F3" w14:textId="77777777" w:rsidR="00B14418" w:rsidRDefault="0065391F" w:rsidP="00B14418">
      <w:pPr>
        <w:bidi w:val="0"/>
        <w:spacing w:line="360" w:lineRule="auto"/>
        <w:jc w:val="both"/>
        <w:rPr>
          <w:rFonts w:cstheme="minorHAnsi"/>
        </w:rPr>
      </w:pPr>
      <w:r>
        <w:rPr>
          <w:rFonts w:cstheme="minorHAnsi"/>
        </w:rPr>
        <w:tab/>
      </w:r>
      <w:r w:rsidRPr="0065391F">
        <w:rPr>
          <w:rFonts w:cstheme="minorHAnsi"/>
        </w:rPr>
        <w:t>As shown in Table 1 and Figure 2, early production levels were modest, with only 5 publications recorded in 2010. Output then rose gradually before increasing more sharply in later years, reaching a peak of 285 publications in 2023, compared with 190 in 2022 and 163 in 2021. Taken together, these figures indicate substantial intensification of scholarly attention in recent years, reflecting growing interest in smart tourism, digitalisation, artificial intelligence, and related innovation themes within sustainability-oriented tourism debates.</w:t>
      </w:r>
    </w:p>
    <w:p w14:paraId="4AAA0B2B" w14:textId="2B19871B" w:rsidR="004A2BB6" w:rsidRPr="00B14418" w:rsidRDefault="00717014" w:rsidP="00717014">
      <w:pPr>
        <w:bidi w:val="0"/>
        <w:spacing w:line="360" w:lineRule="auto"/>
        <w:jc w:val="center"/>
        <w:rPr>
          <w:rFonts w:cstheme="minorHAnsi"/>
          <w:b/>
          <w:bCs/>
        </w:rPr>
      </w:pPr>
      <w:r w:rsidRPr="00717014">
        <w:rPr>
          <w:rFonts w:cstheme="minorHAnsi"/>
          <w:b/>
          <w:bCs/>
        </w:rPr>
        <w:t>[Insert Table 1 here]</w:t>
      </w:r>
      <w:r w:rsidRPr="00717014">
        <w:rPr>
          <w:rFonts w:cstheme="minorHAnsi"/>
          <w:b/>
          <w:bCs/>
        </w:rPr>
        <w:t xml:space="preserve"> </w:t>
      </w:r>
      <w:r>
        <w:rPr>
          <w:rFonts w:cstheme="minorHAnsi"/>
          <w:b/>
          <w:bCs/>
        </w:rPr>
        <w:t xml:space="preserve"> </w:t>
      </w:r>
      <w:r w:rsidR="00B14418" w:rsidRPr="00B14418">
        <w:rPr>
          <w:rFonts w:cstheme="minorHAnsi"/>
          <w:b/>
          <w:bCs/>
        </w:rPr>
        <w:t>(</w:t>
      </w:r>
      <w:r w:rsidR="0065391F" w:rsidRPr="00B14418">
        <w:rPr>
          <w:rFonts w:cstheme="minorHAnsi"/>
          <w:b/>
          <w:bCs/>
        </w:rPr>
        <w:t>Table 1: Annual publication output (2010–2023; N = 1,044)</w:t>
      </w:r>
      <w:r w:rsidR="00B14418" w:rsidRPr="00B14418">
        <w:rPr>
          <w:rFonts w:cstheme="minorHAnsi"/>
          <w:b/>
          <w:bCs/>
        </w:rPr>
        <w:t>)</w:t>
      </w:r>
    </w:p>
    <w:p w14:paraId="134482A1" w14:textId="6E9015FD" w:rsidR="0065391F" w:rsidRPr="00B14418" w:rsidRDefault="00717014" w:rsidP="00717014">
      <w:pPr>
        <w:bidi w:val="0"/>
        <w:spacing w:line="360" w:lineRule="auto"/>
        <w:jc w:val="center"/>
        <w:rPr>
          <w:rFonts w:cstheme="minorHAnsi"/>
          <w:b/>
          <w:bCs/>
        </w:rPr>
      </w:pPr>
      <w:r w:rsidRPr="00717014">
        <w:rPr>
          <w:rFonts w:cstheme="minorHAnsi"/>
          <w:b/>
          <w:bCs/>
        </w:rPr>
        <w:t>[Insert Figure 2 here]</w:t>
      </w:r>
      <w:r w:rsidRPr="00717014">
        <w:rPr>
          <w:rFonts w:cstheme="minorHAnsi"/>
          <w:b/>
          <w:bCs/>
        </w:rPr>
        <w:t xml:space="preserve"> </w:t>
      </w:r>
      <w:r w:rsidR="00B14418" w:rsidRPr="00B14418">
        <w:rPr>
          <w:rFonts w:cstheme="minorHAnsi"/>
          <w:b/>
          <w:bCs/>
        </w:rPr>
        <w:t>(</w:t>
      </w:r>
      <w:r w:rsidR="0065391F" w:rsidRPr="00B14418">
        <w:rPr>
          <w:rFonts w:cstheme="minorHAnsi"/>
          <w:b/>
          <w:bCs/>
        </w:rPr>
        <w:t>Figure 2 here: Annual publications (2010–2023)</w:t>
      </w:r>
      <w:r w:rsidR="00B14418" w:rsidRPr="00B14418">
        <w:rPr>
          <w:rFonts w:cstheme="minorHAnsi"/>
          <w:b/>
          <w:bCs/>
        </w:rPr>
        <w:t>)</w:t>
      </w:r>
    </w:p>
    <w:p w14:paraId="465415AE" w14:textId="77777777" w:rsidR="0065391F" w:rsidRPr="0065391F" w:rsidRDefault="0065391F" w:rsidP="0065391F">
      <w:pPr>
        <w:bidi w:val="0"/>
        <w:spacing w:line="360" w:lineRule="auto"/>
        <w:jc w:val="both"/>
        <w:rPr>
          <w:rFonts w:cstheme="minorHAnsi"/>
          <w:b/>
          <w:bCs/>
        </w:rPr>
      </w:pPr>
      <w:r w:rsidRPr="0065391F">
        <w:rPr>
          <w:rFonts w:cstheme="minorHAnsi"/>
          <w:b/>
          <w:bCs/>
        </w:rPr>
        <w:t>4.2 Country contribution and collaboration visibility</w:t>
      </w:r>
    </w:p>
    <w:p w14:paraId="22D0A115" w14:textId="3071D869" w:rsidR="0065391F" w:rsidRPr="0065391F" w:rsidRDefault="0065391F" w:rsidP="0065391F">
      <w:pPr>
        <w:bidi w:val="0"/>
        <w:spacing w:line="360" w:lineRule="auto"/>
        <w:jc w:val="both"/>
        <w:rPr>
          <w:rFonts w:cstheme="minorHAnsi"/>
        </w:rPr>
      </w:pPr>
      <w:r>
        <w:rPr>
          <w:rFonts w:cstheme="minorHAnsi"/>
        </w:rPr>
        <w:tab/>
      </w:r>
      <w:r w:rsidRPr="0065391F">
        <w:rPr>
          <w:rFonts w:cstheme="minorHAnsi"/>
        </w:rPr>
        <w:t>The country-level findings show not only which national contexts contribute most strongly to the literature, but also how visible those countries are within international collaboration structures. In the VOSviewer country network, document counts and citation totals indicate publication and impact prominence, while links and total link strength (TLS) provide a complementary measure of collaboration visibility.</w:t>
      </w:r>
    </w:p>
    <w:p w14:paraId="38C0798C" w14:textId="1A87F183" w:rsidR="0065391F" w:rsidRPr="0065391F" w:rsidRDefault="0065391F" w:rsidP="0065391F">
      <w:pPr>
        <w:bidi w:val="0"/>
        <w:spacing w:line="360" w:lineRule="auto"/>
        <w:jc w:val="both"/>
        <w:rPr>
          <w:rFonts w:cstheme="minorHAnsi"/>
        </w:rPr>
      </w:pPr>
      <w:r>
        <w:rPr>
          <w:rFonts w:cstheme="minorHAnsi"/>
        </w:rPr>
        <w:tab/>
      </w:r>
      <w:r w:rsidRPr="0065391F">
        <w:rPr>
          <w:rFonts w:cstheme="minorHAnsi"/>
        </w:rPr>
        <w:t>As reported in Table 2, China recorded the largest number of documents (194) and the highest TLS value (70), indicating both strong publication volume and high network visibility. Italy ranked second in document count (111) and also showed substantial collaboration presence (TLS = 53). Spain, India, and Portugal followed among the highest contributing countries, although the strength of their network positioning varied. The United Kingdom and the United States, despite lower document counts than China or Italy, remained highly visible in collaboration terms through strong TLS values and citation totals. These patterns suggest that contribution to the field is shaped not only by output volume, but also by the extent to which countries are embedded in collaborative research structures.</w:t>
      </w:r>
    </w:p>
    <w:p w14:paraId="4B03BE4F" w14:textId="6C48FF5C" w:rsidR="0065391F" w:rsidRPr="0065391F" w:rsidRDefault="0065391F" w:rsidP="0065391F">
      <w:pPr>
        <w:bidi w:val="0"/>
        <w:spacing w:line="360" w:lineRule="auto"/>
        <w:jc w:val="both"/>
        <w:rPr>
          <w:rFonts w:cstheme="minorHAnsi"/>
        </w:rPr>
      </w:pPr>
      <w:r>
        <w:rPr>
          <w:rFonts w:cstheme="minorHAnsi"/>
        </w:rPr>
        <w:lastRenderedPageBreak/>
        <w:tab/>
      </w:r>
      <w:r w:rsidRPr="0065391F">
        <w:rPr>
          <w:rFonts w:cstheme="minorHAnsi"/>
        </w:rPr>
        <w:t>This pattern is visualised in Figure 3, where more connected nodes occupy more central positions within the co-authorship network. In bibliometric terms, the network indicates uneven integration across countries, with a relatively visible core and a broader set of less-connected participants occupying more peripheral positions.</w:t>
      </w:r>
    </w:p>
    <w:p w14:paraId="14D7D025" w14:textId="69BC4986" w:rsidR="004A2BB6" w:rsidRDefault="00717014" w:rsidP="00717014">
      <w:pPr>
        <w:bidi w:val="0"/>
        <w:spacing w:line="360" w:lineRule="auto"/>
        <w:jc w:val="center"/>
        <w:rPr>
          <w:rFonts w:cstheme="minorHAnsi"/>
          <w:b/>
          <w:bCs/>
        </w:rPr>
      </w:pPr>
      <w:r w:rsidRPr="00717014">
        <w:rPr>
          <w:rFonts w:cstheme="minorHAnsi"/>
          <w:b/>
          <w:bCs/>
        </w:rPr>
        <w:t xml:space="preserve">[Insert Table </w:t>
      </w:r>
      <w:r>
        <w:rPr>
          <w:rFonts w:cstheme="minorHAnsi"/>
          <w:b/>
          <w:bCs/>
        </w:rPr>
        <w:t>2</w:t>
      </w:r>
      <w:r w:rsidRPr="00717014">
        <w:rPr>
          <w:rFonts w:cstheme="minorHAnsi"/>
          <w:b/>
          <w:bCs/>
        </w:rPr>
        <w:t xml:space="preserve"> here]</w:t>
      </w:r>
      <w:r w:rsidRPr="00717014">
        <w:rPr>
          <w:rFonts w:cstheme="minorHAnsi"/>
          <w:b/>
          <w:bCs/>
        </w:rPr>
        <w:t xml:space="preserve"> </w:t>
      </w:r>
      <w:r w:rsidR="00B14418">
        <w:rPr>
          <w:rFonts w:cstheme="minorHAnsi"/>
          <w:b/>
          <w:bCs/>
        </w:rPr>
        <w:t>(</w:t>
      </w:r>
      <w:r w:rsidR="0065391F" w:rsidRPr="0065391F">
        <w:rPr>
          <w:rFonts w:cstheme="minorHAnsi"/>
          <w:b/>
          <w:bCs/>
        </w:rPr>
        <w:t>Table 2: Top countries (from VOSviewer Country Items)</w:t>
      </w:r>
      <w:r w:rsidR="00B14418">
        <w:rPr>
          <w:rFonts w:cstheme="minorHAnsi"/>
          <w:b/>
          <w:bCs/>
        </w:rPr>
        <w:t>)</w:t>
      </w:r>
    </w:p>
    <w:p w14:paraId="69A8BD5B" w14:textId="6CACFA0D" w:rsidR="0065391F" w:rsidRPr="0065391F" w:rsidRDefault="00717014" w:rsidP="00717014">
      <w:pPr>
        <w:bidi w:val="0"/>
        <w:spacing w:line="360" w:lineRule="auto"/>
        <w:jc w:val="center"/>
        <w:rPr>
          <w:rFonts w:cstheme="minorHAnsi"/>
        </w:rPr>
      </w:pPr>
      <w:r w:rsidRPr="00717014">
        <w:rPr>
          <w:rFonts w:cstheme="minorHAnsi"/>
          <w:b/>
          <w:bCs/>
        </w:rPr>
        <w:t xml:space="preserve">[Insert Figure </w:t>
      </w:r>
      <w:r>
        <w:rPr>
          <w:rFonts w:cstheme="minorHAnsi"/>
          <w:b/>
          <w:bCs/>
        </w:rPr>
        <w:t>3</w:t>
      </w:r>
      <w:r w:rsidRPr="00717014">
        <w:rPr>
          <w:rFonts w:cstheme="minorHAnsi"/>
          <w:b/>
          <w:bCs/>
        </w:rPr>
        <w:t xml:space="preserve"> here]</w:t>
      </w:r>
      <w:r w:rsidRPr="00717014">
        <w:rPr>
          <w:rFonts w:cstheme="minorHAnsi"/>
          <w:b/>
          <w:bCs/>
        </w:rPr>
        <w:t xml:space="preserve"> </w:t>
      </w:r>
      <w:r w:rsidR="00B14418">
        <w:rPr>
          <w:rFonts w:cstheme="minorHAnsi"/>
          <w:b/>
          <w:bCs/>
        </w:rPr>
        <w:t>(</w:t>
      </w:r>
      <w:r w:rsidR="0065391F" w:rsidRPr="0065391F">
        <w:rPr>
          <w:rFonts w:cstheme="minorHAnsi"/>
          <w:b/>
          <w:bCs/>
        </w:rPr>
        <w:t>Figure 3: Country co-authorship network (VOSviewer; 2010–2023)</w:t>
      </w:r>
      <w:r w:rsidR="00B14418">
        <w:rPr>
          <w:rFonts w:cstheme="minorHAnsi"/>
          <w:b/>
          <w:bCs/>
        </w:rPr>
        <w:t>)</w:t>
      </w:r>
    </w:p>
    <w:p w14:paraId="0975320A" w14:textId="49A66B10" w:rsidR="0065391F" w:rsidRPr="0065391F" w:rsidRDefault="0065391F" w:rsidP="0065391F">
      <w:pPr>
        <w:bidi w:val="0"/>
        <w:spacing w:line="360" w:lineRule="auto"/>
        <w:jc w:val="both"/>
        <w:rPr>
          <w:rFonts w:cstheme="minorHAnsi"/>
          <w:b/>
          <w:bCs/>
        </w:rPr>
      </w:pPr>
      <w:r w:rsidRPr="0065391F">
        <w:rPr>
          <w:rFonts w:cstheme="minorHAnsi"/>
          <w:b/>
          <w:bCs/>
        </w:rPr>
        <w:t>4.3 Conceptual structure of the field</w:t>
      </w:r>
    </w:p>
    <w:p w14:paraId="700D6546" w14:textId="18C0D435" w:rsidR="0065391F" w:rsidRPr="0065391F" w:rsidRDefault="0065391F" w:rsidP="0065391F">
      <w:pPr>
        <w:bidi w:val="0"/>
        <w:spacing w:line="360" w:lineRule="auto"/>
        <w:jc w:val="both"/>
        <w:rPr>
          <w:rFonts w:cstheme="minorHAnsi"/>
        </w:rPr>
      </w:pPr>
      <w:r>
        <w:rPr>
          <w:rFonts w:cstheme="minorHAnsi"/>
        </w:rPr>
        <w:tab/>
      </w:r>
      <w:r w:rsidRPr="0065391F">
        <w:rPr>
          <w:rFonts w:cstheme="minorHAnsi"/>
        </w:rPr>
        <w:t>The keyword co-occurrence analysis provides insight into the conceptual organisation of the literature. Rather than showing isolated topics, the network reveals how major themes are clustered and how strongly particular concepts are connected across the dataset. The resulting structure indicates that research on technological innovation in sustainable tourism is anchored around highly visible themes related to smart tourism, sustainability, digital transformation, artificial intelligence, and destination-oriented technological applications.</w:t>
      </w:r>
    </w:p>
    <w:p w14:paraId="4CF31EBF" w14:textId="172F548C" w:rsidR="0065391F" w:rsidRPr="0065391F" w:rsidRDefault="0065391F" w:rsidP="0065391F">
      <w:pPr>
        <w:bidi w:val="0"/>
        <w:spacing w:line="360" w:lineRule="auto"/>
        <w:jc w:val="both"/>
        <w:rPr>
          <w:rFonts w:cstheme="minorHAnsi"/>
        </w:rPr>
      </w:pPr>
      <w:r>
        <w:rPr>
          <w:rFonts w:cstheme="minorHAnsi"/>
        </w:rPr>
        <w:tab/>
      </w:r>
      <w:r w:rsidRPr="0065391F">
        <w:rPr>
          <w:rFonts w:cstheme="minorHAnsi"/>
        </w:rPr>
        <w:t>The cluster summary in Table 3 shows that the largest and most connected conceptual streams are concentrated around smart tourism and AI/IoT themes, sustainable tourism and smart destinations, sustainability and climate-related issues, and digital transformation. Several clusters also point to more specialised directions, including blockchain, heritage and rural tourism, and decision-support or bibliometric applications. Overall, the conceptual architecture remains strongly shaped by technology-oriented and broad sustainability terms, suggesting that the field’s central language is driven primarily by innovation mechanisms and digital tourism framings.</w:t>
      </w:r>
    </w:p>
    <w:p w14:paraId="25EF6A04" w14:textId="0DCB4D17" w:rsidR="0065391F" w:rsidRPr="0065391F" w:rsidRDefault="0065391F" w:rsidP="0065391F">
      <w:pPr>
        <w:bidi w:val="0"/>
        <w:spacing w:line="360" w:lineRule="auto"/>
        <w:jc w:val="both"/>
        <w:rPr>
          <w:rFonts w:cstheme="minorHAnsi"/>
        </w:rPr>
      </w:pPr>
      <w:r>
        <w:rPr>
          <w:rFonts w:cstheme="minorHAnsi"/>
        </w:rPr>
        <w:tab/>
      </w:r>
      <w:r w:rsidRPr="0065391F">
        <w:rPr>
          <w:rFonts w:cstheme="minorHAnsi"/>
        </w:rPr>
        <w:t>These relationships are visualised in Figure 4, where the most frequent and strongly linked items occupy the central conceptual space. Governance-related language is present in the wider field, but it does not dominate the core structure to the same extent as smart tourism, digitalisation, sustainability, and AI-related concepts.</w:t>
      </w:r>
    </w:p>
    <w:p w14:paraId="6E894DBE" w14:textId="7D310643" w:rsidR="004A2BB6" w:rsidRDefault="00717014" w:rsidP="00717014">
      <w:pPr>
        <w:bidi w:val="0"/>
        <w:spacing w:line="360" w:lineRule="auto"/>
        <w:jc w:val="center"/>
        <w:rPr>
          <w:rFonts w:cstheme="minorHAnsi"/>
        </w:rPr>
      </w:pPr>
      <w:r w:rsidRPr="00717014">
        <w:rPr>
          <w:rFonts w:cstheme="minorHAnsi"/>
          <w:b/>
          <w:bCs/>
        </w:rPr>
        <w:t xml:space="preserve">[Insert Table </w:t>
      </w:r>
      <w:r>
        <w:rPr>
          <w:rFonts w:cstheme="minorHAnsi"/>
          <w:b/>
          <w:bCs/>
        </w:rPr>
        <w:t>3</w:t>
      </w:r>
      <w:r w:rsidRPr="00717014">
        <w:rPr>
          <w:rFonts w:cstheme="minorHAnsi"/>
          <w:b/>
          <w:bCs/>
        </w:rPr>
        <w:t xml:space="preserve"> here]</w:t>
      </w:r>
      <w:r w:rsidRPr="00717014">
        <w:rPr>
          <w:rFonts w:cstheme="minorHAnsi"/>
          <w:b/>
          <w:bCs/>
        </w:rPr>
        <w:t xml:space="preserve"> </w:t>
      </w:r>
      <w:r>
        <w:rPr>
          <w:rFonts w:cstheme="minorHAnsi"/>
          <w:b/>
          <w:bCs/>
        </w:rPr>
        <w:t xml:space="preserve"> </w:t>
      </w:r>
      <w:r w:rsidR="00B14418">
        <w:rPr>
          <w:rFonts w:cstheme="minorHAnsi"/>
          <w:b/>
          <w:bCs/>
        </w:rPr>
        <w:t>(</w:t>
      </w:r>
      <w:r w:rsidR="0065391F" w:rsidRPr="0065391F">
        <w:rPr>
          <w:rFonts w:cstheme="minorHAnsi"/>
          <w:b/>
          <w:bCs/>
        </w:rPr>
        <w:t>Table 3: Cluster summary (Keyword structure)</w:t>
      </w:r>
      <w:r w:rsidR="00B14418">
        <w:rPr>
          <w:rFonts w:cstheme="minorHAnsi"/>
        </w:rPr>
        <w:t>)</w:t>
      </w:r>
    </w:p>
    <w:p w14:paraId="6CC2F31E" w14:textId="26A088C9" w:rsidR="0065391F" w:rsidRPr="00B14418" w:rsidRDefault="00717014" w:rsidP="00717014">
      <w:pPr>
        <w:bidi w:val="0"/>
        <w:spacing w:line="360" w:lineRule="auto"/>
        <w:jc w:val="center"/>
        <w:rPr>
          <w:rFonts w:cstheme="minorHAnsi"/>
          <w:b/>
          <w:bCs/>
        </w:rPr>
      </w:pPr>
      <w:r w:rsidRPr="00717014">
        <w:rPr>
          <w:b/>
          <w:bCs/>
          <w:noProof/>
        </w:rPr>
        <w:t xml:space="preserve">[Insert Figure </w:t>
      </w:r>
      <w:r>
        <w:rPr>
          <w:b/>
          <w:bCs/>
          <w:noProof/>
        </w:rPr>
        <w:t>4</w:t>
      </w:r>
      <w:r w:rsidRPr="00717014">
        <w:rPr>
          <w:b/>
          <w:bCs/>
          <w:noProof/>
        </w:rPr>
        <w:t xml:space="preserve"> here]</w:t>
      </w:r>
      <w:r w:rsidRPr="00717014">
        <w:rPr>
          <w:b/>
          <w:bCs/>
          <w:noProof/>
        </w:rPr>
        <w:t xml:space="preserve"> </w:t>
      </w:r>
      <w:r w:rsidR="00B14418" w:rsidRPr="00B14418">
        <w:rPr>
          <w:b/>
          <w:bCs/>
          <w:noProof/>
        </w:rPr>
        <w:t>(</w:t>
      </w:r>
      <w:r w:rsidR="0065391F" w:rsidRPr="00B14418">
        <w:rPr>
          <w:rFonts w:cstheme="minorHAnsi"/>
          <w:b/>
          <w:bCs/>
        </w:rPr>
        <w:t>Figure 4: Keyword co-occurrence network (VOSviewer; 2010–2023)</w:t>
      </w:r>
      <w:r w:rsidR="00B14418" w:rsidRPr="00B14418">
        <w:rPr>
          <w:rFonts w:cstheme="minorHAnsi"/>
          <w:b/>
          <w:bCs/>
        </w:rPr>
        <w:t>)</w:t>
      </w:r>
    </w:p>
    <w:p w14:paraId="0DF5B3AC" w14:textId="1C2B339B" w:rsidR="0065391F" w:rsidRPr="0065391F" w:rsidRDefault="0065391F" w:rsidP="0065391F">
      <w:pPr>
        <w:bidi w:val="0"/>
        <w:spacing w:line="360" w:lineRule="auto"/>
        <w:jc w:val="both"/>
        <w:rPr>
          <w:rFonts w:cstheme="minorHAnsi"/>
          <w:b/>
          <w:bCs/>
        </w:rPr>
      </w:pPr>
      <w:r w:rsidRPr="0065391F">
        <w:rPr>
          <w:rFonts w:cstheme="minorHAnsi"/>
          <w:b/>
          <w:bCs/>
        </w:rPr>
        <w:t>4.4 Temporal evolution of dominant themes</w:t>
      </w:r>
    </w:p>
    <w:p w14:paraId="25FA8502" w14:textId="5E800438" w:rsidR="0065391F" w:rsidRPr="0065391F" w:rsidRDefault="0065391F" w:rsidP="0065391F">
      <w:pPr>
        <w:bidi w:val="0"/>
        <w:spacing w:line="360" w:lineRule="auto"/>
        <w:jc w:val="both"/>
        <w:rPr>
          <w:rFonts w:cstheme="minorHAnsi"/>
        </w:rPr>
      </w:pPr>
      <w:r>
        <w:rPr>
          <w:rFonts w:cstheme="minorHAnsi"/>
        </w:rPr>
        <w:tab/>
      </w:r>
      <w:r w:rsidRPr="0065391F">
        <w:rPr>
          <w:rFonts w:cstheme="minorHAnsi"/>
        </w:rPr>
        <w:t xml:space="preserve">To complement the static keyword structure, the overlay visualisation was used to examine how thematic emphasis has shifted over time. As shown in Figure 5, earlier research was more closely associated with broad tourism development and sustainability-oriented </w:t>
      </w:r>
      <w:r w:rsidRPr="0065391F">
        <w:rPr>
          <w:rFonts w:cstheme="minorHAnsi"/>
        </w:rPr>
        <w:lastRenderedPageBreak/>
        <w:t>language, whereas more recent contributions show greater visibility of data-intensive and technology-forward concepts, especially those linked to artificial intelligence, digital transformation, and smart tourism applications.</w:t>
      </w:r>
    </w:p>
    <w:p w14:paraId="16CD680F" w14:textId="702EC9C8" w:rsidR="0065391F" w:rsidRDefault="0065391F" w:rsidP="0065391F">
      <w:pPr>
        <w:bidi w:val="0"/>
        <w:spacing w:line="360" w:lineRule="auto"/>
        <w:jc w:val="both"/>
        <w:rPr>
          <w:rFonts w:cstheme="minorHAnsi"/>
        </w:rPr>
      </w:pPr>
      <w:r>
        <w:rPr>
          <w:rFonts w:cstheme="minorHAnsi"/>
        </w:rPr>
        <w:tab/>
      </w:r>
      <w:r w:rsidRPr="0065391F">
        <w:rPr>
          <w:rFonts w:cstheme="minorHAnsi"/>
        </w:rPr>
        <w:t>This pattern suggests that the field has expanded not only quantitatively but also conceptually, moving toward more explicit engagement with emerging digital mechanisms. The shift does not imply that sustainability concerns have been displaced; rather, it suggests that sustainability is increasingly being discussed through technology-mediated vocabularies.</w:t>
      </w:r>
    </w:p>
    <w:p w14:paraId="611DC21E" w14:textId="56EBCAC4" w:rsidR="0065391F" w:rsidRPr="00B14418" w:rsidRDefault="00717014" w:rsidP="00131F2C">
      <w:pPr>
        <w:bidi w:val="0"/>
        <w:spacing w:line="360" w:lineRule="auto"/>
        <w:jc w:val="center"/>
        <w:rPr>
          <w:rFonts w:cstheme="minorHAnsi"/>
          <w:b/>
          <w:bCs/>
        </w:rPr>
      </w:pPr>
      <w:r w:rsidRPr="00717014">
        <w:rPr>
          <w:b/>
          <w:bCs/>
          <w:noProof/>
        </w:rPr>
        <w:t xml:space="preserve">[Insert Figure </w:t>
      </w:r>
      <w:r>
        <w:rPr>
          <w:b/>
          <w:bCs/>
          <w:noProof/>
        </w:rPr>
        <w:t>5</w:t>
      </w:r>
      <w:r w:rsidRPr="00717014">
        <w:rPr>
          <w:b/>
          <w:bCs/>
          <w:noProof/>
        </w:rPr>
        <w:t xml:space="preserve"> here] </w:t>
      </w:r>
      <w:r>
        <w:rPr>
          <w:rFonts w:cstheme="minorHAnsi"/>
          <w:b/>
          <w:bCs/>
        </w:rPr>
        <w:t xml:space="preserve"> </w:t>
      </w:r>
      <w:r w:rsidR="00B14418" w:rsidRPr="00B14418">
        <w:rPr>
          <w:rFonts w:cstheme="minorHAnsi"/>
          <w:b/>
          <w:bCs/>
        </w:rPr>
        <w:t>(</w:t>
      </w:r>
      <w:r w:rsidR="0065391F" w:rsidRPr="00B14418">
        <w:rPr>
          <w:rFonts w:cstheme="minorHAnsi"/>
          <w:b/>
          <w:bCs/>
        </w:rPr>
        <w:t>Figure 5: Overlay visualization by average publication year (VOSviewer; 2010–2023)</w:t>
      </w:r>
      <w:r w:rsidR="00B14418" w:rsidRPr="00B14418">
        <w:rPr>
          <w:rFonts w:cstheme="minorHAnsi"/>
          <w:b/>
          <w:bCs/>
        </w:rPr>
        <w:t>)</w:t>
      </w:r>
    </w:p>
    <w:p w14:paraId="4DACDB5B" w14:textId="77777777" w:rsidR="0065391F" w:rsidRPr="0065391F" w:rsidRDefault="0065391F" w:rsidP="0065391F">
      <w:pPr>
        <w:bidi w:val="0"/>
        <w:spacing w:line="360" w:lineRule="auto"/>
        <w:jc w:val="both"/>
        <w:rPr>
          <w:rFonts w:cstheme="minorHAnsi"/>
          <w:b/>
          <w:bCs/>
        </w:rPr>
      </w:pPr>
      <w:r w:rsidRPr="0065391F">
        <w:rPr>
          <w:rFonts w:cstheme="minorHAnsi"/>
          <w:b/>
          <w:bCs/>
        </w:rPr>
        <w:t>4.5 Author collaboration patterns</w:t>
      </w:r>
    </w:p>
    <w:p w14:paraId="7B67FF75" w14:textId="4DFFFE02" w:rsidR="0065391F" w:rsidRPr="0065391F" w:rsidRDefault="0065391F" w:rsidP="0065391F">
      <w:pPr>
        <w:bidi w:val="0"/>
        <w:spacing w:line="360" w:lineRule="auto"/>
        <w:jc w:val="both"/>
        <w:rPr>
          <w:rFonts w:cstheme="minorHAnsi"/>
        </w:rPr>
      </w:pPr>
      <w:r>
        <w:rPr>
          <w:rFonts w:cstheme="minorHAnsi"/>
        </w:rPr>
        <w:tab/>
      </w:r>
      <w:r w:rsidRPr="0065391F">
        <w:rPr>
          <w:rFonts w:cstheme="minorHAnsi"/>
        </w:rPr>
        <w:t xml:space="preserve">The author co-authorship network adds a second layer to the collaboration analysis by showing how individual scholars are linked within the field. As shown in </w:t>
      </w:r>
      <w:r w:rsidRPr="0065391F">
        <w:rPr>
          <w:rFonts w:cstheme="minorHAnsi"/>
          <w:b/>
          <w:bCs/>
        </w:rPr>
        <w:t>Figure 6</w:t>
      </w:r>
      <w:r w:rsidRPr="0065391F">
        <w:rPr>
          <w:rFonts w:cstheme="minorHAnsi"/>
        </w:rPr>
        <w:t>, the network is characterised by clustered collaboration communities rather than a fully integrated global structure. Cooperation therefore tends to occur within relatively bounded author groups, with fewer strong bridges connecting the clusters across the broader field.</w:t>
      </w:r>
    </w:p>
    <w:p w14:paraId="02C773F7" w14:textId="15E6BC9D" w:rsidR="00131F2C" w:rsidRDefault="0065391F" w:rsidP="00B14418">
      <w:pPr>
        <w:bidi w:val="0"/>
        <w:spacing w:line="360" w:lineRule="auto"/>
        <w:jc w:val="both"/>
        <w:rPr>
          <w:rFonts w:cstheme="minorHAnsi"/>
        </w:rPr>
      </w:pPr>
      <w:r>
        <w:rPr>
          <w:rFonts w:cstheme="minorHAnsi"/>
        </w:rPr>
        <w:tab/>
      </w:r>
      <w:r w:rsidRPr="0065391F">
        <w:rPr>
          <w:rFonts w:cstheme="minorHAnsi"/>
        </w:rPr>
        <w:t>This suggests that research development in this domain may be influenced by semi-distinct scholarly communities advancing related themes within their own collaboration circles. Although this does not necessarily indicate fragmentation in a negative sense, it does imply that visibility and agenda diffusion may be shaped by the degree of connectedness among author groups. More central authors or clusters are likely to have greater influence in circulating concepts and methodological preferences, whereas more weakly connected groups may remain less visible in the broader structure of the field.</w:t>
      </w:r>
    </w:p>
    <w:p w14:paraId="6840089C" w14:textId="052749EA" w:rsidR="0065391F" w:rsidRPr="0065391F" w:rsidRDefault="00717014" w:rsidP="00131F2C">
      <w:pPr>
        <w:bidi w:val="0"/>
        <w:spacing w:line="360" w:lineRule="auto"/>
        <w:jc w:val="center"/>
        <w:rPr>
          <w:rFonts w:cstheme="minorHAnsi"/>
        </w:rPr>
      </w:pPr>
      <w:r w:rsidRPr="00717014">
        <w:rPr>
          <w:b/>
          <w:bCs/>
          <w:noProof/>
        </w:rPr>
        <w:t xml:space="preserve">[Insert Figure </w:t>
      </w:r>
      <w:r>
        <w:rPr>
          <w:b/>
          <w:bCs/>
          <w:noProof/>
        </w:rPr>
        <w:t>6</w:t>
      </w:r>
      <w:r w:rsidRPr="00717014">
        <w:rPr>
          <w:b/>
          <w:bCs/>
          <w:noProof/>
        </w:rPr>
        <w:t xml:space="preserve"> here] </w:t>
      </w:r>
      <w:r>
        <w:rPr>
          <w:rFonts w:cstheme="minorHAnsi"/>
        </w:rPr>
        <w:t xml:space="preserve"> </w:t>
      </w:r>
      <w:r w:rsidR="00B14418">
        <w:rPr>
          <w:rFonts w:cstheme="minorHAnsi"/>
        </w:rPr>
        <w:t>(</w:t>
      </w:r>
      <w:r w:rsidR="0065391F" w:rsidRPr="0065391F">
        <w:rPr>
          <w:rFonts w:cstheme="minorHAnsi"/>
          <w:b/>
          <w:bCs/>
        </w:rPr>
        <w:t>Figure 6: Author co-authorship network (VOSviewer; 2010–2023)</w:t>
      </w:r>
      <w:r w:rsidR="00B14418">
        <w:rPr>
          <w:rFonts w:cstheme="minorHAnsi"/>
        </w:rPr>
        <w:t>)</w:t>
      </w:r>
    </w:p>
    <w:p w14:paraId="7B97256E" w14:textId="11C78CC9" w:rsidR="0065391F" w:rsidRPr="0065391F" w:rsidRDefault="0065391F" w:rsidP="0065391F">
      <w:pPr>
        <w:bidi w:val="0"/>
        <w:spacing w:line="360" w:lineRule="auto"/>
        <w:jc w:val="both"/>
        <w:rPr>
          <w:rFonts w:cstheme="minorHAnsi"/>
          <w:b/>
          <w:bCs/>
        </w:rPr>
      </w:pPr>
      <w:r w:rsidRPr="0065391F">
        <w:rPr>
          <w:rFonts w:cstheme="minorHAnsi"/>
          <w:b/>
          <w:bCs/>
        </w:rPr>
        <w:t>4.6 Diagnostic interpretation of concentration and visibility</w:t>
      </w:r>
    </w:p>
    <w:p w14:paraId="7083E837" w14:textId="1DD2F87B" w:rsidR="0065391F" w:rsidRPr="0065391F" w:rsidRDefault="0065391F" w:rsidP="0065391F">
      <w:pPr>
        <w:bidi w:val="0"/>
        <w:spacing w:line="360" w:lineRule="auto"/>
        <w:jc w:val="both"/>
        <w:rPr>
          <w:rFonts w:cstheme="minorHAnsi"/>
        </w:rPr>
      </w:pPr>
      <w:r>
        <w:rPr>
          <w:rFonts w:cstheme="minorHAnsi"/>
        </w:rPr>
        <w:tab/>
      </w:r>
      <w:r w:rsidRPr="0065391F">
        <w:rPr>
          <w:rFonts w:cstheme="minorHAnsi"/>
        </w:rPr>
        <w:t xml:space="preserve">Taken together, the results indicate a field that is growing rapidly but remains unevenly structured in terms of contribution, collaboration visibility, and conceptual emphasis. One of the clearest patterns is concentration. Based on the mapped country set, the top five countries account for 495 of 1,236 country-level document counts, representing 40.0% of the output captured in the VOSviewer country items. Citation influence is similarly concentrated, with the top five cited countries accounting for 14,791 of 36,311 citations, or 40.7% of the mapped </w:t>
      </w:r>
      <w:r w:rsidRPr="0065391F">
        <w:rPr>
          <w:rFonts w:cstheme="minorHAnsi"/>
        </w:rPr>
        <w:lastRenderedPageBreak/>
        <w:t>citation total. These figures indicate that visibility and influence are not evenly distributed across the field.</w:t>
      </w:r>
    </w:p>
    <w:p w14:paraId="0F707E8B" w14:textId="5B7E371E" w:rsidR="0065391F" w:rsidRPr="0065391F" w:rsidRDefault="0065391F" w:rsidP="0065391F">
      <w:pPr>
        <w:bidi w:val="0"/>
        <w:spacing w:line="360" w:lineRule="auto"/>
        <w:jc w:val="both"/>
        <w:rPr>
          <w:rFonts w:cstheme="minorHAnsi"/>
        </w:rPr>
      </w:pPr>
      <w:r>
        <w:rPr>
          <w:rFonts w:cstheme="minorHAnsi"/>
        </w:rPr>
        <w:tab/>
      </w:r>
      <w:r w:rsidRPr="0065391F">
        <w:rPr>
          <w:rFonts w:cstheme="minorHAnsi"/>
        </w:rPr>
        <w:t>A second pattern concerns network centrality. Countries with higher links and TLS values, such as China, the United Kingdom, Italy, and the United States, occupy more central positions in the collaboration map, suggesting that the ability to shape visible research agendas may depend not only on publication output but also on participation in internationally connected co-authorship structures. A similar pattern appears in the author network, where clustered collaboration suggests bounded communities with unequal bridging capacity across the wider knowledge space.</w:t>
      </w:r>
    </w:p>
    <w:p w14:paraId="69B35803" w14:textId="575C2023" w:rsidR="0065391F" w:rsidRPr="0065391F" w:rsidRDefault="0065391F" w:rsidP="0065391F">
      <w:pPr>
        <w:bidi w:val="0"/>
        <w:spacing w:line="360" w:lineRule="auto"/>
        <w:jc w:val="both"/>
        <w:rPr>
          <w:rFonts w:cstheme="minorHAnsi"/>
        </w:rPr>
      </w:pPr>
      <w:r>
        <w:rPr>
          <w:rFonts w:cstheme="minorHAnsi"/>
        </w:rPr>
        <w:tab/>
      </w:r>
      <w:r w:rsidRPr="0065391F">
        <w:rPr>
          <w:rFonts w:cstheme="minorHAnsi"/>
        </w:rPr>
        <w:t>A third pattern concerns thematic prominence. The keyword network shows that the central conceptual space is dominated by smart tourism, digital transformation, AI-related language, and broad sustainability anchors. By contrast, governance-coded terms remain less visible in the high-frequency conceptual core, and terms associated with accountability, justice, or evaluation do not appear among the dominant high-occurrence items at the selected threshold. This does not mean that such concerns are absent from the wider literature; rather, it suggests that they are less central in the most visible conceptual streams through which the field is being consolidated.</w:t>
      </w:r>
    </w:p>
    <w:p w14:paraId="204449CD" w14:textId="1122A82A" w:rsidR="0065391F" w:rsidRDefault="0065391F" w:rsidP="0065391F">
      <w:pPr>
        <w:bidi w:val="0"/>
        <w:spacing w:line="360" w:lineRule="auto"/>
        <w:jc w:val="both"/>
        <w:rPr>
          <w:rFonts w:cstheme="minorHAnsi"/>
        </w:rPr>
      </w:pPr>
      <w:r>
        <w:rPr>
          <w:rFonts w:cstheme="minorHAnsi"/>
        </w:rPr>
        <w:tab/>
      </w:r>
      <w:r w:rsidRPr="0065391F">
        <w:rPr>
          <w:rFonts w:cstheme="minorHAnsi"/>
        </w:rPr>
        <w:t>Overall, the literature on technological innovation in sustainable tourism appears to be expanding around a visible technology-centred core, while collaboration and influence remain concentrated within a relatively narrow group of contributors. These patterns provide the foundation for the discussion that follows, particularly in relation to concentration, governance visibility, and the organisation of knowledge structures within the field.</w:t>
      </w:r>
    </w:p>
    <w:p w14:paraId="650A6D2E" w14:textId="77777777" w:rsidR="00FB1F53" w:rsidRPr="00FB1F53" w:rsidRDefault="00FB1F53" w:rsidP="00FB1F53">
      <w:pPr>
        <w:bidi w:val="0"/>
        <w:spacing w:line="360" w:lineRule="auto"/>
        <w:jc w:val="both"/>
        <w:rPr>
          <w:rFonts w:cstheme="minorHAnsi"/>
          <w:b/>
          <w:bCs/>
        </w:rPr>
      </w:pPr>
      <w:r w:rsidRPr="00FB1F53">
        <w:rPr>
          <w:rFonts w:cstheme="minorHAnsi"/>
          <w:b/>
          <w:bCs/>
        </w:rPr>
        <w:t>5. Discussion</w:t>
      </w:r>
    </w:p>
    <w:p w14:paraId="5C0B6CAE" w14:textId="65CA1C64" w:rsidR="00FB1F53" w:rsidRPr="00FB1F53" w:rsidRDefault="00FB1F53" w:rsidP="00FB1F53">
      <w:pPr>
        <w:bidi w:val="0"/>
        <w:spacing w:line="360" w:lineRule="auto"/>
        <w:jc w:val="both"/>
        <w:rPr>
          <w:rFonts w:cstheme="minorHAnsi"/>
        </w:rPr>
      </w:pPr>
      <w:r>
        <w:rPr>
          <w:rFonts w:cstheme="minorHAnsi"/>
        </w:rPr>
        <w:tab/>
      </w:r>
      <w:r w:rsidRPr="00FB1F53">
        <w:rPr>
          <w:rFonts w:cstheme="minorHAnsi"/>
        </w:rPr>
        <w:t xml:space="preserve">This study moves beyond documenting the growth of research on technological innovation in sustainable tourism by examining what the organisation of this literature reveals about the field. The findings indicate a rapidly expanding domain structured around visible themes, contributors, and collaboration patterns. Smart tourism, digital transformation, and artificial intelligence occupy a prominent position within the conceptual landscape, whereas governance-oriented language remains less central. Overall, the field appears to be expanding under conditions of uneven visibility rather than through a balanced distribution of influence. </w:t>
      </w:r>
    </w:p>
    <w:p w14:paraId="3D55296D" w14:textId="43D04257" w:rsidR="00FB1F53" w:rsidRPr="00FB1F53" w:rsidRDefault="00FB1F53" w:rsidP="00FB1F53">
      <w:pPr>
        <w:bidi w:val="0"/>
        <w:spacing w:line="360" w:lineRule="auto"/>
        <w:jc w:val="both"/>
        <w:rPr>
          <w:rFonts w:cstheme="minorHAnsi"/>
        </w:rPr>
      </w:pPr>
      <w:r>
        <w:rPr>
          <w:rFonts w:cstheme="minorHAnsi"/>
        </w:rPr>
        <w:tab/>
      </w:r>
      <w:r w:rsidRPr="00FB1F53">
        <w:rPr>
          <w:rFonts w:cstheme="minorHAnsi"/>
        </w:rPr>
        <w:t xml:space="preserve">A first implication concerns concentration. Publication output and citation influence are disproportionately located within a relatively small group of countries, suggesting that the </w:t>
      </w:r>
      <w:r w:rsidRPr="00FB1F53">
        <w:rPr>
          <w:rFonts w:cstheme="minorHAnsi"/>
        </w:rPr>
        <w:lastRenderedPageBreak/>
        <w:t>visible centre of the field is shaped by research environments with stronger publication capacity, broader collaboration reach, and greater citation visibility. This supports arguments that bibliometric growth should not be equated with balanced knowledge development (</w:t>
      </w:r>
      <w:hyperlink w:anchor="Donthu" w:history="1">
        <w:r w:rsidRPr="00FB1F53">
          <w:rPr>
            <w:rStyle w:val="Hyperlink"/>
            <w:rFonts w:cstheme="minorHAnsi"/>
          </w:rPr>
          <w:t>Donthu et al., 2021</w:t>
        </w:r>
      </w:hyperlink>
      <w:r w:rsidRPr="00FB1F53">
        <w:rPr>
          <w:rFonts w:cstheme="minorHAnsi"/>
        </w:rPr>
        <w:t xml:space="preserve">; </w:t>
      </w:r>
      <w:hyperlink w:anchor="Köseoglu" w:history="1">
        <w:r w:rsidRPr="00FB1F53">
          <w:rPr>
            <w:rStyle w:val="Hyperlink"/>
            <w:rFonts w:cstheme="minorHAnsi"/>
          </w:rPr>
          <w:t>Köseoglu et al., 2016</w:t>
        </w:r>
      </w:hyperlink>
      <w:r w:rsidRPr="00FB1F53">
        <w:rPr>
          <w:rFonts w:cstheme="minorHAnsi"/>
        </w:rPr>
        <w:t>).</w:t>
      </w:r>
    </w:p>
    <w:p w14:paraId="072308C0" w14:textId="1D9ACB47" w:rsidR="00FB1F53" w:rsidRPr="00FB1F53" w:rsidRDefault="00FB1F53" w:rsidP="00FB1F53">
      <w:pPr>
        <w:bidi w:val="0"/>
        <w:spacing w:line="360" w:lineRule="auto"/>
        <w:jc w:val="both"/>
        <w:rPr>
          <w:rFonts w:cstheme="minorHAnsi"/>
        </w:rPr>
      </w:pPr>
      <w:r>
        <w:rPr>
          <w:rFonts w:cstheme="minorHAnsi"/>
        </w:rPr>
        <w:tab/>
      </w:r>
      <w:r w:rsidRPr="00FB1F53">
        <w:rPr>
          <w:rFonts w:cstheme="minorHAnsi"/>
        </w:rPr>
        <w:t>A second implication concerns collaboration structure. The country and author co-authorship maps show that visibility depends not only on productivity, but also on position within collaboration networks. Countries and author groups that are more strongly connected occupy more central positions, while others remain peripheral. This suggests that knowledge diffusion is mediated by bounded research communities rather than a fully integrated global network.</w:t>
      </w:r>
    </w:p>
    <w:p w14:paraId="66137288" w14:textId="55F7CDE1" w:rsidR="00FB1F53" w:rsidRPr="00FB1F53" w:rsidRDefault="00FB1F53" w:rsidP="00FB1F53">
      <w:pPr>
        <w:bidi w:val="0"/>
        <w:spacing w:line="360" w:lineRule="auto"/>
        <w:jc w:val="both"/>
        <w:rPr>
          <w:rFonts w:cstheme="minorHAnsi"/>
        </w:rPr>
      </w:pPr>
      <w:r>
        <w:rPr>
          <w:rFonts w:cstheme="minorHAnsi"/>
        </w:rPr>
        <w:tab/>
      </w:r>
      <w:r w:rsidRPr="00FB1F53">
        <w:rPr>
          <w:rFonts w:cstheme="minorHAnsi"/>
        </w:rPr>
        <w:t>A third implication concerns thematic prominence. The keyword analysis shows that the most visible conceptual streams are organised around smart tourism, sustainability, digital transformation, artificial intelligence, and related technological mechanisms. This confirms that the literature has become increasingly technology-forward in the way it frames tourism futures. However, governance-related constructs remain less prominent than technology-centred terms, reinforcing concerns that innovation may be treated too readily as an answer to sustainability challenges without equivalent attention to accountability, measurement, institutional capacity, and the political conditions under which outcomes are judged (</w:t>
      </w:r>
      <w:hyperlink w:anchor="Hall" w:history="1">
        <w:r w:rsidRPr="00FB1F53">
          <w:rPr>
            <w:rStyle w:val="Hyperlink"/>
            <w:rFonts w:cstheme="minorHAnsi"/>
          </w:rPr>
          <w:t>Hall, 2019</w:t>
        </w:r>
      </w:hyperlink>
      <w:r w:rsidRPr="00FB1F53">
        <w:rPr>
          <w:rFonts w:cstheme="minorHAnsi"/>
        </w:rPr>
        <w:t xml:space="preserve">; </w:t>
      </w:r>
      <w:hyperlink w:anchor="Gelter" w:history="1">
        <w:r w:rsidRPr="00FB1F53">
          <w:rPr>
            <w:rStyle w:val="Hyperlink"/>
            <w:rFonts w:cstheme="minorHAnsi"/>
          </w:rPr>
          <w:t>Gelter et al., 2021</w:t>
        </w:r>
      </w:hyperlink>
      <w:r w:rsidRPr="00FB1F53">
        <w:rPr>
          <w:rFonts w:cstheme="minorHAnsi"/>
        </w:rPr>
        <w:t xml:space="preserve">; </w:t>
      </w:r>
      <w:hyperlink w:anchor="Çakar" w:history="1">
        <w:r w:rsidRPr="00FB1F53">
          <w:rPr>
            <w:rStyle w:val="Hyperlink"/>
            <w:rFonts w:cstheme="minorHAnsi"/>
          </w:rPr>
          <w:t>Çakar, 2023</w:t>
        </w:r>
      </w:hyperlink>
      <w:r w:rsidRPr="00FB1F53">
        <w:rPr>
          <w:rFonts w:cstheme="minorHAnsi"/>
        </w:rPr>
        <w:t>).</w:t>
      </w:r>
    </w:p>
    <w:p w14:paraId="131DC1DF" w14:textId="21759537" w:rsidR="00FB1F53" w:rsidRPr="00FB1F53" w:rsidRDefault="00FB1F53" w:rsidP="00FB1F53">
      <w:pPr>
        <w:bidi w:val="0"/>
        <w:spacing w:line="360" w:lineRule="auto"/>
        <w:jc w:val="both"/>
        <w:rPr>
          <w:rFonts w:cstheme="minorHAnsi"/>
        </w:rPr>
      </w:pPr>
      <w:r>
        <w:rPr>
          <w:rFonts w:cstheme="minorHAnsi"/>
        </w:rPr>
        <w:tab/>
      </w:r>
      <w:r w:rsidRPr="00FB1F53">
        <w:rPr>
          <w:rFonts w:cstheme="minorHAnsi"/>
        </w:rPr>
        <w:t>The overlay visualisation supports this interpretation by showing that newer strands of the literature are increasingly associated with data-intensive and digitally mediated innovation themes. This suggests that sustainability is increasingly articulated through a language of technological possibility. While this reflects the field’s responsiveness to changing tourism systems, it may also contribute to an imbalance between mechanism visibility and outcome reasoning, as the literature appears more comfortable naming technologies than specifying the institutional and evaluative pathways through which they might support sustainable tourism in practice (</w:t>
      </w:r>
      <w:hyperlink w:anchor="Rahmadian" w:history="1">
        <w:r w:rsidRPr="00FB1F53">
          <w:rPr>
            <w:rStyle w:val="Hyperlink"/>
            <w:rFonts w:cstheme="minorHAnsi"/>
          </w:rPr>
          <w:t>Rahmadian et al., 2022</w:t>
        </w:r>
      </w:hyperlink>
      <w:r w:rsidRPr="00FB1F53">
        <w:rPr>
          <w:rFonts w:cstheme="minorHAnsi"/>
        </w:rPr>
        <w:t xml:space="preserve">; </w:t>
      </w:r>
      <w:hyperlink w:anchor="UNTourism" w:history="1">
        <w:r w:rsidRPr="00FB1F53">
          <w:rPr>
            <w:rStyle w:val="Hyperlink"/>
            <w:rFonts w:cstheme="minorHAnsi"/>
          </w:rPr>
          <w:t>UN Tourism, 2023</w:t>
        </w:r>
      </w:hyperlink>
      <w:r w:rsidRPr="00FB1F53">
        <w:rPr>
          <w:rFonts w:cstheme="minorHAnsi"/>
        </w:rPr>
        <w:t>).</w:t>
      </w:r>
    </w:p>
    <w:p w14:paraId="77A34227" w14:textId="36C408DD" w:rsidR="00FB1F53" w:rsidRPr="00FB1F53" w:rsidRDefault="00FB1F53" w:rsidP="00FB1F53">
      <w:pPr>
        <w:bidi w:val="0"/>
        <w:spacing w:line="360" w:lineRule="auto"/>
        <w:jc w:val="both"/>
        <w:rPr>
          <w:rFonts w:cstheme="minorHAnsi"/>
        </w:rPr>
      </w:pPr>
      <w:r>
        <w:rPr>
          <w:rFonts w:cstheme="minorHAnsi"/>
        </w:rPr>
        <w:tab/>
      </w:r>
      <w:r w:rsidRPr="00FB1F53">
        <w:rPr>
          <w:rFonts w:cstheme="minorHAnsi"/>
        </w:rPr>
        <w:t xml:space="preserve">From a conceptual standpoint, the findings support a cautious reading of innovation-led sustainability discourse in tourism. They do not suggest that technology is unimportant, but they do indicate that the dominant knowledge structures of the field may privilege technological prominence over governance specification. This matters because sustainability outcomes depend not only on adoption, but also on standards, monitoring systems, </w:t>
      </w:r>
      <w:r w:rsidRPr="00FB1F53">
        <w:rPr>
          <w:rFonts w:cstheme="minorHAnsi"/>
        </w:rPr>
        <w:lastRenderedPageBreak/>
        <w:t>institutional coordination, and the ability to define and evaluate success in socially legitimate and operationally meaningful ways.</w:t>
      </w:r>
    </w:p>
    <w:p w14:paraId="183CB16D" w14:textId="35271100" w:rsidR="00FB1F53" w:rsidRDefault="00FB1F53" w:rsidP="00FB1F53">
      <w:pPr>
        <w:bidi w:val="0"/>
        <w:spacing w:line="360" w:lineRule="auto"/>
        <w:jc w:val="both"/>
        <w:rPr>
          <w:rFonts w:cstheme="minorHAnsi"/>
        </w:rPr>
      </w:pPr>
      <w:r>
        <w:rPr>
          <w:rFonts w:cstheme="minorHAnsi"/>
        </w:rPr>
        <w:tab/>
      </w:r>
      <w:r w:rsidRPr="00FB1F53">
        <w:rPr>
          <w:rFonts w:cstheme="minorHAnsi"/>
        </w:rPr>
        <w:t>At the same time, the discussion should remain bounded by the nature of the evidence. Bibliometric analysis identifies structures in publication metadata; it does not directly measure destination performance, policy effectiveness, or real-world sustainability outcomes. The study’s claims are therefore interpretive rather than causal. What the findings show is that governance, accountability, and evaluative constructs are less central within the dominant conceptual streams captured by the present dataset.</w:t>
      </w:r>
    </w:p>
    <w:p w14:paraId="24728EF4" w14:textId="77777777" w:rsidR="00642456" w:rsidRPr="00642456" w:rsidRDefault="00642456" w:rsidP="00F02172">
      <w:pPr>
        <w:bidi w:val="0"/>
        <w:spacing w:after="0" w:line="360" w:lineRule="auto"/>
        <w:jc w:val="both"/>
        <w:rPr>
          <w:rFonts w:cstheme="minorHAnsi"/>
          <w:b/>
          <w:bCs/>
        </w:rPr>
      </w:pPr>
      <w:r w:rsidRPr="00642456">
        <w:rPr>
          <w:rFonts w:cstheme="minorHAnsi"/>
          <w:b/>
          <w:bCs/>
        </w:rPr>
        <w:t>6. Implications</w:t>
      </w:r>
    </w:p>
    <w:p w14:paraId="59E2F251" w14:textId="77777777" w:rsidR="00642456" w:rsidRPr="00642456" w:rsidRDefault="00642456" w:rsidP="00F02172">
      <w:pPr>
        <w:bidi w:val="0"/>
        <w:spacing w:after="0" w:line="360" w:lineRule="auto"/>
        <w:jc w:val="both"/>
        <w:rPr>
          <w:rFonts w:cstheme="minorHAnsi"/>
          <w:b/>
          <w:bCs/>
        </w:rPr>
      </w:pPr>
      <w:r w:rsidRPr="00642456">
        <w:rPr>
          <w:rFonts w:cstheme="minorHAnsi"/>
          <w:b/>
          <w:bCs/>
        </w:rPr>
        <w:t>6.1 Theoretical implications</w:t>
      </w:r>
    </w:p>
    <w:p w14:paraId="7276F8CC" w14:textId="4A252137" w:rsidR="00642456" w:rsidRPr="00642456" w:rsidRDefault="00642456" w:rsidP="00642456">
      <w:pPr>
        <w:bidi w:val="0"/>
        <w:spacing w:line="360" w:lineRule="auto"/>
        <w:jc w:val="both"/>
        <w:rPr>
          <w:rFonts w:cstheme="minorHAnsi"/>
        </w:rPr>
      </w:pPr>
      <w:r>
        <w:rPr>
          <w:rFonts w:cstheme="minorHAnsi"/>
        </w:rPr>
        <w:tab/>
      </w:r>
      <w:r w:rsidRPr="00642456">
        <w:rPr>
          <w:rFonts w:cstheme="minorHAnsi"/>
        </w:rPr>
        <w:t>The study offers three main theoretical implications. First, it shows that research on technological innovation in sustainable tourism is shaped more strongly by visible innovation mechanisms than by governance-oriented reasoning. This suggests that the literature often advances through the prominence of technological labels while leaving the institutional and evaluative conditions of sustainability less fully elaborated, reinforcing the view that innovation should be understood not as inherently beneficial, but as a set of mechanisms whose value depends on governance capacity, accountability, and outcome definition (</w:t>
      </w:r>
      <w:hyperlink w:anchor="Hall" w:history="1">
        <w:r w:rsidRPr="00642456">
          <w:rPr>
            <w:rStyle w:val="Hyperlink"/>
            <w:rFonts w:cstheme="minorHAnsi"/>
          </w:rPr>
          <w:t>Hall, 2019</w:t>
        </w:r>
      </w:hyperlink>
      <w:r w:rsidRPr="00642456">
        <w:rPr>
          <w:rFonts w:cstheme="minorHAnsi"/>
        </w:rPr>
        <w:t xml:space="preserve">; </w:t>
      </w:r>
      <w:hyperlink w:anchor="Gelter" w:history="1">
        <w:r w:rsidRPr="00642456">
          <w:rPr>
            <w:rStyle w:val="Hyperlink"/>
            <w:rFonts w:cstheme="minorHAnsi"/>
          </w:rPr>
          <w:t>Gelter et al., 2021</w:t>
        </w:r>
      </w:hyperlink>
      <w:r w:rsidRPr="00642456">
        <w:rPr>
          <w:rFonts w:cstheme="minorHAnsi"/>
        </w:rPr>
        <w:t xml:space="preserve">). </w:t>
      </w:r>
    </w:p>
    <w:p w14:paraId="59338F1D" w14:textId="79F29FDA" w:rsidR="00642456" w:rsidRPr="00642456" w:rsidRDefault="00642456" w:rsidP="00642456">
      <w:pPr>
        <w:bidi w:val="0"/>
        <w:spacing w:line="360" w:lineRule="auto"/>
        <w:jc w:val="both"/>
        <w:rPr>
          <w:rFonts w:cstheme="minorHAnsi"/>
        </w:rPr>
      </w:pPr>
      <w:r>
        <w:rPr>
          <w:rFonts w:cstheme="minorHAnsi"/>
        </w:rPr>
        <w:tab/>
      </w:r>
      <w:r w:rsidRPr="00642456">
        <w:rPr>
          <w:rFonts w:cstheme="minorHAnsi"/>
        </w:rPr>
        <w:t>Second, the findings indicate that knowledge production in this field is unevenly distributed, with concentration of output, citation influence, and collaboration visibility within a relatively limited core. This suggests that agenda formation may be shaped by unequal positions within the research network and that visibility itself becomes part of the field’s intellectual structure. Third, the study clarifies the need to distinguish more carefully between technologies as mechanisms, digital transformation as a broader process of systemic change, and governance as the institutional architecture through which sustainability claims are translated into practice.</w:t>
      </w:r>
    </w:p>
    <w:p w14:paraId="2A061FAE" w14:textId="77777777" w:rsidR="00642456" w:rsidRPr="00642456" w:rsidRDefault="00642456" w:rsidP="00642456">
      <w:pPr>
        <w:bidi w:val="0"/>
        <w:spacing w:line="360" w:lineRule="auto"/>
        <w:jc w:val="both"/>
        <w:rPr>
          <w:rFonts w:cstheme="minorHAnsi"/>
          <w:b/>
          <w:bCs/>
        </w:rPr>
      </w:pPr>
      <w:r w:rsidRPr="00642456">
        <w:rPr>
          <w:rFonts w:cstheme="minorHAnsi"/>
          <w:b/>
          <w:bCs/>
        </w:rPr>
        <w:t>6.2 Methodological implications</w:t>
      </w:r>
    </w:p>
    <w:p w14:paraId="47FA2F60" w14:textId="09506CBF" w:rsidR="00642456" w:rsidRPr="00642456" w:rsidRDefault="00642456" w:rsidP="00642456">
      <w:pPr>
        <w:bidi w:val="0"/>
        <w:spacing w:line="360" w:lineRule="auto"/>
        <w:jc w:val="both"/>
        <w:rPr>
          <w:rFonts w:cstheme="minorHAnsi"/>
        </w:rPr>
      </w:pPr>
      <w:r>
        <w:rPr>
          <w:rFonts w:cstheme="minorHAnsi"/>
        </w:rPr>
        <w:tab/>
      </w:r>
      <w:r w:rsidRPr="00642456">
        <w:rPr>
          <w:rFonts w:cstheme="minorHAnsi"/>
        </w:rPr>
        <w:t>Methodologically, the study demonstrates the value of combining bibliometric mapping with interpretive analysis. Rather than treating bibliometric outputs as neutral descriptive summaries, it uses them to examine concentration, visibility, and thematic prominence as meaningful characteristics of the field, in line with calls for bibliometric work that contributes analytically as well as procedurally (</w:t>
      </w:r>
      <w:hyperlink w:anchor="Donthu" w:history="1">
        <w:r w:rsidRPr="00642456">
          <w:rPr>
            <w:rStyle w:val="Hyperlink"/>
            <w:rFonts w:cstheme="minorHAnsi"/>
          </w:rPr>
          <w:t>Donthu et al., 2021</w:t>
        </w:r>
      </w:hyperlink>
      <w:r w:rsidRPr="00642456">
        <w:rPr>
          <w:rFonts w:cstheme="minorHAnsi"/>
        </w:rPr>
        <w:t xml:space="preserve">; </w:t>
      </w:r>
      <w:hyperlink w:anchor="Köseoglu" w:history="1">
        <w:r w:rsidRPr="00642456">
          <w:rPr>
            <w:rStyle w:val="Hyperlink"/>
            <w:rFonts w:cstheme="minorHAnsi"/>
          </w:rPr>
          <w:t>Köseoglu et al., 2016</w:t>
        </w:r>
      </w:hyperlink>
      <w:r w:rsidRPr="00642456">
        <w:rPr>
          <w:rFonts w:cstheme="minorHAnsi"/>
        </w:rPr>
        <w:t>).</w:t>
      </w:r>
    </w:p>
    <w:p w14:paraId="63F8558E" w14:textId="197B6308" w:rsidR="00642456" w:rsidRPr="00642456" w:rsidRDefault="00642456" w:rsidP="00642456">
      <w:pPr>
        <w:bidi w:val="0"/>
        <w:spacing w:line="360" w:lineRule="auto"/>
        <w:jc w:val="both"/>
        <w:rPr>
          <w:rFonts w:cstheme="minorHAnsi"/>
        </w:rPr>
      </w:pPr>
      <w:r>
        <w:rPr>
          <w:rFonts w:cstheme="minorHAnsi"/>
        </w:rPr>
        <w:lastRenderedPageBreak/>
        <w:tab/>
      </w:r>
      <w:r w:rsidRPr="00642456">
        <w:rPr>
          <w:rFonts w:cstheme="minorHAnsi"/>
        </w:rPr>
        <w:t>The study also highlights the importance of dataset transparency. The use of a multi-query retrieval strategy, explicit deduplication, and a validation step strengthens confidence in the scope of the dataset while making its limits visible. More broadly, it suggests that future bibliometric work in tourism would benefit from integrating science-mapping outputs with closer qualitative interpretation of influential streams, governance constructs, and conceptual overlaps.</w:t>
      </w:r>
    </w:p>
    <w:p w14:paraId="48F72711" w14:textId="77777777" w:rsidR="00642456" w:rsidRPr="00642456" w:rsidRDefault="00642456" w:rsidP="00642456">
      <w:pPr>
        <w:bidi w:val="0"/>
        <w:spacing w:line="360" w:lineRule="auto"/>
        <w:jc w:val="both"/>
        <w:rPr>
          <w:rFonts w:cstheme="minorHAnsi"/>
          <w:b/>
          <w:bCs/>
        </w:rPr>
      </w:pPr>
      <w:r w:rsidRPr="00642456">
        <w:rPr>
          <w:rFonts w:cstheme="minorHAnsi"/>
          <w:b/>
          <w:bCs/>
        </w:rPr>
        <w:t>6.3 Managerial and policy implications</w:t>
      </w:r>
    </w:p>
    <w:p w14:paraId="4CA28207" w14:textId="72D611F2" w:rsidR="00642456" w:rsidRPr="00642456" w:rsidRDefault="00642456" w:rsidP="00642456">
      <w:pPr>
        <w:bidi w:val="0"/>
        <w:spacing w:line="360" w:lineRule="auto"/>
        <w:jc w:val="both"/>
        <w:rPr>
          <w:rFonts w:cstheme="minorHAnsi"/>
        </w:rPr>
      </w:pPr>
      <w:r>
        <w:rPr>
          <w:rFonts w:cstheme="minorHAnsi"/>
        </w:rPr>
        <w:tab/>
      </w:r>
      <w:r w:rsidRPr="00642456">
        <w:rPr>
          <w:rFonts w:cstheme="minorHAnsi"/>
        </w:rPr>
        <w:t>For policymakers and destination practitioners, the findings suggest that technology-led tourism strategies should be assessed not only by the visibility of digital tools, but also by the clarity of the outcomes they are intended to produce. The prominence of smart tourism, AI, and digital transformation in the literature indicates that decision-makers are likely to encounter technology-centred narratives as dominant solution frameworks. Yet the weaker visibility of governance, accountability, and outcome-evaluation language within the field’s conceptual core suggests a risk of adopting innovation rhetorically without equal attention to how success will be defined, monitored, and reviewed.</w:t>
      </w:r>
    </w:p>
    <w:p w14:paraId="116331FE" w14:textId="43AD850D" w:rsidR="00642456" w:rsidRDefault="00642456" w:rsidP="00642456">
      <w:pPr>
        <w:bidi w:val="0"/>
        <w:spacing w:line="360" w:lineRule="auto"/>
        <w:jc w:val="both"/>
        <w:rPr>
          <w:rFonts w:cstheme="minorHAnsi"/>
        </w:rPr>
      </w:pPr>
      <w:r>
        <w:rPr>
          <w:rFonts w:cstheme="minorHAnsi"/>
        </w:rPr>
        <w:tab/>
      </w:r>
      <w:r w:rsidRPr="00642456">
        <w:rPr>
          <w:rFonts w:cstheme="minorHAnsi"/>
        </w:rPr>
        <w:t>A practical implication is that tourism innovation initiatives should follow an outcomes-first logic. Before introducing digital tools, destination actors should specify the sustainability outcomes they seek to improve, identify the indicators through which those outcomes will be assessed, and establish the governance arrangements that will guide implementation. In less-networked contexts, where dependence on imported innovation models may be greater, cross-context learning and institutionally grounded adaptation become especially important. More broadly, innovation strategies in tourism should be accompanied by minimum governance safeguards, including clear baselines, transparent data-use protocols, responsibilities for monitoring and review, and periodic evaluation cycles linking technology deployment to sustainability performance.</w:t>
      </w:r>
    </w:p>
    <w:p w14:paraId="70CD77CF" w14:textId="54AE2619" w:rsidR="004A2BB6" w:rsidRPr="00B14418" w:rsidRDefault="00717014" w:rsidP="00717014">
      <w:pPr>
        <w:bidi w:val="0"/>
        <w:spacing w:line="360" w:lineRule="auto"/>
        <w:jc w:val="center"/>
        <w:rPr>
          <w:rFonts w:cstheme="minorHAnsi"/>
          <w:b/>
          <w:bCs/>
        </w:rPr>
      </w:pPr>
      <w:r w:rsidRPr="00717014">
        <w:rPr>
          <w:rFonts w:cstheme="minorHAnsi"/>
          <w:b/>
          <w:bCs/>
        </w:rPr>
        <w:t xml:space="preserve">[Insert Table </w:t>
      </w:r>
      <w:r>
        <w:rPr>
          <w:rFonts w:cstheme="minorHAnsi"/>
          <w:b/>
          <w:bCs/>
        </w:rPr>
        <w:t>4</w:t>
      </w:r>
      <w:r w:rsidRPr="00717014">
        <w:rPr>
          <w:rFonts w:cstheme="minorHAnsi"/>
          <w:b/>
          <w:bCs/>
        </w:rPr>
        <w:t xml:space="preserve"> here]</w:t>
      </w:r>
      <w:r w:rsidRPr="00717014">
        <w:rPr>
          <w:rFonts w:cstheme="minorHAnsi"/>
          <w:b/>
          <w:bCs/>
        </w:rPr>
        <w:t xml:space="preserve"> </w:t>
      </w:r>
      <w:r w:rsidR="00B14418" w:rsidRPr="00B14418">
        <w:rPr>
          <w:rFonts w:cstheme="minorHAnsi"/>
          <w:b/>
          <w:bCs/>
        </w:rPr>
        <w:t>(</w:t>
      </w:r>
      <w:r w:rsidR="004A2BB6" w:rsidRPr="00B14418">
        <w:rPr>
          <w:rFonts w:cstheme="minorHAnsi"/>
          <w:b/>
          <w:bCs/>
        </w:rPr>
        <w:t>Table 4: Condensed actionable implications framework (metadata-bounded)</w:t>
      </w:r>
      <w:r w:rsidR="00B14418" w:rsidRPr="00B14418">
        <w:rPr>
          <w:rFonts w:cstheme="minorHAnsi"/>
          <w:b/>
          <w:bCs/>
        </w:rPr>
        <w:t>)</w:t>
      </w:r>
    </w:p>
    <w:p w14:paraId="301E4F0A" w14:textId="27C5F825" w:rsidR="0027542B" w:rsidRPr="0027542B" w:rsidRDefault="0027542B" w:rsidP="004A2BB6">
      <w:pPr>
        <w:bidi w:val="0"/>
        <w:spacing w:line="360" w:lineRule="auto"/>
        <w:jc w:val="both"/>
        <w:rPr>
          <w:rFonts w:cstheme="minorHAnsi"/>
          <w:b/>
          <w:bCs/>
        </w:rPr>
      </w:pPr>
      <w:r w:rsidRPr="0027542B">
        <w:rPr>
          <w:rFonts w:cstheme="minorHAnsi"/>
          <w:b/>
          <w:bCs/>
        </w:rPr>
        <w:t>7. Conclusion and future research</w:t>
      </w:r>
    </w:p>
    <w:p w14:paraId="15CAFEB0" w14:textId="56C7370E" w:rsidR="0027542B" w:rsidRPr="0027542B" w:rsidRDefault="0027542B" w:rsidP="0027542B">
      <w:pPr>
        <w:bidi w:val="0"/>
        <w:spacing w:line="360" w:lineRule="auto"/>
        <w:jc w:val="both"/>
        <w:rPr>
          <w:rFonts w:cstheme="minorHAnsi"/>
        </w:rPr>
      </w:pPr>
      <w:r>
        <w:rPr>
          <w:rFonts w:cstheme="minorHAnsi"/>
        </w:rPr>
        <w:tab/>
      </w:r>
      <w:r w:rsidRPr="0027542B">
        <w:rPr>
          <w:rFonts w:cstheme="minorHAnsi"/>
        </w:rPr>
        <w:t xml:space="preserve">This study mapped the literature on technological innovation in sustainable tourism using a bibliometric dataset of 1,044 Scopus-indexed journal articles published between 2010 and 2023. The findings show a field that has expanded rapidly and developed a visible conceptual core organised around smart tourism, digital transformation, artificial intelligence, </w:t>
      </w:r>
      <w:r w:rsidRPr="0027542B">
        <w:rPr>
          <w:rFonts w:cstheme="minorHAnsi"/>
        </w:rPr>
        <w:lastRenderedPageBreak/>
        <w:t>and broad sustainability-related themes. At the same time, the analysis reveals uneven contributor visibility, concentration of output and citation influence within a relatively narrow country core, and weaker centrality of governance-oriented constructs within the dominant conceptual space.</w:t>
      </w:r>
    </w:p>
    <w:p w14:paraId="2799676D" w14:textId="1812C40A" w:rsidR="0027542B" w:rsidRPr="0027542B" w:rsidRDefault="0027542B" w:rsidP="0027542B">
      <w:pPr>
        <w:bidi w:val="0"/>
        <w:spacing w:line="360" w:lineRule="auto"/>
        <w:jc w:val="both"/>
        <w:rPr>
          <w:rFonts w:cstheme="minorHAnsi"/>
        </w:rPr>
      </w:pPr>
      <w:r>
        <w:rPr>
          <w:rFonts w:cstheme="minorHAnsi"/>
        </w:rPr>
        <w:tab/>
      </w:r>
      <w:r w:rsidRPr="0027542B">
        <w:rPr>
          <w:rFonts w:cstheme="minorHAnsi"/>
        </w:rPr>
        <w:t>The main contribution of the paper lies in moving beyond descriptive mapping toward a more diagnostic interpretation of the field. The study shows that the organisation of the literature itself is analytically meaningful: it reveals which themes are most visible, which actors occupy more central positions, and which concerns remain less prominent despite their importance for sustainability-oriented tourism research. In particular, the findings suggest that the field remains more strongly oriented toward technology-centred narratives than toward the governance, accountability, and measurement conditions needed to connect innovation with credible sustainability outcomes.</w:t>
      </w:r>
    </w:p>
    <w:p w14:paraId="5206175C" w14:textId="77777777" w:rsidR="008C17EA" w:rsidRPr="008C17EA" w:rsidRDefault="0027542B" w:rsidP="008C17EA">
      <w:pPr>
        <w:bidi w:val="0"/>
        <w:spacing w:line="360" w:lineRule="auto"/>
        <w:jc w:val="both"/>
        <w:rPr>
          <w:rFonts w:cstheme="minorHAnsi"/>
        </w:rPr>
      </w:pPr>
      <w:r>
        <w:rPr>
          <w:rFonts w:cstheme="minorHAnsi"/>
        </w:rPr>
        <w:tab/>
      </w:r>
      <w:r w:rsidR="008C17EA" w:rsidRPr="008C17EA">
        <w:rPr>
          <w:rFonts w:cstheme="minorHAnsi"/>
        </w:rPr>
        <w:t>Methodologically, the study also contributes by emphasising transparent dataset construction, validation, and cautious interpretation of bibliometric outputs. Rather than treating keyword maps and collaboration networks as self-explanatory, it uses them to examine how knowledge is structured and where stronger conceptual balance may still be needed. This makes the paper relevant not only to research on sustainable tourism and innovation, but also to wider discussions about how bibliometric studies can contribute theoretically to mature and fast-growing domains.</w:t>
      </w:r>
    </w:p>
    <w:p w14:paraId="79C45CA7" w14:textId="4EBAFB1D" w:rsidR="0027542B" w:rsidRPr="0027542B" w:rsidRDefault="0027542B" w:rsidP="008C17EA">
      <w:pPr>
        <w:bidi w:val="0"/>
        <w:spacing w:line="360" w:lineRule="auto"/>
        <w:jc w:val="both"/>
        <w:rPr>
          <w:rFonts w:cstheme="minorHAnsi"/>
        </w:rPr>
      </w:pPr>
      <w:r>
        <w:rPr>
          <w:rFonts w:cstheme="minorHAnsi"/>
        </w:rPr>
        <w:tab/>
      </w:r>
      <w:r w:rsidRPr="0027542B">
        <w:rPr>
          <w:rFonts w:cstheme="minorHAnsi"/>
        </w:rPr>
        <w:t>Several limitations should be acknowledged. The analysis was restricted to English-language journal articles indexed in Scopus, which means that relevant work from other databases, languages, or publication types may not have been captured. In addition, bibliometric analysis operates at the level of publication metadata and therefore cannot directly verify policy effectiveness, destination performance, or real-world sustainability outcomes. The findings should therefore be interpreted as evidence of knowledge structures, concentration, and governance visibility within the selected corpus rather than as direct proof of how technological innovation functions in practice.</w:t>
      </w:r>
    </w:p>
    <w:p w14:paraId="6541A4F5" w14:textId="6CF5722C" w:rsidR="00054276" w:rsidRDefault="0027542B" w:rsidP="00F02172">
      <w:pPr>
        <w:bidi w:val="0"/>
        <w:spacing w:line="360" w:lineRule="auto"/>
        <w:jc w:val="both"/>
        <w:rPr>
          <w:rFonts w:cstheme="minorHAnsi"/>
        </w:rPr>
      </w:pPr>
      <w:r>
        <w:rPr>
          <w:rFonts w:cstheme="minorHAnsi"/>
        </w:rPr>
        <w:tab/>
      </w:r>
      <w:r w:rsidRPr="0027542B">
        <w:rPr>
          <w:rFonts w:cstheme="minorHAnsi"/>
        </w:rPr>
        <w:t xml:space="preserve">Future research can extend this study in several ways. First, broader multi-database designs could be used to test the robustness of the patterns identified here. Second, qualitative or mixed-method reviews could examine more closely how governance, accountability, and sustainability outcomes are conceptualised within the most influential streams of literature. Third, comparative work across regions or destination types could help clarify how institutional conditions shape the relationship between technological innovation </w:t>
      </w:r>
      <w:r w:rsidRPr="0027542B">
        <w:rPr>
          <w:rFonts w:cstheme="minorHAnsi"/>
        </w:rPr>
        <w:lastRenderedPageBreak/>
        <w:t>and sustainability in practice. Such work would deepen current understanding by moving from mapping the field toward examining how its most visible narratives are translated into evaluable and context-sensitive forms of tourism development.</w:t>
      </w:r>
    </w:p>
    <w:p w14:paraId="2DEE324D" w14:textId="77777777" w:rsidR="002A0E83" w:rsidRDefault="002A0E83" w:rsidP="002A0E83">
      <w:pPr>
        <w:bidi w:val="0"/>
        <w:spacing w:line="360" w:lineRule="auto"/>
        <w:jc w:val="both"/>
        <w:rPr>
          <w:rFonts w:cstheme="minorHAnsi"/>
        </w:rPr>
      </w:pPr>
    </w:p>
    <w:p w14:paraId="32E21D1C" w14:textId="77777777" w:rsidR="00066E6D" w:rsidRDefault="002A0E83" w:rsidP="002A0E83">
      <w:pPr>
        <w:bidi w:val="0"/>
        <w:spacing w:after="0" w:line="360" w:lineRule="auto"/>
        <w:rPr>
          <w:rFonts w:cstheme="minorHAnsi"/>
        </w:rPr>
      </w:pPr>
      <w:r w:rsidRPr="002A0E83">
        <w:rPr>
          <w:rFonts w:cstheme="minorHAnsi"/>
          <w:b/>
          <w:bCs/>
        </w:rPr>
        <w:t>Declarations</w:t>
      </w:r>
      <w:r w:rsidRPr="002A0E83">
        <w:rPr>
          <w:rFonts w:cstheme="minorHAnsi"/>
        </w:rPr>
        <w:br/>
      </w:r>
      <w:r w:rsidRPr="002A0E83">
        <w:rPr>
          <w:rFonts w:cstheme="minorHAnsi"/>
          <w:b/>
          <w:bCs/>
        </w:rPr>
        <w:t>Funding Declaration</w:t>
      </w:r>
      <w:r w:rsidRPr="002A0E83">
        <w:rPr>
          <w:rFonts w:cstheme="minorHAnsi"/>
        </w:rPr>
        <w:t>: This research received no external funding.</w:t>
      </w:r>
      <w:r w:rsidRPr="002A0E83">
        <w:rPr>
          <w:rFonts w:cstheme="minorHAnsi"/>
        </w:rPr>
        <w:br/>
      </w:r>
      <w:r w:rsidRPr="002A0E83">
        <w:rPr>
          <w:rFonts w:cstheme="minorHAnsi"/>
          <w:b/>
          <w:bCs/>
        </w:rPr>
        <w:t>Conflict of Interest</w:t>
      </w:r>
      <w:r w:rsidRPr="002A0E83">
        <w:rPr>
          <w:rFonts w:cstheme="minorHAnsi"/>
        </w:rPr>
        <w:t>: The authors declare no conflict of interest.</w:t>
      </w:r>
    </w:p>
    <w:p w14:paraId="5FFA818D" w14:textId="4E7E560B" w:rsidR="002A0E83" w:rsidRPr="002A0E83" w:rsidRDefault="00066E6D" w:rsidP="00066E6D">
      <w:pPr>
        <w:bidi w:val="0"/>
        <w:spacing w:after="0" w:line="360" w:lineRule="auto"/>
        <w:rPr>
          <w:rFonts w:cstheme="minorHAnsi"/>
        </w:rPr>
      </w:pPr>
      <w:r w:rsidRPr="00066E6D">
        <w:rPr>
          <w:rFonts w:cstheme="minorHAnsi"/>
          <w:b/>
          <w:bCs/>
        </w:rPr>
        <w:t xml:space="preserve">Data Availability Statement: </w:t>
      </w:r>
      <w:r w:rsidRPr="00066E6D">
        <w:rPr>
          <w:rFonts w:cstheme="minorHAnsi"/>
        </w:rPr>
        <w:t>Not applicable.</w:t>
      </w:r>
      <w:r w:rsidR="002A0E83" w:rsidRPr="002A0E83">
        <w:rPr>
          <w:rFonts w:cstheme="minorHAnsi"/>
        </w:rPr>
        <w:br/>
      </w:r>
      <w:r w:rsidR="002A0E83" w:rsidRPr="002A0E83">
        <w:rPr>
          <w:rFonts w:cstheme="minorHAnsi"/>
          <w:b/>
          <w:bCs/>
        </w:rPr>
        <w:t>Consent to Publish declaration</w:t>
      </w:r>
      <w:r w:rsidR="002A0E83" w:rsidRPr="002A0E83">
        <w:rPr>
          <w:rFonts w:cstheme="minorHAnsi"/>
        </w:rPr>
        <w:t>: not applicable.</w:t>
      </w:r>
      <w:r w:rsidR="002A0E83" w:rsidRPr="002A0E83">
        <w:rPr>
          <w:rFonts w:cstheme="minorHAnsi"/>
        </w:rPr>
        <w:br/>
      </w:r>
      <w:r w:rsidR="002A0E83" w:rsidRPr="002A0E83">
        <w:rPr>
          <w:rFonts w:cstheme="minorHAnsi"/>
          <w:b/>
          <w:bCs/>
        </w:rPr>
        <w:t>Consent to Participate declaration</w:t>
      </w:r>
      <w:r w:rsidR="002A0E83" w:rsidRPr="002A0E83">
        <w:rPr>
          <w:rFonts w:cstheme="minorHAnsi"/>
        </w:rPr>
        <w:t>: not applicable.</w:t>
      </w:r>
      <w:r w:rsidR="002A0E83" w:rsidRPr="002A0E83">
        <w:rPr>
          <w:rFonts w:cstheme="minorHAnsi"/>
        </w:rPr>
        <w:br/>
      </w:r>
      <w:r w:rsidR="002A0E83" w:rsidRPr="002A0E83">
        <w:rPr>
          <w:rFonts w:cstheme="minorHAnsi"/>
          <w:b/>
          <w:bCs/>
        </w:rPr>
        <w:t>Ethics declaration</w:t>
      </w:r>
      <w:r w:rsidR="002A0E83" w:rsidRPr="002A0E83">
        <w:rPr>
          <w:rFonts w:cstheme="minorHAnsi"/>
        </w:rPr>
        <w:t>: not applicable.</w:t>
      </w:r>
    </w:p>
    <w:p w14:paraId="5AF89092" w14:textId="77777777" w:rsidR="002A0E83" w:rsidRDefault="002A0E83" w:rsidP="002A0E83">
      <w:pPr>
        <w:bidi w:val="0"/>
        <w:spacing w:line="360" w:lineRule="auto"/>
        <w:jc w:val="both"/>
        <w:rPr>
          <w:rFonts w:cstheme="minorHAnsi"/>
        </w:rPr>
      </w:pPr>
    </w:p>
    <w:p w14:paraId="04E70E07" w14:textId="77777777" w:rsidR="00C558E8" w:rsidRDefault="00C558E8" w:rsidP="00C558E8">
      <w:pPr>
        <w:bidi w:val="0"/>
        <w:spacing w:line="360" w:lineRule="auto"/>
        <w:jc w:val="both"/>
        <w:rPr>
          <w:rFonts w:cstheme="minorHAnsi"/>
        </w:rPr>
      </w:pPr>
    </w:p>
    <w:p w14:paraId="1672CDBC" w14:textId="77777777" w:rsidR="002A0E83" w:rsidRDefault="002A0E83" w:rsidP="002A0E83">
      <w:pPr>
        <w:bidi w:val="0"/>
        <w:spacing w:line="360" w:lineRule="auto"/>
        <w:jc w:val="both"/>
        <w:rPr>
          <w:rFonts w:cstheme="minorHAnsi"/>
        </w:rPr>
      </w:pPr>
    </w:p>
    <w:p w14:paraId="60AD3DAD" w14:textId="77777777" w:rsidR="002A0E83" w:rsidRDefault="002A0E83" w:rsidP="002A0E83">
      <w:pPr>
        <w:bidi w:val="0"/>
        <w:spacing w:line="360" w:lineRule="auto"/>
        <w:jc w:val="both"/>
        <w:rPr>
          <w:rFonts w:cstheme="minorHAnsi"/>
        </w:rPr>
      </w:pPr>
    </w:p>
    <w:p w14:paraId="0B589CFC" w14:textId="77777777" w:rsidR="002A0E83" w:rsidRDefault="002A0E83" w:rsidP="002A0E83">
      <w:pPr>
        <w:bidi w:val="0"/>
        <w:spacing w:line="360" w:lineRule="auto"/>
        <w:jc w:val="both"/>
        <w:rPr>
          <w:rFonts w:cstheme="minorHAnsi"/>
        </w:rPr>
      </w:pPr>
    </w:p>
    <w:p w14:paraId="2FCBC5DF" w14:textId="77777777" w:rsidR="002A0E83" w:rsidRDefault="002A0E83" w:rsidP="002A0E83">
      <w:pPr>
        <w:bidi w:val="0"/>
        <w:spacing w:line="360" w:lineRule="auto"/>
        <w:jc w:val="both"/>
        <w:rPr>
          <w:rFonts w:cstheme="minorHAnsi"/>
        </w:rPr>
      </w:pPr>
    </w:p>
    <w:p w14:paraId="4C23D6A0" w14:textId="77777777" w:rsidR="002A0E83" w:rsidRDefault="002A0E83" w:rsidP="002A0E83">
      <w:pPr>
        <w:bidi w:val="0"/>
        <w:spacing w:line="360" w:lineRule="auto"/>
        <w:jc w:val="both"/>
        <w:rPr>
          <w:rFonts w:cstheme="minorHAnsi"/>
        </w:rPr>
      </w:pPr>
    </w:p>
    <w:p w14:paraId="55DD4436" w14:textId="77777777" w:rsidR="002A0E83" w:rsidRDefault="002A0E83" w:rsidP="002A0E83">
      <w:pPr>
        <w:bidi w:val="0"/>
        <w:spacing w:line="360" w:lineRule="auto"/>
        <w:jc w:val="both"/>
        <w:rPr>
          <w:rFonts w:cstheme="minorHAnsi"/>
        </w:rPr>
      </w:pPr>
    </w:p>
    <w:p w14:paraId="1242AA97" w14:textId="77777777" w:rsidR="002A0E83" w:rsidRDefault="002A0E83" w:rsidP="002A0E83">
      <w:pPr>
        <w:bidi w:val="0"/>
        <w:spacing w:line="360" w:lineRule="auto"/>
        <w:jc w:val="both"/>
        <w:rPr>
          <w:rFonts w:cstheme="minorHAnsi"/>
        </w:rPr>
      </w:pPr>
    </w:p>
    <w:p w14:paraId="18C7D1FC" w14:textId="77777777" w:rsidR="002A0E83" w:rsidRDefault="002A0E83" w:rsidP="002A0E83">
      <w:pPr>
        <w:bidi w:val="0"/>
        <w:spacing w:line="360" w:lineRule="auto"/>
        <w:jc w:val="both"/>
        <w:rPr>
          <w:rFonts w:cstheme="minorHAnsi"/>
        </w:rPr>
      </w:pPr>
    </w:p>
    <w:p w14:paraId="661CEABE" w14:textId="77777777" w:rsidR="002A0E83" w:rsidRDefault="002A0E83" w:rsidP="002A0E83">
      <w:pPr>
        <w:bidi w:val="0"/>
        <w:spacing w:line="360" w:lineRule="auto"/>
        <w:jc w:val="both"/>
        <w:rPr>
          <w:rFonts w:cstheme="minorHAnsi"/>
        </w:rPr>
      </w:pPr>
    </w:p>
    <w:p w14:paraId="39A113A0" w14:textId="77777777" w:rsidR="002A0E83" w:rsidRDefault="002A0E83" w:rsidP="002A0E83">
      <w:pPr>
        <w:bidi w:val="0"/>
        <w:spacing w:line="360" w:lineRule="auto"/>
        <w:jc w:val="both"/>
        <w:rPr>
          <w:rFonts w:cstheme="minorHAnsi"/>
        </w:rPr>
      </w:pPr>
    </w:p>
    <w:p w14:paraId="4726DE9C" w14:textId="77777777" w:rsidR="002A0E83" w:rsidRDefault="002A0E83" w:rsidP="002A0E83">
      <w:pPr>
        <w:bidi w:val="0"/>
        <w:spacing w:line="360" w:lineRule="auto"/>
        <w:jc w:val="both"/>
        <w:rPr>
          <w:rFonts w:cstheme="minorHAnsi"/>
        </w:rPr>
      </w:pPr>
    </w:p>
    <w:p w14:paraId="0783E7F5" w14:textId="77777777" w:rsidR="002A0E83" w:rsidRDefault="002A0E83" w:rsidP="002A0E83">
      <w:pPr>
        <w:bidi w:val="0"/>
        <w:spacing w:line="360" w:lineRule="auto"/>
        <w:jc w:val="both"/>
        <w:rPr>
          <w:rFonts w:cstheme="minorHAnsi"/>
        </w:rPr>
      </w:pPr>
    </w:p>
    <w:p w14:paraId="73ECD5B7" w14:textId="77777777" w:rsidR="002A0E83" w:rsidRDefault="002A0E83" w:rsidP="002A0E83">
      <w:pPr>
        <w:bidi w:val="0"/>
        <w:spacing w:line="360" w:lineRule="auto"/>
        <w:jc w:val="both"/>
        <w:rPr>
          <w:rFonts w:cstheme="minorHAnsi"/>
        </w:rPr>
      </w:pPr>
    </w:p>
    <w:p w14:paraId="3E2A3154" w14:textId="77777777" w:rsidR="002A0E83" w:rsidRDefault="002A0E83" w:rsidP="002A0E83">
      <w:pPr>
        <w:bidi w:val="0"/>
        <w:spacing w:line="360" w:lineRule="auto"/>
        <w:jc w:val="both"/>
        <w:rPr>
          <w:rFonts w:cstheme="minorHAnsi"/>
        </w:rPr>
      </w:pPr>
    </w:p>
    <w:p w14:paraId="2257642F" w14:textId="77777777" w:rsidR="00C33269" w:rsidRPr="00C33269" w:rsidRDefault="00C33269" w:rsidP="000C323A">
      <w:pPr>
        <w:bidi w:val="0"/>
        <w:spacing w:line="276" w:lineRule="auto"/>
        <w:jc w:val="both"/>
        <w:rPr>
          <w:rFonts w:cstheme="minorHAnsi"/>
          <w:b/>
          <w:bCs/>
        </w:rPr>
      </w:pPr>
      <w:r w:rsidRPr="00C33269">
        <w:rPr>
          <w:rFonts w:cstheme="minorHAnsi"/>
          <w:b/>
          <w:bCs/>
        </w:rPr>
        <w:lastRenderedPageBreak/>
        <w:t>References</w:t>
      </w:r>
    </w:p>
    <w:p w14:paraId="0E1C1962" w14:textId="77777777" w:rsidR="00F02172" w:rsidRDefault="00C33269" w:rsidP="000C323A">
      <w:pPr>
        <w:bidi w:val="0"/>
        <w:spacing w:line="276" w:lineRule="auto"/>
        <w:jc w:val="both"/>
        <w:rPr>
          <w:rFonts w:cstheme="minorHAnsi"/>
        </w:rPr>
      </w:pPr>
      <w:bookmarkStart w:id="0" w:name="Abdelmalak2025"/>
      <w:r w:rsidRPr="00C33269">
        <w:rPr>
          <w:rFonts w:cstheme="minorHAnsi"/>
        </w:rPr>
        <w:t xml:space="preserve">Abdelmalak, F. (2025). </w:t>
      </w:r>
      <w:bookmarkEnd w:id="0"/>
      <w:r w:rsidRPr="00C33269">
        <w:rPr>
          <w:rFonts w:cstheme="minorHAnsi"/>
        </w:rPr>
        <w:t xml:space="preserve">Smart tourism governance: An institutional perspective on </w:t>
      </w:r>
      <w:r w:rsidR="00F02172">
        <w:rPr>
          <w:rFonts w:cstheme="minorHAnsi"/>
        </w:rPr>
        <w:tab/>
      </w:r>
      <w:r w:rsidRPr="00C33269">
        <w:rPr>
          <w:rFonts w:cstheme="minorHAnsi"/>
        </w:rPr>
        <w:t xml:space="preserve">sustainability, innovation, and resilience. </w:t>
      </w:r>
      <w:r w:rsidRPr="00C33269">
        <w:rPr>
          <w:rFonts w:cstheme="minorHAnsi"/>
          <w:i/>
          <w:iCs/>
        </w:rPr>
        <w:t>Journal of Smart Tourism, 5</w:t>
      </w:r>
      <w:r w:rsidRPr="00C33269">
        <w:rPr>
          <w:rFonts w:cstheme="minorHAnsi"/>
        </w:rPr>
        <w:t xml:space="preserve">(4), 185–202. </w:t>
      </w:r>
      <w:r w:rsidR="00F02172">
        <w:tab/>
      </w:r>
      <w:hyperlink r:id="rId9" w:history="1">
        <w:r w:rsidR="00F02172" w:rsidRPr="002C63AB">
          <w:rPr>
            <w:rStyle w:val="Hyperlink"/>
            <w:rFonts w:cstheme="minorHAnsi"/>
          </w:rPr>
          <w:t>https://doi.org/10.1177/27652157251380629</w:t>
        </w:r>
      </w:hyperlink>
    </w:p>
    <w:p w14:paraId="780D3038" w14:textId="22C40870" w:rsidR="00C33269" w:rsidRPr="00C33269" w:rsidRDefault="00C33269" w:rsidP="000C323A">
      <w:pPr>
        <w:bidi w:val="0"/>
        <w:spacing w:line="276" w:lineRule="auto"/>
        <w:jc w:val="both"/>
        <w:rPr>
          <w:rFonts w:cstheme="minorHAnsi"/>
        </w:rPr>
      </w:pPr>
      <w:bookmarkStart w:id="1" w:name="AriaMCuccurullo201"/>
      <w:r w:rsidRPr="00C33269">
        <w:rPr>
          <w:rFonts w:cstheme="minorHAnsi"/>
        </w:rPr>
        <w:t xml:space="preserve">Aria, M., &amp; Cuccurullo, C. (2017). </w:t>
      </w:r>
      <w:bookmarkEnd w:id="1"/>
      <w:r w:rsidRPr="00C33269">
        <w:rPr>
          <w:rFonts w:cstheme="minorHAnsi"/>
        </w:rPr>
        <w:t xml:space="preserve">Bibliometrix: An R-tool for comprehensive science mapping </w:t>
      </w:r>
      <w:r w:rsidR="00F02172">
        <w:rPr>
          <w:rFonts w:cstheme="minorHAnsi"/>
        </w:rPr>
        <w:tab/>
      </w:r>
      <w:r w:rsidRPr="00C33269">
        <w:rPr>
          <w:rFonts w:cstheme="minorHAnsi"/>
        </w:rPr>
        <w:t xml:space="preserve">analysis. </w:t>
      </w:r>
      <w:r w:rsidRPr="00C33269">
        <w:rPr>
          <w:rFonts w:cstheme="minorHAnsi"/>
          <w:i/>
          <w:iCs/>
        </w:rPr>
        <w:t>Journal of Informetrics, 11</w:t>
      </w:r>
      <w:r w:rsidRPr="00C33269">
        <w:rPr>
          <w:rFonts w:cstheme="minorHAnsi"/>
        </w:rPr>
        <w:t xml:space="preserve">(4), 959–975. </w:t>
      </w:r>
      <w:r w:rsidR="00F02172">
        <w:tab/>
      </w:r>
      <w:hyperlink r:id="rId10" w:history="1">
        <w:r w:rsidR="00F02172" w:rsidRPr="002C63AB">
          <w:rPr>
            <w:rStyle w:val="Hyperlink"/>
            <w:rFonts w:cstheme="minorHAnsi"/>
          </w:rPr>
          <w:t>https://doi.org/10.1016/j.joi.2017.08.007</w:t>
        </w:r>
      </w:hyperlink>
    </w:p>
    <w:p w14:paraId="2CFFBFDE" w14:textId="66F1DDD5" w:rsidR="00C33269" w:rsidRPr="00C33269" w:rsidRDefault="00C33269" w:rsidP="000C323A">
      <w:pPr>
        <w:bidi w:val="0"/>
        <w:spacing w:line="276" w:lineRule="auto"/>
        <w:jc w:val="both"/>
        <w:rPr>
          <w:rFonts w:cstheme="minorHAnsi"/>
        </w:rPr>
      </w:pPr>
      <w:bookmarkStart w:id="2" w:name="Buhalis"/>
      <w:r w:rsidRPr="00C33269">
        <w:rPr>
          <w:rFonts w:cstheme="minorHAnsi"/>
        </w:rPr>
        <w:t>Buhalis</w:t>
      </w:r>
      <w:bookmarkEnd w:id="2"/>
      <w:r w:rsidRPr="00C33269">
        <w:rPr>
          <w:rFonts w:cstheme="minorHAnsi"/>
        </w:rPr>
        <w:t xml:space="preserve">, D., &amp; Amaranggana, A. (2014). Smart tourism destinations: Enhancing tourism </w:t>
      </w:r>
      <w:r w:rsidR="00F02172">
        <w:rPr>
          <w:rFonts w:cstheme="minorHAnsi"/>
        </w:rPr>
        <w:tab/>
      </w:r>
      <w:r w:rsidRPr="00C33269">
        <w:rPr>
          <w:rFonts w:cstheme="minorHAnsi"/>
        </w:rPr>
        <w:t xml:space="preserve">experience through personalisation of services. In Z. Xiang &amp; I. Tussyadiah (Eds.), </w:t>
      </w:r>
      <w:r w:rsidR="00F02172">
        <w:rPr>
          <w:rFonts w:cstheme="minorHAnsi"/>
          <w:i/>
          <w:iCs/>
        </w:rPr>
        <w:tab/>
      </w:r>
      <w:r w:rsidRPr="00C33269">
        <w:rPr>
          <w:rFonts w:cstheme="minorHAnsi"/>
          <w:i/>
          <w:iCs/>
        </w:rPr>
        <w:t>Information and communication technologies in tourism 2014</w:t>
      </w:r>
      <w:r w:rsidRPr="00C33269">
        <w:rPr>
          <w:rFonts w:cstheme="minorHAnsi"/>
        </w:rPr>
        <w:t xml:space="preserve"> (pp. 553–564). Springer. </w:t>
      </w:r>
      <w:r w:rsidR="00F02172">
        <w:tab/>
      </w:r>
      <w:hyperlink r:id="rId11" w:history="1">
        <w:r w:rsidR="00F02172" w:rsidRPr="002C63AB">
          <w:rPr>
            <w:rStyle w:val="Hyperlink"/>
            <w:rFonts w:cstheme="minorHAnsi"/>
          </w:rPr>
          <w:t>https://doi.org/10.1007/978-3-319-03973-2_40</w:t>
        </w:r>
      </w:hyperlink>
    </w:p>
    <w:p w14:paraId="6A70744C" w14:textId="064CD2E9" w:rsidR="00C33269" w:rsidRPr="00C33269" w:rsidRDefault="00C33269" w:rsidP="000C323A">
      <w:pPr>
        <w:bidi w:val="0"/>
        <w:spacing w:line="276" w:lineRule="auto"/>
        <w:jc w:val="both"/>
        <w:rPr>
          <w:rFonts w:cstheme="minorHAnsi"/>
        </w:rPr>
      </w:pPr>
      <w:bookmarkStart w:id="3" w:name="Çakar"/>
      <w:r w:rsidRPr="00C33269">
        <w:rPr>
          <w:rFonts w:cstheme="minorHAnsi"/>
        </w:rPr>
        <w:t>Çakar</w:t>
      </w:r>
      <w:bookmarkEnd w:id="3"/>
      <w:r w:rsidRPr="00C33269">
        <w:rPr>
          <w:rFonts w:cstheme="minorHAnsi"/>
        </w:rPr>
        <w:t xml:space="preserve">, K. (2023). Towards an ICT-led tourism governance: A systematic literature review. </w:t>
      </w:r>
      <w:r w:rsidR="00F02172">
        <w:rPr>
          <w:rFonts w:cstheme="minorHAnsi"/>
          <w:i/>
          <w:iCs/>
        </w:rPr>
        <w:tab/>
      </w:r>
      <w:r w:rsidRPr="00C33269">
        <w:rPr>
          <w:rFonts w:cstheme="minorHAnsi"/>
          <w:i/>
          <w:iCs/>
        </w:rPr>
        <w:t>European Journal of Tourism Research, 34</w:t>
      </w:r>
      <w:r w:rsidRPr="00C33269">
        <w:rPr>
          <w:rFonts w:cstheme="minorHAnsi"/>
        </w:rPr>
        <w:t xml:space="preserve">, Article 3404. </w:t>
      </w:r>
      <w:r w:rsidR="00F02172">
        <w:tab/>
      </w:r>
      <w:hyperlink r:id="rId12" w:history="1">
        <w:r w:rsidR="00F02172" w:rsidRPr="002C63AB">
          <w:rPr>
            <w:rStyle w:val="Hyperlink"/>
            <w:rFonts w:cstheme="minorHAnsi"/>
          </w:rPr>
          <w:t>https://doi.org/10.54055/ejtr.v34i.2471</w:t>
        </w:r>
      </w:hyperlink>
    </w:p>
    <w:p w14:paraId="073BBA2A" w14:textId="77777777" w:rsidR="00F02172" w:rsidRDefault="00C33269" w:rsidP="000C323A">
      <w:pPr>
        <w:bidi w:val="0"/>
        <w:spacing w:line="276" w:lineRule="auto"/>
        <w:jc w:val="both"/>
        <w:rPr>
          <w:rFonts w:cstheme="minorHAnsi"/>
        </w:rPr>
      </w:pPr>
      <w:bookmarkStart w:id="4" w:name="Donthu"/>
      <w:r w:rsidRPr="00C33269">
        <w:rPr>
          <w:rFonts w:cstheme="minorHAnsi"/>
        </w:rPr>
        <w:t>Donthu</w:t>
      </w:r>
      <w:bookmarkEnd w:id="4"/>
      <w:r w:rsidRPr="00C33269">
        <w:rPr>
          <w:rFonts w:cstheme="minorHAnsi"/>
        </w:rPr>
        <w:t xml:space="preserve">, N., Kumar, S., Mukherjee, D., Pandey, N., &amp; Lim, W. M. (2021). How to conduct a </w:t>
      </w:r>
      <w:r w:rsidR="00F02172">
        <w:rPr>
          <w:rFonts w:cstheme="minorHAnsi"/>
        </w:rPr>
        <w:tab/>
      </w:r>
      <w:r w:rsidRPr="00C33269">
        <w:rPr>
          <w:rFonts w:cstheme="minorHAnsi"/>
        </w:rPr>
        <w:t xml:space="preserve">bibliometric analysis: An overview and guidelines. </w:t>
      </w:r>
      <w:r w:rsidRPr="00C33269">
        <w:rPr>
          <w:rFonts w:cstheme="minorHAnsi"/>
          <w:i/>
          <w:iCs/>
        </w:rPr>
        <w:t>Journal of Business Research, 133</w:t>
      </w:r>
      <w:r w:rsidRPr="00C33269">
        <w:rPr>
          <w:rFonts w:cstheme="minorHAnsi"/>
        </w:rPr>
        <w:t xml:space="preserve">, </w:t>
      </w:r>
      <w:r w:rsidR="00F02172">
        <w:rPr>
          <w:rFonts w:cstheme="minorHAnsi"/>
        </w:rPr>
        <w:tab/>
      </w:r>
      <w:r w:rsidRPr="00C33269">
        <w:rPr>
          <w:rFonts w:cstheme="minorHAnsi"/>
        </w:rPr>
        <w:t xml:space="preserve">285–296. </w:t>
      </w:r>
      <w:hyperlink r:id="rId13" w:tgtFrame="_new" w:history="1">
        <w:r w:rsidRPr="00C33269">
          <w:rPr>
            <w:rStyle w:val="Hyperlink"/>
            <w:rFonts w:cstheme="minorHAnsi"/>
          </w:rPr>
          <w:t>https://doi.org/10.1016/j.jbusres.2021.04.070</w:t>
        </w:r>
      </w:hyperlink>
    </w:p>
    <w:p w14:paraId="349DB443" w14:textId="526342A6" w:rsidR="00C33269" w:rsidRPr="00C33269" w:rsidRDefault="00C33269" w:rsidP="000C323A">
      <w:pPr>
        <w:bidi w:val="0"/>
        <w:spacing w:line="276" w:lineRule="auto"/>
        <w:jc w:val="both"/>
        <w:rPr>
          <w:rFonts w:cstheme="minorHAnsi"/>
        </w:rPr>
      </w:pPr>
      <w:bookmarkStart w:id="5" w:name="Gelter"/>
      <w:r w:rsidRPr="00C33269">
        <w:rPr>
          <w:rFonts w:cstheme="minorHAnsi"/>
        </w:rPr>
        <w:t>Gelter</w:t>
      </w:r>
      <w:bookmarkEnd w:id="5"/>
      <w:r w:rsidRPr="00C33269">
        <w:rPr>
          <w:rFonts w:cstheme="minorHAnsi"/>
        </w:rPr>
        <w:t xml:space="preserve">, J., Aall, C., &amp; Dodds, R. (2021). A meta-narrative analysis of smart tourism </w:t>
      </w:r>
      <w:r w:rsidR="00F02172">
        <w:rPr>
          <w:rFonts w:cstheme="minorHAnsi"/>
        </w:rPr>
        <w:tab/>
      </w:r>
      <w:r w:rsidR="00F02172" w:rsidRPr="00C33269">
        <w:rPr>
          <w:rFonts w:cstheme="minorHAnsi"/>
        </w:rPr>
        <w:t>destinations: Implications</w:t>
      </w:r>
      <w:r w:rsidRPr="00C33269">
        <w:rPr>
          <w:rFonts w:cstheme="minorHAnsi"/>
        </w:rPr>
        <w:t xml:space="preserve"> for tourism destination management. </w:t>
      </w:r>
      <w:r w:rsidRPr="00C33269">
        <w:rPr>
          <w:rFonts w:cstheme="minorHAnsi"/>
          <w:i/>
          <w:iCs/>
        </w:rPr>
        <w:t xml:space="preserve">Current Issues in </w:t>
      </w:r>
      <w:r w:rsidR="00F02172">
        <w:rPr>
          <w:rFonts w:cstheme="minorHAnsi"/>
          <w:i/>
          <w:iCs/>
        </w:rPr>
        <w:tab/>
      </w:r>
      <w:r w:rsidRPr="00C33269">
        <w:rPr>
          <w:rFonts w:cstheme="minorHAnsi"/>
          <w:i/>
          <w:iCs/>
        </w:rPr>
        <w:t>Tourism, 24</w:t>
      </w:r>
      <w:r w:rsidRPr="00C33269">
        <w:rPr>
          <w:rFonts w:cstheme="minorHAnsi"/>
        </w:rPr>
        <w:t xml:space="preserve">(20), 2860–2874. </w:t>
      </w:r>
      <w:hyperlink r:id="rId14" w:tgtFrame="_new" w:history="1">
        <w:r w:rsidRPr="00C33269">
          <w:rPr>
            <w:rStyle w:val="Hyperlink"/>
            <w:rFonts w:cstheme="minorHAnsi"/>
          </w:rPr>
          <w:t>https://doi.org/10.1080/13683500.2020.1849048</w:t>
        </w:r>
      </w:hyperlink>
    </w:p>
    <w:p w14:paraId="2119476F" w14:textId="1963611D" w:rsidR="00C33269" w:rsidRPr="00C33269" w:rsidRDefault="00C33269" w:rsidP="000C323A">
      <w:pPr>
        <w:bidi w:val="0"/>
        <w:spacing w:line="276" w:lineRule="auto"/>
        <w:jc w:val="both"/>
        <w:rPr>
          <w:rFonts w:cstheme="minorHAnsi"/>
        </w:rPr>
      </w:pPr>
      <w:bookmarkStart w:id="6" w:name="Gretzel"/>
      <w:r w:rsidRPr="00C33269">
        <w:rPr>
          <w:rFonts w:cstheme="minorHAnsi"/>
        </w:rPr>
        <w:t>Gretzel</w:t>
      </w:r>
      <w:bookmarkEnd w:id="6"/>
      <w:r w:rsidRPr="00C33269">
        <w:rPr>
          <w:rFonts w:cstheme="minorHAnsi"/>
        </w:rPr>
        <w:t xml:space="preserve">, U., Sigala, M., Xiang, Z., &amp; Koo, C. (2015). Smart tourism: Foundations and </w:t>
      </w:r>
      <w:r w:rsidR="00F02172">
        <w:rPr>
          <w:rFonts w:cstheme="minorHAnsi"/>
        </w:rPr>
        <w:tab/>
      </w:r>
      <w:r w:rsidRPr="00C33269">
        <w:rPr>
          <w:rFonts w:cstheme="minorHAnsi"/>
        </w:rPr>
        <w:t xml:space="preserve">developments. </w:t>
      </w:r>
      <w:r w:rsidRPr="00C33269">
        <w:rPr>
          <w:rFonts w:cstheme="minorHAnsi"/>
          <w:i/>
          <w:iCs/>
        </w:rPr>
        <w:t>Electronic Markets, 25</w:t>
      </w:r>
      <w:r w:rsidRPr="00C33269">
        <w:rPr>
          <w:rFonts w:cstheme="minorHAnsi"/>
        </w:rPr>
        <w:t xml:space="preserve">(3), 179–188. </w:t>
      </w:r>
      <w:r w:rsidR="00F02172">
        <w:tab/>
      </w:r>
      <w:hyperlink r:id="rId15" w:history="1">
        <w:r w:rsidR="00F02172" w:rsidRPr="002C63AB">
          <w:rPr>
            <w:rStyle w:val="Hyperlink"/>
            <w:rFonts w:cstheme="minorHAnsi"/>
          </w:rPr>
          <w:t>https://doi.org/10.1007/s12525015-0196-8</w:t>
        </w:r>
      </w:hyperlink>
    </w:p>
    <w:p w14:paraId="61D61FAD" w14:textId="37C0B218" w:rsidR="00C33269" w:rsidRPr="00C33269" w:rsidRDefault="00C33269" w:rsidP="000C323A">
      <w:pPr>
        <w:bidi w:val="0"/>
        <w:spacing w:line="276" w:lineRule="auto"/>
        <w:jc w:val="both"/>
        <w:rPr>
          <w:rFonts w:cstheme="minorHAnsi"/>
        </w:rPr>
      </w:pPr>
      <w:bookmarkStart w:id="7" w:name="Hall"/>
      <w:r w:rsidRPr="00C33269">
        <w:rPr>
          <w:rFonts w:cstheme="minorHAnsi"/>
        </w:rPr>
        <w:t>Hall</w:t>
      </w:r>
      <w:bookmarkEnd w:id="7"/>
      <w:r w:rsidRPr="00C33269">
        <w:rPr>
          <w:rFonts w:cstheme="minorHAnsi"/>
        </w:rPr>
        <w:t xml:space="preserve">, C. M. (2019). Constructing sustainable tourism development: The 2030 agenda and the </w:t>
      </w:r>
      <w:r w:rsidR="00F02172">
        <w:rPr>
          <w:rFonts w:cstheme="minorHAnsi"/>
        </w:rPr>
        <w:tab/>
      </w:r>
      <w:r w:rsidRPr="00C33269">
        <w:rPr>
          <w:rFonts w:cstheme="minorHAnsi"/>
        </w:rPr>
        <w:t xml:space="preserve">managerial ecology of sustainable tourism. </w:t>
      </w:r>
      <w:r w:rsidRPr="00C33269">
        <w:rPr>
          <w:rFonts w:cstheme="minorHAnsi"/>
          <w:i/>
          <w:iCs/>
        </w:rPr>
        <w:t>Journal of Sustainable Tourism, 27</w:t>
      </w:r>
      <w:r w:rsidRPr="00C33269">
        <w:rPr>
          <w:rFonts w:cstheme="minorHAnsi"/>
        </w:rPr>
        <w:t xml:space="preserve">(7), </w:t>
      </w:r>
      <w:r w:rsidR="00F02172">
        <w:rPr>
          <w:rFonts w:cstheme="minorHAnsi"/>
        </w:rPr>
        <w:tab/>
      </w:r>
      <w:r w:rsidRPr="00C33269">
        <w:rPr>
          <w:rFonts w:cstheme="minorHAnsi"/>
        </w:rPr>
        <w:t xml:space="preserve">1044–1060. </w:t>
      </w:r>
      <w:hyperlink r:id="rId16" w:tgtFrame="_new" w:history="1">
        <w:r w:rsidRPr="00C33269">
          <w:rPr>
            <w:rStyle w:val="Hyperlink"/>
            <w:rFonts w:cstheme="minorHAnsi"/>
          </w:rPr>
          <w:t>https://doi.org/10.1080/09669582.2018.1560456</w:t>
        </w:r>
      </w:hyperlink>
    </w:p>
    <w:p w14:paraId="6E8A0C15" w14:textId="3F13BAE5" w:rsidR="00C33269" w:rsidRDefault="00C33269" w:rsidP="00717014">
      <w:pPr>
        <w:bidi w:val="0"/>
        <w:spacing w:line="276" w:lineRule="auto"/>
        <w:jc w:val="both"/>
        <w:rPr>
          <w:rFonts w:cstheme="minorHAnsi"/>
        </w:rPr>
      </w:pPr>
      <w:bookmarkStart w:id="8" w:name="Köseoglu"/>
      <w:r w:rsidRPr="00C33269">
        <w:rPr>
          <w:rFonts w:cstheme="minorHAnsi"/>
        </w:rPr>
        <w:t>Köseoglu</w:t>
      </w:r>
      <w:bookmarkEnd w:id="8"/>
      <w:r w:rsidRPr="00C33269">
        <w:rPr>
          <w:rFonts w:cstheme="minorHAnsi"/>
        </w:rPr>
        <w:t xml:space="preserve">, M. A., Rahimi, R., Okumus, F., &amp; Liu, J. (2016). Bibliometric studies in tourism. </w:t>
      </w:r>
      <w:r w:rsidRPr="00C33269">
        <w:rPr>
          <w:rFonts w:cstheme="minorHAnsi"/>
          <w:i/>
          <w:iCs/>
        </w:rPr>
        <w:t xml:space="preserve">Annals </w:t>
      </w:r>
      <w:r w:rsidR="00F02172">
        <w:rPr>
          <w:rFonts w:cstheme="minorHAnsi"/>
          <w:i/>
          <w:iCs/>
        </w:rPr>
        <w:tab/>
      </w:r>
      <w:r w:rsidRPr="00C33269">
        <w:rPr>
          <w:rFonts w:cstheme="minorHAnsi"/>
          <w:i/>
          <w:iCs/>
        </w:rPr>
        <w:t>of Tourism Research, 61</w:t>
      </w:r>
      <w:r w:rsidRPr="00C33269">
        <w:rPr>
          <w:rFonts w:cstheme="minorHAnsi"/>
        </w:rPr>
        <w:t>, 180–198.</w:t>
      </w:r>
      <w:r w:rsidR="00717014" w:rsidRPr="00717014">
        <w:t xml:space="preserve"> </w:t>
      </w:r>
      <w:hyperlink r:id="rId17" w:history="1">
        <w:r w:rsidR="00717014" w:rsidRPr="0083160A">
          <w:rPr>
            <w:rStyle w:val="Hyperlink"/>
            <w:rFonts w:cstheme="minorHAnsi"/>
          </w:rPr>
          <w:t>https://doi.org/10.1016/j.annals.2016.10.006</w:t>
        </w:r>
      </w:hyperlink>
    </w:p>
    <w:p w14:paraId="40FE7279" w14:textId="001D3B99" w:rsidR="00C33269" w:rsidRPr="00C33269" w:rsidRDefault="00C33269" w:rsidP="000C323A">
      <w:pPr>
        <w:bidi w:val="0"/>
        <w:spacing w:line="276" w:lineRule="auto"/>
        <w:jc w:val="both"/>
        <w:rPr>
          <w:rFonts w:cstheme="minorHAnsi"/>
        </w:rPr>
      </w:pPr>
      <w:bookmarkStart w:id="9" w:name="Milano"/>
      <w:r w:rsidRPr="00C33269">
        <w:rPr>
          <w:rFonts w:cstheme="minorHAnsi"/>
        </w:rPr>
        <w:t>Milano</w:t>
      </w:r>
      <w:bookmarkEnd w:id="9"/>
      <w:r w:rsidRPr="00C33269">
        <w:rPr>
          <w:rFonts w:cstheme="minorHAnsi"/>
        </w:rPr>
        <w:t xml:space="preserve">, C., Novelli, M., &amp; Cheer, J. M. (2019). Overtourism and tourismphobia: A journey </w:t>
      </w:r>
      <w:r w:rsidR="00F02172">
        <w:rPr>
          <w:rFonts w:cstheme="minorHAnsi"/>
        </w:rPr>
        <w:tab/>
      </w:r>
      <w:r w:rsidRPr="00C33269">
        <w:rPr>
          <w:rFonts w:cstheme="minorHAnsi"/>
        </w:rPr>
        <w:t xml:space="preserve">through four decades of tourism development, planning and local concerns. </w:t>
      </w:r>
      <w:r w:rsidRPr="00C33269">
        <w:rPr>
          <w:rFonts w:cstheme="minorHAnsi"/>
          <w:i/>
          <w:iCs/>
        </w:rPr>
        <w:t xml:space="preserve">Tourism </w:t>
      </w:r>
      <w:r w:rsidR="00F02172">
        <w:rPr>
          <w:rFonts w:cstheme="minorHAnsi"/>
          <w:i/>
          <w:iCs/>
        </w:rPr>
        <w:tab/>
      </w:r>
      <w:r w:rsidRPr="00C33269">
        <w:rPr>
          <w:rFonts w:cstheme="minorHAnsi"/>
          <w:i/>
          <w:iCs/>
        </w:rPr>
        <w:t>Planning &amp; Development, 16</w:t>
      </w:r>
      <w:r w:rsidRPr="00C33269">
        <w:rPr>
          <w:rFonts w:cstheme="minorHAnsi"/>
        </w:rPr>
        <w:t xml:space="preserve">(4), 353–357. </w:t>
      </w:r>
      <w:r w:rsidR="00F02172">
        <w:tab/>
      </w:r>
      <w:hyperlink r:id="rId18" w:history="1">
        <w:r w:rsidR="00F02172" w:rsidRPr="002C63AB">
          <w:rPr>
            <w:rStyle w:val="Hyperlink"/>
            <w:rFonts w:cstheme="minorHAnsi"/>
          </w:rPr>
          <w:t>https://doi.org/10.1080/21568316.2019.1599604</w:t>
        </w:r>
      </w:hyperlink>
    </w:p>
    <w:p w14:paraId="7C7A54B6" w14:textId="6819CFD8" w:rsidR="00C33269" w:rsidRPr="00C33269" w:rsidRDefault="00C33269" w:rsidP="000C323A">
      <w:pPr>
        <w:bidi w:val="0"/>
        <w:spacing w:line="276" w:lineRule="auto"/>
        <w:jc w:val="both"/>
        <w:rPr>
          <w:rFonts w:cstheme="minorHAnsi"/>
        </w:rPr>
      </w:pPr>
      <w:bookmarkStart w:id="10" w:name="Rahmadian"/>
      <w:r w:rsidRPr="00C33269">
        <w:rPr>
          <w:rFonts w:cstheme="minorHAnsi"/>
        </w:rPr>
        <w:t>Rahmadian</w:t>
      </w:r>
      <w:bookmarkEnd w:id="10"/>
      <w:r w:rsidRPr="00C33269">
        <w:rPr>
          <w:rFonts w:cstheme="minorHAnsi"/>
        </w:rPr>
        <w:t xml:space="preserve">, E., Feitosa, D., &amp; Zwitter, A. (2022). A systematic literature review on the use of </w:t>
      </w:r>
      <w:r w:rsidR="00F02172">
        <w:rPr>
          <w:rFonts w:cstheme="minorHAnsi"/>
        </w:rPr>
        <w:tab/>
      </w:r>
      <w:r w:rsidRPr="00C33269">
        <w:rPr>
          <w:rFonts w:cstheme="minorHAnsi"/>
        </w:rPr>
        <w:t xml:space="preserve">big data for sustainable tourism. </w:t>
      </w:r>
      <w:r w:rsidRPr="00C33269">
        <w:rPr>
          <w:rFonts w:cstheme="minorHAnsi"/>
          <w:i/>
          <w:iCs/>
        </w:rPr>
        <w:t>Current Issues in Tourism, 25</w:t>
      </w:r>
      <w:r w:rsidRPr="00C33269">
        <w:rPr>
          <w:rFonts w:cstheme="minorHAnsi"/>
        </w:rPr>
        <w:t xml:space="preserve">(11), 1711–1730. </w:t>
      </w:r>
      <w:r w:rsidR="00F02172">
        <w:tab/>
      </w:r>
      <w:hyperlink r:id="rId19" w:history="1">
        <w:r w:rsidR="00F02172" w:rsidRPr="002C63AB">
          <w:rPr>
            <w:rStyle w:val="Hyperlink"/>
            <w:rFonts w:cstheme="minorHAnsi"/>
          </w:rPr>
          <w:t>https://doi.org/10.1080/13683500.2021.1974358</w:t>
        </w:r>
      </w:hyperlink>
    </w:p>
    <w:p w14:paraId="7C10B244" w14:textId="1477C847" w:rsidR="00C33269" w:rsidRPr="00C33269" w:rsidRDefault="00C33269" w:rsidP="000C323A">
      <w:pPr>
        <w:bidi w:val="0"/>
        <w:spacing w:line="276" w:lineRule="auto"/>
        <w:jc w:val="both"/>
        <w:rPr>
          <w:rFonts w:cstheme="minorHAnsi"/>
        </w:rPr>
      </w:pPr>
      <w:bookmarkStart w:id="11" w:name="Sigala"/>
      <w:r w:rsidRPr="00C33269">
        <w:rPr>
          <w:rFonts w:cstheme="minorHAnsi"/>
        </w:rPr>
        <w:t>Sigala</w:t>
      </w:r>
      <w:bookmarkEnd w:id="11"/>
      <w:r w:rsidRPr="00C33269">
        <w:rPr>
          <w:rFonts w:cstheme="minorHAnsi"/>
        </w:rPr>
        <w:t xml:space="preserve">, M. (2020). Tourism and COVID-19: Impacts and implications for advancing and resetting </w:t>
      </w:r>
      <w:r w:rsidR="00F02172">
        <w:rPr>
          <w:rFonts w:cstheme="minorHAnsi"/>
        </w:rPr>
        <w:tab/>
      </w:r>
      <w:r w:rsidRPr="00C33269">
        <w:rPr>
          <w:rFonts w:cstheme="minorHAnsi"/>
        </w:rPr>
        <w:t xml:space="preserve">industry and research. </w:t>
      </w:r>
      <w:r w:rsidRPr="00C33269">
        <w:rPr>
          <w:rFonts w:cstheme="minorHAnsi"/>
          <w:i/>
          <w:iCs/>
        </w:rPr>
        <w:t>Journal of Business Research, 117</w:t>
      </w:r>
      <w:r w:rsidRPr="00C33269">
        <w:rPr>
          <w:rFonts w:cstheme="minorHAnsi"/>
        </w:rPr>
        <w:t xml:space="preserve">, 312–321. </w:t>
      </w:r>
      <w:r w:rsidR="00F02172">
        <w:tab/>
      </w:r>
      <w:hyperlink r:id="rId20" w:history="1">
        <w:r w:rsidR="00F02172" w:rsidRPr="002C63AB">
          <w:rPr>
            <w:rStyle w:val="Hyperlink"/>
            <w:rFonts w:cstheme="minorHAnsi"/>
          </w:rPr>
          <w:t>https://doi.org/10.1016/j.jbusres.2020.06.015</w:t>
        </w:r>
      </w:hyperlink>
    </w:p>
    <w:p w14:paraId="2793C720" w14:textId="04EC65CD" w:rsidR="00C33269" w:rsidRPr="00C33269" w:rsidRDefault="00C33269" w:rsidP="000C323A">
      <w:pPr>
        <w:bidi w:val="0"/>
        <w:spacing w:line="276" w:lineRule="auto"/>
        <w:jc w:val="both"/>
        <w:rPr>
          <w:rFonts w:cstheme="minorHAnsi"/>
          <w:lang w:val="de-DE"/>
        </w:rPr>
      </w:pPr>
      <w:bookmarkStart w:id="12" w:name="UNTourism"/>
      <w:r w:rsidRPr="00C33269">
        <w:rPr>
          <w:rFonts w:cstheme="minorHAnsi"/>
        </w:rPr>
        <w:lastRenderedPageBreak/>
        <w:t>UN Tourism</w:t>
      </w:r>
      <w:bookmarkEnd w:id="12"/>
      <w:r w:rsidRPr="00C33269">
        <w:rPr>
          <w:rFonts w:cstheme="minorHAnsi"/>
        </w:rPr>
        <w:t xml:space="preserve">. (2023). </w:t>
      </w:r>
      <w:r w:rsidRPr="00C33269">
        <w:rPr>
          <w:rFonts w:cstheme="minorHAnsi"/>
          <w:i/>
          <w:iCs/>
        </w:rPr>
        <w:t xml:space="preserve">Climate action in the tourism sector: An overview of methodologies and </w:t>
      </w:r>
      <w:r w:rsidR="00F02172">
        <w:rPr>
          <w:rFonts w:cstheme="minorHAnsi"/>
          <w:i/>
          <w:iCs/>
        </w:rPr>
        <w:tab/>
      </w:r>
      <w:r w:rsidRPr="00C33269">
        <w:rPr>
          <w:rFonts w:cstheme="minorHAnsi"/>
          <w:i/>
          <w:iCs/>
        </w:rPr>
        <w:t>tools to measure greenhouse gas emissions</w:t>
      </w:r>
      <w:r w:rsidRPr="00C33269">
        <w:rPr>
          <w:rFonts w:cstheme="minorHAnsi"/>
        </w:rPr>
        <w:t xml:space="preserve">. </w:t>
      </w:r>
      <w:r w:rsidRPr="00C33269">
        <w:rPr>
          <w:rFonts w:cstheme="minorHAnsi"/>
          <w:lang w:val="de-DE"/>
        </w:rPr>
        <w:t>UN Tourism.</w:t>
      </w:r>
    </w:p>
    <w:p w14:paraId="6B4AEA2B" w14:textId="2D866B1C" w:rsidR="00C33269" w:rsidRPr="00C33269" w:rsidRDefault="00C33269" w:rsidP="000C323A">
      <w:pPr>
        <w:bidi w:val="0"/>
        <w:spacing w:line="276" w:lineRule="auto"/>
        <w:jc w:val="both"/>
        <w:rPr>
          <w:rFonts w:cstheme="minorHAnsi"/>
        </w:rPr>
      </w:pPr>
      <w:bookmarkStart w:id="13" w:name="Xiang"/>
      <w:r w:rsidRPr="00C33269">
        <w:rPr>
          <w:rFonts w:cstheme="minorHAnsi"/>
          <w:lang w:val="de-DE"/>
        </w:rPr>
        <w:t>Xiang</w:t>
      </w:r>
      <w:bookmarkEnd w:id="13"/>
      <w:r w:rsidRPr="00C33269">
        <w:rPr>
          <w:rFonts w:cstheme="minorHAnsi"/>
          <w:lang w:val="de-DE"/>
        </w:rPr>
        <w:t xml:space="preserve">, Z., Stienmetz, J. L., &amp; Fesenmaier, D. R. (2021). </w:t>
      </w:r>
      <w:r w:rsidRPr="00C33269">
        <w:rPr>
          <w:rFonts w:cstheme="minorHAnsi"/>
        </w:rPr>
        <w:t xml:space="preserve">Smart tourism design: Launching the </w:t>
      </w:r>
      <w:r w:rsidR="00F02172">
        <w:rPr>
          <w:rFonts w:cstheme="minorHAnsi"/>
          <w:i/>
          <w:iCs/>
        </w:rPr>
        <w:tab/>
      </w:r>
      <w:r w:rsidRPr="00C33269">
        <w:rPr>
          <w:rFonts w:cstheme="minorHAnsi"/>
          <w:i/>
          <w:iCs/>
        </w:rPr>
        <w:t>Annals of Tourism Research</w:t>
      </w:r>
      <w:r w:rsidRPr="00C33269">
        <w:rPr>
          <w:rFonts w:cstheme="minorHAnsi"/>
        </w:rPr>
        <w:t xml:space="preserve"> curated collection on designing tourism places. </w:t>
      </w:r>
      <w:r w:rsidRPr="00C33269">
        <w:rPr>
          <w:rFonts w:cstheme="minorHAnsi"/>
          <w:i/>
          <w:iCs/>
        </w:rPr>
        <w:t xml:space="preserve">Annals of </w:t>
      </w:r>
      <w:r w:rsidR="00F02172">
        <w:rPr>
          <w:rFonts w:cstheme="minorHAnsi"/>
          <w:i/>
          <w:iCs/>
        </w:rPr>
        <w:tab/>
      </w:r>
      <w:r w:rsidRPr="00C33269">
        <w:rPr>
          <w:rFonts w:cstheme="minorHAnsi"/>
          <w:i/>
          <w:iCs/>
        </w:rPr>
        <w:t>Tourism Research, 86</w:t>
      </w:r>
      <w:r w:rsidRPr="00C33269">
        <w:rPr>
          <w:rFonts w:cstheme="minorHAnsi"/>
        </w:rPr>
        <w:t xml:space="preserve">, Article 103154. </w:t>
      </w:r>
      <w:hyperlink r:id="rId21" w:tgtFrame="_new" w:history="1">
        <w:r w:rsidRPr="00C33269">
          <w:rPr>
            <w:rStyle w:val="Hyperlink"/>
            <w:rFonts w:cstheme="minorHAnsi"/>
          </w:rPr>
          <w:t>https://doi.org/10.1016/j.annals.2021.103154</w:t>
        </w:r>
      </w:hyperlink>
    </w:p>
    <w:p w14:paraId="340661C4" w14:textId="6CB8D52D" w:rsidR="00C33269" w:rsidRPr="00C33269" w:rsidRDefault="00C33269" w:rsidP="000C323A">
      <w:pPr>
        <w:bidi w:val="0"/>
        <w:spacing w:line="276" w:lineRule="auto"/>
        <w:jc w:val="both"/>
        <w:rPr>
          <w:rFonts w:cstheme="minorHAnsi"/>
        </w:rPr>
      </w:pPr>
      <w:bookmarkStart w:id="14" w:name="Yaseen"/>
      <w:r w:rsidRPr="00C33269">
        <w:rPr>
          <w:rFonts w:cstheme="minorHAnsi"/>
        </w:rPr>
        <w:t>Yaseen</w:t>
      </w:r>
      <w:bookmarkEnd w:id="14"/>
      <w:r w:rsidRPr="00C33269">
        <w:rPr>
          <w:rFonts w:cstheme="minorHAnsi"/>
        </w:rPr>
        <w:t xml:space="preserve">, A., et al. (2022). The role of artificial intelligence and blockchain technologies in </w:t>
      </w:r>
      <w:r w:rsidR="00F02172">
        <w:rPr>
          <w:rFonts w:cstheme="minorHAnsi"/>
        </w:rPr>
        <w:tab/>
      </w:r>
      <w:r w:rsidRPr="00C33269">
        <w:rPr>
          <w:rFonts w:cstheme="minorHAnsi"/>
        </w:rPr>
        <w:t xml:space="preserve">achieving sustainable tourism: A review. </w:t>
      </w:r>
      <w:r w:rsidRPr="00C33269">
        <w:rPr>
          <w:rFonts w:cstheme="minorHAnsi"/>
          <w:i/>
          <w:iCs/>
        </w:rPr>
        <w:t>Worldwide Hospitality and Tourism Themes</w:t>
      </w:r>
      <w:r w:rsidRPr="00C33269">
        <w:rPr>
          <w:rFonts w:cstheme="minorHAnsi"/>
        </w:rPr>
        <w:t xml:space="preserve">. </w:t>
      </w:r>
      <w:r w:rsidR="00F02172">
        <w:tab/>
      </w:r>
      <w:hyperlink r:id="rId22" w:history="1">
        <w:r w:rsidR="0086373C" w:rsidRPr="002C63AB">
          <w:rPr>
            <w:rStyle w:val="Hyperlink"/>
            <w:rFonts w:cstheme="minorHAnsi"/>
          </w:rPr>
          <w:t>https://doi.org/10.1108/WHATT-10-2022-0116</w:t>
        </w:r>
      </w:hyperlink>
    </w:p>
    <w:p w14:paraId="6B0C6B2A" w14:textId="77777777" w:rsidR="00C33269" w:rsidRPr="00C33269" w:rsidRDefault="00C33269" w:rsidP="00054276">
      <w:pPr>
        <w:bidi w:val="0"/>
        <w:spacing w:line="360" w:lineRule="auto"/>
        <w:jc w:val="both"/>
        <w:rPr>
          <w:rFonts w:cstheme="minorHAnsi"/>
        </w:rPr>
      </w:pPr>
    </w:p>
    <w:p w14:paraId="47906B54" w14:textId="77777777" w:rsidR="00C33269" w:rsidRPr="00C33269" w:rsidRDefault="00C33269" w:rsidP="00054276">
      <w:pPr>
        <w:bidi w:val="0"/>
        <w:spacing w:line="360" w:lineRule="auto"/>
        <w:jc w:val="both"/>
        <w:rPr>
          <w:rFonts w:cstheme="minorHAnsi"/>
        </w:rPr>
      </w:pPr>
    </w:p>
    <w:p w14:paraId="478C6C94" w14:textId="77777777" w:rsidR="00C33269" w:rsidRPr="00EA0B12" w:rsidRDefault="00C33269" w:rsidP="00054276">
      <w:pPr>
        <w:bidi w:val="0"/>
        <w:spacing w:line="360" w:lineRule="auto"/>
        <w:jc w:val="both"/>
        <w:rPr>
          <w:rFonts w:cstheme="minorHAnsi"/>
        </w:rPr>
      </w:pPr>
    </w:p>
    <w:p w14:paraId="22375A3B" w14:textId="77777777" w:rsidR="00EA0B12" w:rsidRPr="00EA0B12" w:rsidRDefault="00EA0B12" w:rsidP="00054276">
      <w:pPr>
        <w:bidi w:val="0"/>
        <w:spacing w:line="360" w:lineRule="auto"/>
        <w:jc w:val="both"/>
        <w:rPr>
          <w:rFonts w:cstheme="minorHAnsi"/>
        </w:rPr>
      </w:pPr>
    </w:p>
    <w:p w14:paraId="55CCFB5E" w14:textId="77777777" w:rsidR="00191D13" w:rsidRPr="00884907" w:rsidRDefault="00191D13" w:rsidP="00054276">
      <w:pPr>
        <w:bidi w:val="0"/>
        <w:spacing w:line="360" w:lineRule="auto"/>
        <w:jc w:val="both"/>
        <w:rPr>
          <w:rFonts w:cstheme="minorHAnsi"/>
        </w:rPr>
      </w:pPr>
    </w:p>
    <w:p w14:paraId="3B9D0DDB" w14:textId="77777777" w:rsidR="00884907" w:rsidRPr="001D75D1" w:rsidRDefault="00884907" w:rsidP="00054276">
      <w:pPr>
        <w:bidi w:val="0"/>
        <w:spacing w:line="360" w:lineRule="auto"/>
        <w:jc w:val="both"/>
        <w:rPr>
          <w:rFonts w:cstheme="minorHAnsi"/>
        </w:rPr>
      </w:pPr>
    </w:p>
    <w:p w14:paraId="669C32F1" w14:textId="43033939" w:rsidR="007A261C" w:rsidRPr="00054276" w:rsidRDefault="007A261C" w:rsidP="00054276">
      <w:pPr>
        <w:bidi w:val="0"/>
        <w:spacing w:line="360" w:lineRule="auto"/>
        <w:rPr>
          <w:rFonts w:cstheme="minorHAnsi"/>
        </w:rPr>
      </w:pPr>
    </w:p>
    <w:sectPr w:rsidR="007A261C" w:rsidRPr="00054276" w:rsidSect="00AC6D65">
      <w:pgSz w:w="11906" w:h="16838"/>
      <w:pgMar w:top="1440" w:right="1800" w:bottom="1440" w:left="1800" w:header="706" w:footer="7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CF493" w14:textId="77777777" w:rsidR="005D311C" w:rsidRDefault="005D311C" w:rsidP="00F02172">
      <w:pPr>
        <w:spacing w:after="0" w:line="240" w:lineRule="auto"/>
      </w:pPr>
      <w:r>
        <w:separator/>
      </w:r>
    </w:p>
  </w:endnote>
  <w:endnote w:type="continuationSeparator" w:id="0">
    <w:p w14:paraId="6310B071" w14:textId="77777777" w:rsidR="005D311C" w:rsidRDefault="005D311C" w:rsidP="00F02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9F440" w14:textId="77777777" w:rsidR="005D311C" w:rsidRDefault="005D311C" w:rsidP="00F02172">
      <w:pPr>
        <w:spacing w:after="0" w:line="240" w:lineRule="auto"/>
      </w:pPr>
      <w:r>
        <w:separator/>
      </w:r>
    </w:p>
  </w:footnote>
  <w:footnote w:type="continuationSeparator" w:id="0">
    <w:p w14:paraId="1EEF5607" w14:textId="77777777" w:rsidR="005D311C" w:rsidRDefault="005D311C" w:rsidP="00F021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40A2"/>
    <w:multiLevelType w:val="multilevel"/>
    <w:tmpl w:val="8A28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F86A04"/>
    <w:multiLevelType w:val="multilevel"/>
    <w:tmpl w:val="F7922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3056C2"/>
    <w:multiLevelType w:val="multilevel"/>
    <w:tmpl w:val="2EC24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776D31"/>
    <w:multiLevelType w:val="multilevel"/>
    <w:tmpl w:val="73CA9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EF3FB1"/>
    <w:multiLevelType w:val="multilevel"/>
    <w:tmpl w:val="63F8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E2328A"/>
    <w:multiLevelType w:val="multilevel"/>
    <w:tmpl w:val="50729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AA6245"/>
    <w:multiLevelType w:val="multilevel"/>
    <w:tmpl w:val="6DEEC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F2030"/>
    <w:multiLevelType w:val="multilevel"/>
    <w:tmpl w:val="ECD2B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AB304D"/>
    <w:multiLevelType w:val="multilevel"/>
    <w:tmpl w:val="4DCC0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D860C9"/>
    <w:multiLevelType w:val="multilevel"/>
    <w:tmpl w:val="AEF6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C71A7F"/>
    <w:multiLevelType w:val="multilevel"/>
    <w:tmpl w:val="49F0F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6F4431"/>
    <w:multiLevelType w:val="multilevel"/>
    <w:tmpl w:val="C116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AA0D99"/>
    <w:multiLevelType w:val="multilevel"/>
    <w:tmpl w:val="BA223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647997"/>
    <w:multiLevelType w:val="multilevel"/>
    <w:tmpl w:val="E1F29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9719134">
    <w:abstractNumId w:val="0"/>
  </w:num>
  <w:num w:numId="2" w16cid:durableId="789009239">
    <w:abstractNumId w:val="8"/>
  </w:num>
  <w:num w:numId="3" w16cid:durableId="1770739536">
    <w:abstractNumId w:val="11"/>
  </w:num>
  <w:num w:numId="4" w16cid:durableId="1967200556">
    <w:abstractNumId w:val="7"/>
  </w:num>
  <w:num w:numId="5" w16cid:durableId="713384300">
    <w:abstractNumId w:val="9"/>
  </w:num>
  <w:num w:numId="6" w16cid:durableId="186869690">
    <w:abstractNumId w:val="1"/>
  </w:num>
  <w:num w:numId="7" w16cid:durableId="530846044">
    <w:abstractNumId w:val="3"/>
  </w:num>
  <w:num w:numId="8" w16cid:durableId="891618810">
    <w:abstractNumId w:val="4"/>
  </w:num>
  <w:num w:numId="9" w16cid:durableId="2103839134">
    <w:abstractNumId w:val="10"/>
  </w:num>
  <w:num w:numId="10" w16cid:durableId="290477384">
    <w:abstractNumId w:val="2"/>
  </w:num>
  <w:num w:numId="11" w16cid:durableId="1169908864">
    <w:abstractNumId w:val="12"/>
  </w:num>
  <w:num w:numId="12" w16cid:durableId="83845273">
    <w:abstractNumId w:val="6"/>
  </w:num>
  <w:num w:numId="13" w16cid:durableId="2025857171">
    <w:abstractNumId w:val="13"/>
  </w:num>
  <w:num w:numId="14" w16cid:durableId="15537307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477"/>
    <w:rsid w:val="00014D37"/>
    <w:rsid w:val="00041E18"/>
    <w:rsid w:val="00054276"/>
    <w:rsid w:val="00066E6D"/>
    <w:rsid w:val="000C323A"/>
    <w:rsid w:val="000C4B50"/>
    <w:rsid w:val="000F097B"/>
    <w:rsid w:val="00121B74"/>
    <w:rsid w:val="00131F2C"/>
    <w:rsid w:val="00152D10"/>
    <w:rsid w:val="00171AFC"/>
    <w:rsid w:val="00191D13"/>
    <w:rsid w:val="001D75D1"/>
    <w:rsid w:val="00204DBA"/>
    <w:rsid w:val="0027542B"/>
    <w:rsid w:val="002A0E83"/>
    <w:rsid w:val="003450E9"/>
    <w:rsid w:val="004501D2"/>
    <w:rsid w:val="004A2BB6"/>
    <w:rsid w:val="004B6EA3"/>
    <w:rsid w:val="004B73D4"/>
    <w:rsid w:val="004F2854"/>
    <w:rsid w:val="004F728A"/>
    <w:rsid w:val="005B7477"/>
    <w:rsid w:val="005C1420"/>
    <w:rsid w:val="005D02BE"/>
    <w:rsid w:val="005D311C"/>
    <w:rsid w:val="00615AD1"/>
    <w:rsid w:val="00642456"/>
    <w:rsid w:val="0065391F"/>
    <w:rsid w:val="006D1818"/>
    <w:rsid w:val="006E0CC4"/>
    <w:rsid w:val="00705FA7"/>
    <w:rsid w:val="00717014"/>
    <w:rsid w:val="00750F39"/>
    <w:rsid w:val="007709E6"/>
    <w:rsid w:val="007A261C"/>
    <w:rsid w:val="007E6A2E"/>
    <w:rsid w:val="0086373C"/>
    <w:rsid w:val="00881021"/>
    <w:rsid w:val="00884907"/>
    <w:rsid w:val="008C17EA"/>
    <w:rsid w:val="008C387D"/>
    <w:rsid w:val="00946984"/>
    <w:rsid w:val="0095761B"/>
    <w:rsid w:val="009D63C1"/>
    <w:rsid w:val="00AB0C60"/>
    <w:rsid w:val="00AC6D65"/>
    <w:rsid w:val="00B14418"/>
    <w:rsid w:val="00BA169F"/>
    <w:rsid w:val="00BD5043"/>
    <w:rsid w:val="00BF7A7F"/>
    <w:rsid w:val="00C10DCB"/>
    <w:rsid w:val="00C33269"/>
    <w:rsid w:val="00C558E8"/>
    <w:rsid w:val="00CE4CB8"/>
    <w:rsid w:val="00CF6857"/>
    <w:rsid w:val="00D34264"/>
    <w:rsid w:val="00D8589C"/>
    <w:rsid w:val="00D93C05"/>
    <w:rsid w:val="00DB4B66"/>
    <w:rsid w:val="00EA0B12"/>
    <w:rsid w:val="00EC5B7F"/>
    <w:rsid w:val="00EE731E"/>
    <w:rsid w:val="00F02172"/>
    <w:rsid w:val="00F14C65"/>
    <w:rsid w:val="00FB1F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5CD56"/>
  <w15:chartTrackingRefBased/>
  <w15:docId w15:val="{F5B29A2C-910C-4B37-A951-36B3CD9A1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4B66"/>
    <w:pPr>
      <w:bidi/>
    </w:pPr>
  </w:style>
  <w:style w:type="paragraph" w:styleId="1">
    <w:name w:val="heading 1"/>
    <w:basedOn w:val="a"/>
    <w:next w:val="a"/>
    <w:link w:val="1Char"/>
    <w:uiPriority w:val="9"/>
    <w:qFormat/>
    <w:rsid w:val="005B74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unhideWhenUsed/>
    <w:qFormat/>
    <w:rsid w:val="005B74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unhideWhenUsed/>
    <w:qFormat/>
    <w:rsid w:val="005B747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unhideWhenUsed/>
    <w:qFormat/>
    <w:rsid w:val="005B747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5B747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5B747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B747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B747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B747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5B7477"/>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rsid w:val="005B7477"/>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rsid w:val="005B7477"/>
    <w:rPr>
      <w:rFonts w:eastAsiaTheme="majorEastAsia" w:cstheme="majorBidi"/>
      <w:color w:val="2F5496" w:themeColor="accent1" w:themeShade="BF"/>
      <w:sz w:val="28"/>
      <w:szCs w:val="28"/>
    </w:rPr>
  </w:style>
  <w:style w:type="character" w:customStyle="1" w:styleId="4Char">
    <w:name w:val="عنوان 4 Char"/>
    <w:basedOn w:val="a0"/>
    <w:link w:val="4"/>
    <w:uiPriority w:val="9"/>
    <w:rsid w:val="005B7477"/>
    <w:rPr>
      <w:rFonts w:eastAsiaTheme="majorEastAsia" w:cstheme="majorBidi"/>
      <w:i/>
      <w:iCs/>
      <w:color w:val="2F5496" w:themeColor="accent1" w:themeShade="BF"/>
    </w:rPr>
  </w:style>
  <w:style w:type="character" w:customStyle="1" w:styleId="5Char">
    <w:name w:val="عنوان 5 Char"/>
    <w:basedOn w:val="a0"/>
    <w:link w:val="5"/>
    <w:uiPriority w:val="9"/>
    <w:semiHidden/>
    <w:rsid w:val="005B7477"/>
    <w:rPr>
      <w:rFonts w:eastAsiaTheme="majorEastAsia" w:cstheme="majorBidi"/>
      <w:color w:val="2F5496" w:themeColor="accent1" w:themeShade="BF"/>
    </w:rPr>
  </w:style>
  <w:style w:type="character" w:customStyle="1" w:styleId="6Char">
    <w:name w:val="عنوان 6 Char"/>
    <w:basedOn w:val="a0"/>
    <w:link w:val="6"/>
    <w:uiPriority w:val="9"/>
    <w:semiHidden/>
    <w:rsid w:val="005B7477"/>
    <w:rPr>
      <w:rFonts w:eastAsiaTheme="majorEastAsia" w:cstheme="majorBidi"/>
      <w:i/>
      <w:iCs/>
      <w:color w:val="595959" w:themeColor="text1" w:themeTint="A6"/>
    </w:rPr>
  </w:style>
  <w:style w:type="character" w:customStyle="1" w:styleId="7Char">
    <w:name w:val="عنوان 7 Char"/>
    <w:basedOn w:val="a0"/>
    <w:link w:val="7"/>
    <w:uiPriority w:val="9"/>
    <w:semiHidden/>
    <w:rsid w:val="005B7477"/>
    <w:rPr>
      <w:rFonts w:eastAsiaTheme="majorEastAsia" w:cstheme="majorBidi"/>
      <w:color w:val="595959" w:themeColor="text1" w:themeTint="A6"/>
    </w:rPr>
  </w:style>
  <w:style w:type="character" w:customStyle="1" w:styleId="8Char">
    <w:name w:val="عنوان 8 Char"/>
    <w:basedOn w:val="a0"/>
    <w:link w:val="8"/>
    <w:uiPriority w:val="9"/>
    <w:semiHidden/>
    <w:rsid w:val="005B7477"/>
    <w:rPr>
      <w:rFonts w:eastAsiaTheme="majorEastAsia" w:cstheme="majorBidi"/>
      <w:i/>
      <w:iCs/>
      <w:color w:val="272727" w:themeColor="text1" w:themeTint="D8"/>
    </w:rPr>
  </w:style>
  <w:style w:type="character" w:customStyle="1" w:styleId="9Char">
    <w:name w:val="عنوان 9 Char"/>
    <w:basedOn w:val="a0"/>
    <w:link w:val="9"/>
    <w:uiPriority w:val="9"/>
    <w:semiHidden/>
    <w:rsid w:val="005B7477"/>
    <w:rPr>
      <w:rFonts w:eastAsiaTheme="majorEastAsia" w:cstheme="majorBidi"/>
      <w:color w:val="272727" w:themeColor="text1" w:themeTint="D8"/>
    </w:rPr>
  </w:style>
  <w:style w:type="paragraph" w:styleId="a3">
    <w:name w:val="Title"/>
    <w:basedOn w:val="a"/>
    <w:next w:val="a"/>
    <w:link w:val="Char"/>
    <w:uiPriority w:val="10"/>
    <w:qFormat/>
    <w:rsid w:val="005B74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5B747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B7477"/>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5B747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B7477"/>
    <w:pPr>
      <w:spacing w:before="160"/>
      <w:jc w:val="center"/>
    </w:pPr>
    <w:rPr>
      <w:i/>
      <w:iCs/>
      <w:color w:val="404040" w:themeColor="text1" w:themeTint="BF"/>
    </w:rPr>
  </w:style>
  <w:style w:type="character" w:customStyle="1" w:styleId="Char1">
    <w:name w:val="اقتباس Char"/>
    <w:basedOn w:val="a0"/>
    <w:link w:val="a5"/>
    <w:uiPriority w:val="29"/>
    <w:rsid w:val="005B7477"/>
    <w:rPr>
      <w:i/>
      <w:iCs/>
      <w:color w:val="404040" w:themeColor="text1" w:themeTint="BF"/>
    </w:rPr>
  </w:style>
  <w:style w:type="paragraph" w:styleId="a6">
    <w:name w:val="List Paragraph"/>
    <w:basedOn w:val="a"/>
    <w:uiPriority w:val="34"/>
    <w:qFormat/>
    <w:rsid w:val="005B7477"/>
    <w:pPr>
      <w:ind w:left="720"/>
      <w:contextualSpacing/>
    </w:pPr>
  </w:style>
  <w:style w:type="character" w:styleId="a7">
    <w:name w:val="Intense Emphasis"/>
    <w:basedOn w:val="a0"/>
    <w:uiPriority w:val="21"/>
    <w:qFormat/>
    <w:rsid w:val="005B7477"/>
    <w:rPr>
      <w:i/>
      <w:iCs/>
      <w:color w:val="2F5496" w:themeColor="accent1" w:themeShade="BF"/>
    </w:rPr>
  </w:style>
  <w:style w:type="paragraph" w:styleId="a8">
    <w:name w:val="Intense Quote"/>
    <w:basedOn w:val="a"/>
    <w:next w:val="a"/>
    <w:link w:val="Char2"/>
    <w:uiPriority w:val="30"/>
    <w:qFormat/>
    <w:rsid w:val="005B74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5B7477"/>
    <w:rPr>
      <w:i/>
      <w:iCs/>
      <w:color w:val="2F5496" w:themeColor="accent1" w:themeShade="BF"/>
    </w:rPr>
  </w:style>
  <w:style w:type="character" w:styleId="a9">
    <w:name w:val="Intense Reference"/>
    <w:basedOn w:val="a0"/>
    <w:uiPriority w:val="32"/>
    <w:qFormat/>
    <w:rsid w:val="005B7477"/>
    <w:rPr>
      <w:b/>
      <w:bCs/>
      <w:smallCaps/>
      <w:color w:val="2F5496" w:themeColor="accent1" w:themeShade="BF"/>
      <w:spacing w:val="5"/>
    </w:rPr>
  </w:style>
  <w:style w:type="character" w:styleId="Hyperlink">
    <w:name w:val="Hyperlink"/>
    <w:basedOn w:val="a0"/>
    <w:uiPriority w:val="99"/>
    <w:unhideWhenUsed/>
    <w:rsid w:val="00C33269"/>
    <w:rPr>
      <w:color w:val="0563C1" w:themeColor="hyperlink"/>
      <w:u w:val="single"/>
    </w:rPr>
  </w:style>
  <w:style w:type="character" w:styleId="aa">
    <w:name w:val="Unresolved Mention"/>
    <w:basedOn w:val="a0"/>
    <w:uiPriority w:val="99"/>
    <w:semiHidden/>
    <w:unhideWhenUsed/>
    <w:rsid w:val="00C33269"/>
    <w:rPr>
      <w:color w:val="605E5C"/>
      <w:shd w:val="clear" w:color="auto" w:fill="E1DFDD"/>
    </w:rPr>
  </w:style>
  <w:style w:type="paragraph" w:styleId="ab">
    <w:name w:val="Normal (Web)"/>
    <w:basedOn w:val="a"/>
    <w:uiPriority w:val="99"/>
    <w:semiHidden/>
    <w:unhideWhenUsed/>
    <w:rsid w:val="003450E9"/>
    <w:rPr>
      <w:rFonts w:ascii="Times New Roman" w:hAnsi="Times New Roman" w:cs="Times New Roman"/>
      <w:sz w:val="24"/>
      <w:szCs w:val="24"/>
    </w:rPr>
  </w:style>
  <w:style w:type="paragraph" w:styleId="ac">
    <w:name w:val="header"/>
    <w:basedOn w:val="a"/>
    <w:link w:val="Char3"/>
    <w:uiPriority w:val="99"/>
    <w:unhideWhenUsed/>
    <w:rsid w:val="00F02172"/>
    <w:pPr>
      <w:tabs>
        <w:tab w:val="center" w:pos="4153"/>
        <w:tab w:val="right" w:pos="8306"/>
      </w:tabs>
      <w:spacing w:after="0" w:line="240" w:lineRule="auto"/>
    </w:pPr>
  </w:style>
  <w:style w:type="character" w:customStyle="1" w:styleId="Char3">
    <w:name w:val="رأس الصفحة Char"/>
    <w:basedOn w:val="a0"/>
    <w:link w:val="ac"/>
    <w:uiPriority w:val="99"/>
    <w:rsid w:val="00F02172"/>
  </w:style>
  <w:style w:type="paragraph" w:styleId="ad">
    <w:name w:val="footer"/>
    <w:basedOn w:val="a"/>
    <w:link w:val="Char4"/>
    <w:uiPriority w:val="99"/>
    <w:unhideWhenUsed/>
    <w:rsid w:val="00F02172"/>
    <w:pPr>
      <w:tabs>
        <w:tab w:val="center" w:pos="4153"/>
        <w:tab w:val="right" w:pos="8306"/>
      </w:tabs>
      <w:spacing w:after="0" w:line="240" w:lineRule="auto"/>
    </w:pPr>
  </w:style>
  <w:style w:type="character" w:customStyle="1" w:styleId="Char4">
    <w:name w:val="تذييل الصفحة Char"/>
    <w:basedOn w:val="a0"/>
    <w:link w:val="ad"/>
    <w:uiPriority w:val="99"/>
    <w:rsid w:val="00F02172"/>
  </w:style>
  <w:style w:type="table" w:styleId="ae">
    <w:name w:val="Grid Table Light"/>
    <w:basedOn w:val="a1"/>
    <w:uiPriority w:val="40"/>
    <w:rsid w:val="004A2BB6"/>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a_azlina@msu.edu.my" TargetMode="External"/><Relationship Id="rId13" Type="http://schemas.openxmlformats.org/officeDocument/2006/relationships/hyperlink" Target="https://doi.org/10.1016/j.jbusres.2021.04.070" TargetMode="External"/><Relationship Id="rId18" Type="http://schemas.openxmlformats.org/officeDocument/2006/relationships/hyperlink" Target="https://doi.org/10.1080/21568316.2019.1599604" TargetMode="External"/><Relationship Id="rId3" Type="http://schemas.openxmlformats.org/officeDocument/2006/relationships/settings" Target="settings.xml"/><Relationship Id="rId21" Type="http://schemas.openxmlformats.org/officeDocument/2006/relationships/hyperlink" Target="https://doi.org/10.1016/j.annals.2021.103154" TargetMode="External"/><Relationship Id="rId7" Type="http://schemas.openxmlformats.org/officeDocument/2006/relationships/hyperlink" Target="mailto:012024090084@gsm.msu.edu.my" TargetMode="External"/><Relationship Id="rId12" Type="http://schemas.openxmlformats.org/officeDocument/2006/relationships/hyperlink" Target="https://doi.org/10.54055/ejtr.v34i.2471" TargetMode="External"/><Relationship Id="rId17" Type="http://schemas.openxmlformats.org/officeDocument/2006/relationships/hyperlink" Target="https://doi.org/10.1016/j.annals.2016.10.006" TargetMode="External"/><Relationship Id="rId2" Type="http://schemas.openxmlformats.org/officeDocument/2006/relationships/styles" Target="styles.xml"/><Relationship Id="rId16" Type="http://schemas.openxmlformats.org/officeDocument/2006/relationships/hyperlink" Target="https://doi.org/10.1080/09669582.2018.1560456" TargetMode="External"/><Relationship Id="rId20" Type="http://schemas.openxmlformats.org/officeDocument/2006/relationships/hyperlink" Target="https://doi.org/10.1016/j.jbusres.2020.06.01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978-3-319-03973-2_4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07/s12525015-0196-8" TargetMode="External"/><Relationship Id="rId23" Type="http://schemas.openxmlformats.org/officeDocument/2006/relationships/fontTable" Target="fontTable.xml"/><Relationship Id="rId10" Type="http://schemas.openxmlformats.org/officeDocument/2006/relationships/hyperlink" Target="https://doi.org/10.1016/j.joi.2017.08.007" TargetMode="External"/><Relationship Id="rId19" Type="http://schemas.openxmlformats.org/officeDocument/2006/relationships/hyperlink" Target="https://doi.org/10.1080/13683500.2021.1974358" TargetMode="External"/><Relationship Id="rId4" Type="http://schemas.openxmlformats.org/officeDocument/2006/relationships/webSettings" Target="webSettings.xml"/><Relationship Id="rId9" Type="http://schemas.openxmlformats.org/officeDocument/2006/relationships/hyperlink" Target="https://doi.org/10.1177/27652157251380629" TargetMode="External"/><Relationship Id="rId14" Type="http://schemas.openxmlformats.org/officeDocument/2006/relationships/hyperlink" Target="https://doi.org/10.1080/13683500.2020.1849048" TargetMode="External"/><Relationship Id="rId22" Type="http://schemas.openxmlformats.org/officeDocument/2006/relationships/hyperlink" Target="https://doi.org/10.1108/WHATT-10-2022-0116"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21</Pages>
  <Words>7773</Words>
  <Characters>44307</Characters>
  <Application>Microsoft Office Word</Application>
  <DocSecurity>0</DocSecurity>
  <Lines>369</Lines>
  <Paragraphs>103</Paragraphs>
  <ScaleCrop>false</ScaleCrop>
  <Company/>
  <LinksUpToDate>false</LinksUpToDate>
  <CharactersWithSpaces>51977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KHALAF SULAIMAN KHALAF AL BAHRI</cp:lastModifiedBy>
  <cp:revision>9</cp:revision>
  <dcterms:created xsi:type="dcterms:W3CDTF">2026-04-10T05:18:00Z</dcterms:created>
  <dcterms:modified xsi:type="dcterms:W3CDTF">2026-05-04T18:47:00Z</dcterms:modified>
</cp:coreProperties>
</file>