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7A3A0" w14:textId="01953AA4" w:rsidR="00600F02" w:rsidRPr="00600F02" w:rsidRDefault="00600F02" w:rsidP="00600F02">
      <w:pPr>
        <w:spacing w:after="0" w:line="360" w:lineRule="auto"/>
        <w:contextualSpacing/>
        <w:jc w:val="both"/>
        <w:rPr>
          <w:rFonts w:cstheme="minorHAnsi"/>
          <w:b/>
          <w:bCs/>
          <w:sz w:val="20"/>
          <w:szCs w:val="20"/>
        </w:rPr>
      </w:pPr>
      <w:r w:rsidRPr="00600F02">
        <w:rPr>
          <w:rFonts w:cstheme="minorHAnsi"/>
          <w:b/>
          <w:bCs/>
          <w:sz w:val="20"/>
          <w:szCs w:val="20"/>
        </w:rPr>
        <w:t xml:space="preserve">Appendix of </w:t>
      </w:r>
      <w:r w:rsidRPr="0091790F">
        <w:rPr>
          <w:rFonts w:cstheme="minorHAnsi"/>
          <w:b/>
          <w:bCs/>
          <w:sz w:val="20"/>
          <w:szCs w:val="20"/>
        </w:rPr>
        <w:t>Table</w:t>
      </w:r>
      <w:r>
        <w:rPr>
          <w:rFonts w:cstheme="minorHAnsi"/>
          <w:b/>
          <w:bCs/>
          <w:sz w:val="20"/>
          <w:szCs w:val="20"/>
        </w:rPr>
        <w:t>s</w:t>
      </w:r>
    </w:p>
    <w:p w14:paraId="744B95BB" w14:textId="17E00A4B" w:rsidR="007A261C" w:rsidRDefault="00D3001A" w:rsidP="00D3001A">
      <w:pPr>
        <w:spacing w:after="0" w:line="360" w:lineRule="auto"/>
        <w:contextualSpacing/>
        <w:jc w:val="both"/>
        <w:rPr>
          <w:rFonts w:cstheme="minorHAnsi"/>
          <w:sz w:val="20"/>
          <w:szCs w:val="20"/>
        </w:rPr>
      </w:pPr>
      <w:r w:rsidRPr="0091790F">
        <w:rPr>
          <w:rFonts w:cstheme="minorHAnsi"/>
          <w:b/>
          <w:bCs/>
          <w:sz w:val="20"/>
          <w:szCs w:val="20"/>
        </w:rPr>
        <w:t>Table 1. Annual publication output (2010–2023; N = 1,044</w:t>
      </w:r>
      <w:r w:rsidRPr="0091790F">
        <w:rPr>
          <w:rFonts w:cstheme="minorHAnsi"/>
          <w:sz w:val="20"/>
          <w:szCs w:val="20"/>
        </w:rPr>
        <w:t>)</w:t>
      </w:r>
    </w:p>
    <w:tbl>
      <w:tblPr>
        <w:tblStyle w:val="aa"/>
        <w:tblpPr w:leftFromText="180" w:rightFromText="180" w:vertAnchor="page" w:horzAnchor="margin" w:tblpX="-460" w:tblpY="2353"/>
        <w:tblW w:w="9175" w:type="dxa"/>
        <w:tblLook w:val="04A0" w:firstRow="1" w:lastRow="0" w:firstColumn="1" w:lastColumn="0" w:noHBand="0" w:noVBand="1"/>
      </w:tblPr>
      <w:tblGrid>
        <w:gridCol w:w="1908"/>
        <w:gridCol w:w="2139"/>
        <w:gridCol w:w="2399"/>
        <w:gridCol w:w="2729"/>
      </w:tblGrid>
      <w:tr w:rsidR="00DE2D25" w:rsidRPr="0091790F" w14:paraId="5CAEB257" w14:textId="77777777" w:rsidTr="00DE2D25">
        <w:tc>
          <w:tcPr>
            <w:tcW w:w="1908" w:type="dxa"/>
            <w:shd w:val="clear" w:color="auto" w:fill="D9D9D9" w:themeFill="background1" w:themeFillShade="D9"/>
            <w:vAlign w:val="center"/>
            <w:hideMark/>
          </w:tcPr>
          <w:p w14:paraId="6B70D1F6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1790F">
              <w:rPr>
                <w:rFonts w:cstheme="minorHAns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  <w:hideMark/>
          </w:tcPr>
          <w:p w14:paraId="6233AA0D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1790F">
              <w:rPr>
                <w:rFonts w:cstheme="minorHAnsi"/>
                <w:b/>
                <w:bCs/>
                <w:sz w:val="20"/>
                <w:szCs w:val="20"/>
              </w:rPr>
              <w:t>Publications</w:t>
            </w:r>
          </w:p>
        </w:tc>
        <w:tc>
          <w:tcPr>
            <w:tcW w:w="2399" w:type="dxa"/>
            <w:shd w:val="clear" w:color="auto" w:fill="D9D9D9" w:themeFill="background1" w:themeFillShade="D9"/>
          </w:tcPr>
          <w:p w14:paraId="730F8CE9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1790F">
              <w:rPr>
                <w:rFonts w:cstheme="minorHAns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2729" w:type="dxa"/>
            <w:shd w:val="clear" w:color="auto" w:fill="D9D9D9" w:themeFill="background1" w:themeFillShade="D9"/>
            <w:vAlign w:val="center"/>
          </w:tcPr>
          <w:p w14:paraId="369DBED5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1790F">
              <w:rPr>
                <w:rFonts w:cstheme="minorHAnsi"/>
                <w:b/>
                <w:bCs/>
                <w:sz w:val="20"/>
                <w:szCs w:val="20"/>
              </w:rPr>
              <w:t>Publications</w:t>
            </w:r>
          </w:p>
        </w:tc>
      </w:tr>
      <w:tr w:rsidR="00DE2D25" w:rsidRPr="0091790F" w14:paraId="7BDC72E8" w14:textId="77777777" w:rsidTr="00DE2D25">
        <w:tc>
          <w:tcPr>
            <w:tcW w:w="1908" w:type="dxa"/>
            <w:vAlign w:val="center"/>
            <w:hideMark/>
          </w:tcPr>
          <w:p w14:paraId="34FC9FF4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2010</w:t>
            </w:r>
          </w:p>
        </w:tc>
        <w:tc>
          <w:tcPr>
            <w:tcW w:w="2139" w:type="dxa"/>
            <w:vAlign w:val="center"/>
            <w:hideMark/>
          </w:tcPr>
          <w:p w14:paraId="5A912024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91790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399" w:type="dxa"/>
            <w:vAlign w:val="center"/>
          </w:tcPr>
          <w:p w14:paraId="0C8AF061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2729" w:type="dxa"/>
            <w:vAlign w:val="center"/>
          </w:tcPr>
          <w:p w14:paraId="493470E9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58</w:t>
            </w:r>
          </w:p>
        </w:tc>
      </w:tr>
      <w:tr w:rsidR="00DE2D25" w:rsidRPr="0091790F" w14:paraId="292FAEF9" w14:textId="77777777" w:rsidTr="00DE2D25">
        <w:tc>
          <w:tcPr>
            <w:tcW w:w="1908" w:type="dxa"/>
            <w:vAlign w:val="center"/>
            <w:hideMark/>
          </w:tcPr>
          <w:p w14:paraId="53312D6F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2139" w:type="dxa"/>
            <w:vAlign w:val="center"/>
            <w:hideMark/>
          </w:tcPr>
          <w:p w14:paraId="20A8DE9B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2399" w:type="dxa"/>
            <w:vAlign w:val="center"/>
          </w:tcPr>
          <w:p w14:paraId="0970ADA3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2729" w:type="dxa"/>
            <w:vAlign w:val="center"/>
          </w:tcPr>
          <w:p w14:paraId="42C20B13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61</w:t>
            </w:r>
          </w:p>
        </w:tc>
      </w:tr>
      <w:tr w:rsidR="00DE2D25" w:rsidRPr="0091790F" w14:paraId="1B675E5E" w14:textId="77777777" w:rsidTr="00DE2D25">
        <w:tc>
          <w:tcPr>
            <w:tcW w:w="1908" w:type="dxa"/>
            <w:vAlign w:val="center"/>
            <w:hideMark/>
          </w:tcPr>
          <w:p w14:paraId="25583C7B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2139" w:type="dxa"/>
            <w:vAlign w:val="center"/>
            <w:hideMark/>
          </w:tcPr>
          <w:p w14:paraId="45151319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399" w:type="dxa"/>
            <w:vAlign w:val="center"/>
          </w:tcPr>
          <w:p w14:paraId="548A8CCF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2019</w:t>
            </w:r>
          </w:p>
        </w:tc>
        <w:tc>
          <w:tcPr>
            <w:tcW w:w="2729" w:type="dxa"/>
            <w:vAlign w:val="center"/>
          </w:tcPr>
          <w:p w14:paraId="6248BC29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83</w:t>
            </w:r>
          </w:p>
        </w:tc>
      </w:tr>
      <w:tr w:rsidR="00DE2D25" w:rsidRPr="0091790F" w14:paraId="374EAE8A" w14:textId="77777777" w:rsidTr="00DE2D25">
        <w:tc>
          <w:tcPr>
            <w:tcW w:w="1908" w:type="dxa"/>
            <w:vAlign w:val="center"/>
            <w:hideMark/>
          </w:tcPr>
          <w:p w14:paraId="679BFE15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2139" w:type="dxa"/>
            <w:vAlign w:val="center"/>
            <w:hideMark/>
          </w:tcPr>
          <w:p w14:paraId="666F65D6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2399" w:type="dxa"/>
            <w:vAlign w:val="center"/>
          </w:tcPr>
          <w:p w14:paraId="5AA2A665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2020</w:t>
            </w:r>
          </w:p>
        </w:tc>
        <w:tc>
          <w:tcPr>
            <w:tcW w:w="2729" w:type="dxa"/>
            <w:vAlign w:val="center"/>
          </w:tcPr>
          <w:p w14:paraId="2CD660DC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126</w:t>
            </w:r>
          </w:p>
        </w:tc>
      </w:tr>
      <w:tr w:rsidR="00DE2D25" w:rsidRPr="0091790F" w14:paraId="081E7D8F" w14:textId="77777777" w:rsidTr="00DE2D25">
        <w:tc>
          <w:tcPr>
            <w:tcW w:w="1908" w:type="dxa"/>
            <w:vAlign w:val="center"/>
            <w:hideMark/>
          </w:tcPr>
          <w:p w14:paraId="608ABD12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2139" w:type="dxa"/>
            <w:vAlign w:val="center"/>
            <w:hideMark/>
          </w:tcPr>
          <w:p w14:paraId="45844CAE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2399" w:type="dxa"/>
            <w:vAlign w:val="center"/>
          </w:tcPr>
          <w:p w14:paraId="7F7E93B0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2021</w:t>
            </w:r>
          </w:p>
        </w:tc>
        <w:tc>
          <w:tcPr>
            <w:tcW w:w="2729" w:type="dxa"/>
            <w:vAlign w:val="center"/>
          </w:tcPr>
          <w:p w14:paraId="35F4B708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163</w:t>
            </w:r>
          </w:p>
        </w:tc>
      </w:tr>
      <w:tr w:rsidR="00DE2D25" w:rsidRPr="0091790F" w14:paraId="19CE59A1" w14:textId="77777777" w:rsidTr="00DE2D25">
        <w:tc>
          <w:tcPr>
            <w:tcW w:w="1908" w:type="dxa"/>
            <w:vAlign w:val="center"/>
            <w:hideMark/>
          </w:tcPr>
          <w:p w14:paraId="14C38DA6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2139" w:type="dxa"/>
            <w:vAlign w:val="center"/>
            <w:hideMark/>
          </w:tcPr>
          <w:p w14:paraId="2D1DE3B6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2399" w:type="dxa"/>
            <w:vAlign w:val="center"/>
          </w:tcPr>
          <w:p w14:paraId="6EB57EC0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2022</w:t>
            </w:r>
          </w:p>
        </w:tc>
        <w:tc>
          <w:tcPr>
            <w:tcW w:w="2729" w:type="dxa"/>
            <w:vAlign w:val="center"/>
          </w:tcPr>
          <w:p w14:paraId="43CC9073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190</w:t>
            </w:r>
          </w:p>
        </w:tc>
      </w:tr>
      <w:tr w:rsidR="00DE2D25" w:rsidRPr="0091790F" w14:paraId="438A3F3F" w14:textId="77777777" w:rsidTr="00DE2D25">
        <w:tc>
          <w:tcPr>
            <w:tcW w:w="1908" w:type="dxa"/>
            <w:vAlign w:val="center"/>
            <w:hideMark/>
          </w:tcPr>
          <w:p w14:paraId="1C5144C4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2139" w:type="dxa"/>
            <w:vAlign w:val="center"/>
            <w:hideMark/>
          </w:tcPr>
          <w:p w14:paraId="74C7CD6B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2399" w:type="dxa"/>
            <w:vAlign w:val="center"/>
          </w:tcPr>
          <w:p w14:paraId="3020873F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2023</w:t>
            </w:r>
          </w:p>
        </w:tc>
        <w:tc>
          <w:tcPr>
            <w:tcW w:w="2729" w:type="dxa"/>
            <w:vAlign w:val="center"/>
          </w:tcPr>
          <w:p w14:paraId="6AF13BA6" w14:textId="77777777" w:rsidR="00DE2D25" w:rsidRPr="0091790F" w:rsidRDefault="00DE2D25" w:rsidP="00DE2D25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285</w:t>
            </w:r>
          </w:p>
        </w:tc>
      </w:tr>
    </w:tbl>
    <w:p w14:paraId="4E18012D" w14:textId="77777777" w:rsidR="00350AF0" w:rsidRDefault="00350AF0" w:rsidP="00D3001A">
      <w:pPr>
        <w:spacing w:after="0" w:line="360" w:lineRule="auto"/>
        <w:contextualSpacing/>
        <w:jc w:val="both"/>
        <w:rPr>
          <w:rFonts w:cstheme="minorHAnsi"/>
          <w:b/>
          <w:bCs/>
          <w:sz w:val="20"/>
          <w:szCs w:val="20"/>
        </w:rPr>
      </w:pPr>
    </w:p>
    <w:p w14:paraId="208C18CE" w14:textId="0AC53EA5" w:rsidR="00350AF0" w:rsidRPr="0091790F" w:rsidRDefault="00D3001A" w:rsidP="00DE2D25">
      <w:pPr>
        <w:spacing w:after="0" w:line="360" w:lineRule="auto"/>
        <w:contextualSpacing/>
        <w:jc w:val="both"/>
        <w:rPr>
          <w:rFonts w:cstheme="minorHAnsi"/>
          <w:b/>
          <w:bCs/>
          <w:sz w:val="20"/>
          <w:szCs w:val="20"/>
        </w:rPr>
      </w:pPr>
      <w:r w:rsidRPr="0091790F">
        <w:rPr>
          <w:rFonts w:cstheme="minorHAnsi"/>
          <w:b/>
          <w:bCs/>
          <w:sz w:val="20"/>
          <w:szCs w:val="20"/>
        </w:rPr>
        <w:t>Table 2. Top countries (from VOSviewer Country Items)</w:t>
      </w:r>
    </w:p>
    <w:tbl>
      <w:tblPr>
        <w:tblStyle w:val="aa"/>
        <w:tblW w:w="9180" w:type="dxa"/>
        <w:tblInd w:w="-455" w:type="dxa"/>
        <w:tblLook w:val="04A0" w:firstRow="1" w:lastRow="0" w:firstColumn="1" w:lastColumn="0" w:noHBand="0" w:noVBand="1"/>
      </w:tblPr>
      <w:tblGrid>
        <w:gridCol w:w="990"/>
        <w:gridCol w:w="1530"/>
        <w:gridCol w:w="1715"/>
        <w:gridCol w:w="1440"/>
        <w:gridCol w:w="990"/>
        <w:gridCol w:w="810"/>
        <w:gridCol w:w="1705"/>
      </w:tblGrid>
      <w:tr w:rsidR="00D3001A" w:rsidRPr="0091790F" w14:paraId="6BFE6176" w14:textId="77777777" w:rsidTr="00DE2D25">
        <w:tc>
          <w:tcPr>
            <w:tcW w:w="990" w:type="dxa"/>
            <w:shd w:val="clear" w:color="auto" w:fill="D9D9D9" w:themeFill="background1" w:themeFillShade="D9"/>
            <w:vAlign w:val="center"/>
            <w:hideMark/>
          </w:tcPr>
          <w:p w14:paraId="6D749E4E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  <w:r w:rsidRPr="0091790F">
              <w:rPr>
                <w:rFonts w:cstheme="minorHAnsi"/>
                <w:b/>
                <w:bCs/>
                <w:sz w:val="20"/>
                <w:szCs w:val="20"/>
              </w:rPr>
              <w:t>Rank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  <w:hideMark/>
          </w:tcPr>
          <w:p w14:paraId="2DE9F8DE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1790F">
              <w:rPr>
                <w:rFonts w:cstheme="minorHAnsi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715" w:type="dxa"/>
            <w:shd w:val="clear" w:color="auto" w:fill="D9D9D9" w:themeFill="background1" w:themeFillShade="D9"/>
            <w:vAlign w:val="center"/>
            <w:hideMark/>
          </w:tcPr>
          <w:p w14:paraId="03FD3119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  <w:r w:rsidRPr="0091790F">
              <w:rPr>
                <w:rFonts w:cstheme="minorHAnsi"/>
                <w:b/>
                <w:bCs/>
                <w:sz w:val="20"/>
                <w:szCs w:val="20"/>
              </w:rPr>
              <w:t>Documents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14:paraId="23513465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1790F">
              <w:rPr>
                <w:rFonts w:cstheme="minorHAnsi"/>
                <w:b/>
                <w:bCs/>
                <w:sz w:val="20"/>
                <w:szCs w:val="20"/>
              </w:rPr>
              <w:t>Citations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  <w:hideMark/>
          </w:tcPr>
          <w:p w14:paraId="7D53D5E3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1790F">
              <w:rPr>
                <w:rFonts w:cstheme="minorHAnsi"/>
                <w:b/>
                <w:bCs/>
                <w:sz w:val="20"/>
                <w:szCs w:val="20"/>
              </w:rPr>
              <w:t>Links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  <w:hideMark/>
          </w:tcPr>
          <w:p w14:paraId="14416572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91790F">
              <w:rPr>
                <w:rFonts w:cstheme="minorHAnsi"/>
                <w:b/>
                <w:bCs/>
                <w:sz w:val="20"/>
                <w:szCs w:val="20"/>
              </w:rPr>
              <w:t>TLS</w:t>
            </w:r>
          </w:p>
        </w:tc>
        <w:tc>
          <w:tcPr>
            <w:tcW w:w="1705" w:type="dxa"/>
            <w:shd w:val="clear" w:color="auto" w:fill="D9D9D9" w:themeFill="background1" w:themeFillShade="D9"/>
            <w:vAlign w:val="center"/>
            <w:hideMark/>
          </w:tcPr>
          <w:p w14:paraId="2BDD832F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1790F">
              <w:rPr>
                <w:rFonts w:cstheme="minorHAnsi"/>
                <w:b/>
                <w:bCs/>
                <w:sz w:val="20"/>
                <w:szCs w:val="20"/>
              </w:rPr>
              <w:t>Avg. pub. year</w:t>
            </w:r>
          </w:p>
        </w:tc>
      </w:tr>
      <w:tr w:rsidR="00D3001A" w:rsidRPr="0091790F" w14:paraId="5EFA041C" w14:textId="77777777" w:rsidTr="00DE2D25">
        <w:trPr>
          <w:trHeight w:val="251"/>
        </w:trPr>
        <w:tc>
          <w:tcPr>
            <w:tcW w:w="990" w:type="dxa"/>
            <w:vAlign w:val="center"/>
            <w:hideMark/>
          </w:tcPr>
          <w:p w14:paraId="18EDDF56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30" w:type="dxa"/>
            <w:vAlign w:val="center"/>
            <w:hideMark/>
          </w:tcPr>
          <w:p w14:paraId="789D9645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91790F">
              <w:rPr>
                <w:rFonts w:cstheme="minorHAnsi"/>
                <w:sz w:val="20"/>
                <w:szCs w:val="20"/>
              </w:rPr>
              <w:t>China</w:t>
            </w:r>
          </w:p>
        </w:tc>
        <w:tc>
          <w:tcPr>
            <w:tcW w:w="1715" w:type="dxa"/>
            <w:vAlign w:val="center"/>
            <w:hideMark/>
          </w:tcPr>
          <w:p w14:paraId="509ABF77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194</w:t>
            </w:r>
          </w:p>
        </w:tc>
        <w:tc>
          <w:tcPr>
            <w:tcW w:w="1440" w:type="dxa"/>
            <w:vAlign w:val="center"/>
            <w:hideMark/>
          </w:tcPr>
          <w:p w14:paraId="5BB00F5F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3,953</w:t>
            </w:r>
          </w:p>
        </w:tc>
        <w:tc>
          <w:tcPr>
            <w:tcW w:w="990" w:type="dxa"/>
            <w:vAlign w:val="center"/>
            <w:hideMark/>
          </w:tcPr>
          <w:p w14:paraId="0C4A92DF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810" w:type="dxa"/>
            <w:vAlign w:val="center"/>
            <w:hideMark/>
          </w:tcPr>
          <w:p w14:paraId="23F122F2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705" w:type="dxa"/>
            <w:vAlign w:val="center"/>
            <w:hideMark/>
          </w:tcPr>
          <w:p w14:paraId="74D65EA6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2020.66</w:t>
            </w:r>
          </w:p>
        </w:tc>
      </w:tr>
      <w:tr w:rsidR="00D3001A" w:rsidRPr="0091790F" w14:paraId="457AC7C0" w14:textId="77777777" w:rsidTr="00DE2D25">
        <w:tc>
          <w:tcPr>
            <w:tcW w:w="990" w:type="dxa"/>
            <w:vAlign w:val="center"/>
            <w:hideMark/>
          </w:tcPr>
          <w:p w14:paraId="387C7F1D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30" w:type="dxa"/>
            <w:vAlign w:val="center"/>
            <w:hideMark/>
          </w:tcPr>
          <w:p w14:paraId="1B254651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Italy</w:t>
            </w:r>
          </w:p>
        </w:tc>
        <w:tc>
          <w:tcPr>
            <w:tcW w:w="1715" w:type="dxa"/>
            <w:vAlign w:val="center"/>
            <w:hideMark/>
          </w:tcPr>
          <w:p w14:paraId="00074F8C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111</w:t>
            </w:r>
          </w:p>
        </w:tc>
        <w:tc>
          <w:tcPr>
            <w:tcW w:w="1440" w:type="dxa"/>
            <w:vAlign w:val="center"/>
            <w:hideMark/>
          </w:tcPr>
          <w:p w14:paraId="3383513A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2,651</w:t>
            </w:r>
          </w:p>
        </w:tc>
        <w:tc>
          <w:tcPr>
            <w:tcW w:w="990" w:type="dxa"/>
            <w:vAlign w:val="center"/>
            <w:hideMark/>
          </w:tcPr>
          <w:p w14:paraId="4FCFEDB8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810" w:type="dxa"/>
            <w:vAlign w:val="center"/>
            <w:hideMark/>
          </w:tcPr>
          <w:p w14:paraId="76DF968A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1705" w:type="dxa"/>
            <w:vAlign w:val="center"/>
            <w:hideMark/>
          </w:tcPr>
          <w:p w14:paraId="7A9F1F25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2019.65</w:t>
            </w:r>
          </w:p>
        </w:tc>
      </w:tr>
      <w:tr w:rsidR="00D3001A" w:rsidRPr="0091790F" w14:paraId="1AAC09B8" w14:textId="77777777" w:rsidTr="00DE2D25">
        <w:tc>
          <w:tcPr>
            <w:tcW w:w="990" w:type="dxa"/>
            <w:vAlign w:val="center"/>
            <w:hideMark/>
          </w:tcPr>
          <w:p w14:paraId="124DED97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530" w:type="dxa"/>
            <w:vAlign w:val="center"/>
            <w:hideMark/>
          </w:tcPr>
          <w:p w14:paraId="52A06F5A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Spain</w:t>
            </w:r>
          </w:p>
        </w:tc>
        <w:tc>
          <w:tcPr>
            <w:tcW w:w="1715" w:type="dxa"/>
            <w:vAlign w:val="center"/>
            <w:hideMark/>
          </w:tcPr>
          <w:p w14:paraId="6FDCC40E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1440" w:type="dxa"/>
            <w:vAlign w:val="center"/>
            <w:hideMark/>
          </w:tcPr>
          <w:p w14:paraId="035A50AA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2,590</w:t>
            </w:r>
          </w:p>
        </w:tc>
        <w:tc>
          <w:tcPr>
            <w:tcW w:w="990" w:type="dxa"/>
            <w:vAlign w:val="center"/>
            <w:hideMark/>
          </w:tcPr>
          <w:p w14:paraId="3AD53BBC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810" w:type="dxa"/>
            <w:vAlign w:val="center"/>
            <w:hideMark/>
          </w:tcPr>
          <w:p w14:paraId="21617B0F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1705" w:type="dxa"/>
            <w:vAlign w:val="center"/>
            <w:hideMark/>
          </w:tcPr>
          <w:p w14:paraId="33BAA72C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2020.01</w:t>
            </w:r>
          </w:p>
        </w:tc>
      </w:tr>
      <w:tr w:rsidR="00D3001A" w:rsidRPr="0091790F" w14:paraId="3A6D122E" w14:textId="77777777" w:rsidTr="00DE2D25">
        <w:tc>
          <w:tcPr>
            <w:tcW w:w="990" w:type="dxa"/>
            <w:vAlign w:val="center"/>
            <w:hideMark/>
          </w:tcPr>
          <w:p w14:paraId="54FD9D4D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530" w:type="dxa"/>
            <w:vAlign w:val="center"/>
            <w:hideMark/>
          </w:tcPr>
          <w:p w14:paraId="20887B6D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India</w:t>
            </w:r>
          </w:p>
        </w:tc>
        <w:tc>
          <w:tcPr>
            <w:tcW w:w="1715" w:type="dxa"/>
            <w:vAlign w:val="center"/>
            <w:hideMark/>
          </w:tcPr>
          <w:p w14:paraId="2EF3C004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1440" w:type="dxa"/>
            <w:vAlign w:val="center"/>
            <w:hideMark/>
          </w:tcPr>
          <w:p w14:paraId="581A34DD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888</w:t>
            </w:r>
          </w:p>
        </w:tc>
        <w:tc>
          <w:tcPr>
            <w:tcW w:w="990" w:type="dxa"/>
            <w:vAlign w:val="center"/>
            <w:hideMark/>
          </w:tcPr>
          <w:p w14:paraId="006AF335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810" w:type="dxa"/>
            <w:vAlign w:val="center"/>
            <w:hideMark/>
          </w:tcPr>
          <w:p w14:paraId="2200E177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1705" w:type="dxa"/>
            <w:vAlign w:val="center"/>
            <w:hideMark/>
          </w:tcPr>
          <w:p w14:paraId="16D66854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2021.76</w:t>
            </w:r>
          </w:p>
        </w:tc>
      </w:tr>
      <w:tr w:rsidR="00D3001A" w:rsidRPr="0091790F" w14:paraId="319203D0" w14:textId="77777777" w:rsidTr="00DE2D25">
        <w:tc>
          <w:tcPr>
            <w:tcW w:w="990" w:type="dxa"/>
            <w:vAlign w:val="center"/>
            <w:hideMark/>
          </w:tcPr>
          <w:p w14:paraId="055F3EA0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530" w:type="dxa"/>
            <w:vAlign w:val="center"/>
            <w:hideMark/>
          </w:tcPr>
          <w:p w14:paraId="31F23C12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Portugal</w:t>
            </w:r>
          </w:p>
        </w:tc>
        <w:tc>
          <w:tcPr>
            <w:tcW w:w="1715" w:type="dxa"/>
            <w:vAlign w:val="center"/>
            <w:hideMark/>
          </w:tcPr>
          <w:p w14:paraId="34F73E01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1440" w:type="dxa"/>
            <w:vAlign w:val="center"/>
            <w:hideMark/>
          </w:tcPr>
          <w:p w14:paraId="0C128070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1,172</w:t>
            </w:r>
          </w:p>
        </w:tc>
        <w:tc>
          <w:tcPr>
            <w:tcW w:w="990" w:type="dxa"/>
            <w:vAlign w:val="center"/>
            <w:hideMark/>
          </w:tcPr>
          <w:p w14:paraId="3CD5F485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810" w:type="dxa"/>
            <w:vAlign w:val="center"/>
            <w:hideMark/>
          </w:tcPr>
          <w:p w14:paraId="7712761E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705" w:type="dxa"/>
            <w:vAlign w:val="center"/>
            <w:hideMark/>
          </w:tcPr>
          <w:p w14:paraId="1A4A5B01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2020.37</w:t>
            </w:r>
          </w:p>
        </w:tc>
      </w:tr>
      <w:tr w:rsidR="00D3001A" w:rsidRPr="0091790F" w14:paraId="78F21322" w14:textId="77777777" w:rsidTr="00DE2D25">
        <w:tc>
          <w:tcPr>
            <w:tcW w:w="990" w:type="dxa"/>
            <w:vAlign w:val="center"/>
            <w:hideMark/>
          </w:tcPr>
          <w:p w14:paraId="49A92338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30" w:type="dxa"/>
            <w:vAlign w:val="center"/>
            <w:hideMark/>
          </w:tcPr>
          <w:p w14:paraId="78B90151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Indonesia</w:t>
            </w:r>
          </w:p>
        </w:tc>
        <w:tc>
          <w:tcPr>
            <w:tcW w:w="1715" w:type="dxa"/>
            <w:vAlign w:val="center"/>
            <w:hideMark/>
          </w:tcPr>
          <w:p w14:paraId="6C7488CB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1440" w:type="dxa"/>
            <w:vAlign w:val="center"/>
            <w:hideMark/>
          </w:tcPr>
          <w:p w14:paraId="4DB0C410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592</w:t>
            </w:r>
          </w:p>
        </w:tc>
        <w:tc>
          <w:tcPr>
            <w:tcW w:w="990" w:type="dxa"/>
            <w:vAlign w:val="center"/>
            <w:hideMark/>
          </w:tcPr>
          <w:p w14:paraId="115E7E72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810" w:type="dxa"/>
            <w:vAlign w:val="center"/>
            <w:hideMark/>
          </w:tcPr>
          <w:p w14:paraId="71258CB7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705" w:type="dxa"/>
            <w:vAlign w:val="center"/>
            <w:hideMark/>
          </w:tcPr>
          <w:p w14:paraId="48943640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2021.28</w:t>
            </w:r>
          </w:p>
        </w:tc>
      </w:tr>
      <w:tr w:rsidR="00D3001A" w:rsidRPr="0091790F" w14:paraId="35A03D40" w14:textId="77777777" w:rsidTr="00DE2D25">
        <w:tc>
          <w:tcPr>
            <w:tcW w:w="990" w:type="dxa"/>
            <w:vAlign w:val="center"/>
            <w:hideMark/>
          </w:tcPr>
          <w:p w14:paraId="79D4F00A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30" w:type="dxa"/>
            <w:vAlign w:val="center"/>
            <w:hideMark/>
          </w:tcPr>
          <w:p w14:paraId="7909B706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United Kingdom</w:t>
            </w:r>
          </w:p>
        </w:tc>
        <w:tc>
          <w:tcPr>
            <w:tcW w:w="1715" w:type="dxa"/>
            <w:vAlign w:val="center"/>
            <w:hideMark/>
          </w:tcPr>
          <w:p w14:paraId="04BF6A14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1440" w:type="dxa"/>
            <w:vAlign w:val="center"/>
            <w:hideMark/>
          </w:tcPr>
          <w:p w14:paraId="3E552F59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3,388</w:t>
            </w:r>
          </w:p>
        </w:tc>
        <w:tc>
          <w:tcPr>
            <w:tcW w:w="990" w:type="dxa"/>
            <w:vAlign w:val="center"/>
            <w:hideMark/>
          </w:tcPr>
          <w:p w14:paraId="65063801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810" w:type="dxa"/>
            <w:vAlign w:val="center"/>
            <w:hideMark/>
          </w:tcPr>
          <w:p w14:paraId="3A9F73ED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52</w:t>
            </w:r>
          </w:p>
        </w:tc>
        <w:tc>
          <w:tcPr>
            <w:tcW w:w="1705" w:type="dxa"/>
            <w:vAlign w:val="center"/>
            <w:hideMark/>
          </w:tcPr>
          <w:p w14:paraId="122F24B7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2020.17</w:t>
            </w:r>
          </w:p>
        </w:tc>
      </w:tr>
      <w:tr w:rsidR="00D3001A" w:rsidRPr="0091790F" w14:paraId="5F1AC8B7" w14:textId="77777777" w:rsidTr="00DE2D25">
        <w:tc>
          <w:tcPr>
            <w:tcW w:w="990" w:type="dxa"/>
            <w:vAlign w:val="center"/>
            <w:hideMark/>
          </w:tcPr>
          <w:p w14:paraId="5F5A7FA3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30" w:type="dxa"/>
            <w:vAlign w:val="center"/>
            <w:hideMark/>
          </w:tcPr>
          <w:p w14:paraId="2DDF83AE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Greece</w:t>
            </w:r>
          </w:p>
        </w:tc>
        <w:tc>
          <w:tcPr>
            <w:tcW w:w="1715" w:type="dxa"/>
            <w:vAlign w:val="center"/>
            <w:hideMark/>
          </w:tcPr>
          <w:p w14:paraId="72CB8087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440" w:type="dxa"/>
            <w:vAlign w:val="center"/>
            <w:hideMark/>
          </w:tcPr>
          <w:p w14:paraId="040E9E7A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856</w:t>
            </w:r>
          </w:p>
        </w:tc>
        <w:tc>
          <w:tcPr>
            <w:tcW w:w="990" w:type="dxa"/>
            <w:vAlign w:val="center"/>
            <w:hideMark/>
          </w:tcPr>
          <w:p w14:paraId="3FE2634C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810" w:type="dxa"/>
            <w:vAlign w:val="center"/>
            <w:hideMark/>
          </w:tcPr>
          <w:p w14:paraId="6B081E31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1705" w:type="dxa"/>
            <w:vAlign w:val="center"/>
            <w:hideMark/>
          </w:tcPr>
          <w:p w14:paraId="317B37DC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 w:hint="cs"/>
                <w:sz w:val="20"/>
                <w:szCs w:val="20"/>
                <w:rtl/>
              </w:rPr>
            </w:pPr>
            <w:r w:rsidRPr="0091790F">
              <w:rPr>
                <w:rFonts w:cstheme="minorHAnsi"/>
                <w:sz w:val="20"/>
                <w:szCs w:val="20"/>
              </w:rPr>
              <w:t>2020.98</w:t>
            </w:r>
          </w:p>
        </w:tc>
      </w:tr>
      <w:tr w:rsidR="00D3001A" w:rsidRPr="0091790F" w14:paraId="03DCA57C" w14:textId="77777777" w:rsidTr="00DE2D25">
        <w:tc>
          <w:tcPr>
            <w:tcW w:w="990" w:type="dxa"/>
            <w:vAlign w:val="center"/>
            <w:hideMark/>
          </w:tcPr>
          <w:p w14:paraId="2192ED7F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30" w:type="dxa"/>
            <w:vAlign w:val="center"/>
            <w:hideMark/>
          </w:tcPr>
          <w:p w14:paraId="1CADF2E3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Malaysia</w:t>
            </w:r>
          </w:p>
        </w:tc>
        <w:tc>
          <w:tcPr>
            <w:tcW w:w="1715" w:type="dxa"/>
            <w:vAlign w:val="center"/>
            <w:hideMark/>
          </w:tcPr>
          <w:p w14:paraId="584BA875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1440" w:type="dxa"/>
            <w:vAlign w:val="center"/>
            <w:hideMark/>
          </w:tcPr>
          <w:p w14:paraId="698A80F8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1,150</w:t>
            </w:r>
          </w:p>
        </w:tc>
        <w:tc>
          <w:tcPr>
            <w:tcW w:w="990" w:type="dxa"/>
            <w:vAlign w:val="center"/>
            <w:hideMark/>
          </w:tcPr>
          <w:p w14:paraId="01829C97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810" w:type="dxa"/>
            <w:vAlign w:val="center"/>
            <w:hideMark/>
          </w:tcPr>
          <w:p w14:paraId="0ABDEEF4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1705" w:type="dxa"/>
            <w:vAlign w:val="center"/>
            <w:hideMark/>
          </w:tcPr>
          <w:p w14:paraId="3384AC8E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2021.13</w:t>
            </w:r>
          </w:p>
        </w:tc>
      </w:tr>
      <w:tr w:rsidR="00D3001A" w:rsidRPr="0091790F" w14:paraId="4DB85EB2" w14:textId="77777777" w:rsidTr="00DE2D25">
        <w:tc>
          <w:tcPr>
            <w:tcW w:w="990" w:type="dxa"/>
            <w:vAlign w:val="center"/>
            <w:hideMark/>
          </w:tcPr>
          <w:p w14:paraId="42C5325E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530" w:type="dxa"/>
            <w:vAlign w:val="center"/>
            <w:hideMark/>
          </w:tcPr>
          <w:p w14:paraId="222A17B4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United States</w:t>
            </w:r>
          </w:p>
        </w:tc>
        <w:tc>
          <w:tcPr>
            <w:tcW w:w="1715" w:type="dxa"/>
            <w:vAlign w:val="center"/>
            <w:hideMark/>
          </w:tcPr>
          <w:p w14:paraId="43DC2490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1440" w:type="dxa"/>
            <w:vAlign w:val="center"/>
            <w:hideMark/>
          </w:tcPr>
          <w:p w14:paraId="6F738FC9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2,209</w:t>
            </w:r>
          </w:p>
        </w:tc>
        <w:tc>
          <w:tcPr>
            <w:tcW w:w="990" w:type="dxa"/>
            <w:vAlign w:val="center"/>
            <w:hideMark/>
          </w:tcPr>
          <w:p w14:paraId="3F600C4E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810" w:type="dxa"/>
            <w:vAlign w:val="center"/>
            <w:hideMark/>
          </w:tcPr>
          <w:p w14:paraId="62C4D098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1705" w:type="dxa"/>
            <w:vAlign w:val="center"/>
            <w:hideMark/>
          </w:tcPr>
          <w:p w14:paraId="33834344" w14:textId="77777777" w:rsidR="00D3001A" w:rsidRPr="0091790F" w:rsidRDefault="00D3001A" w:rsidP="00A866B4">
            <w:pPr>
              <w:bidi/>
              <w:spacing w:after="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91790F">
              <w:rPr>
                <w:rFonts w:cstheme="minorHAnsi"/>
                <w:sz w:val="20"/>
                <w:szCs w:val="20"/>
              </w:rPr>
              <w:t>2020.44</w:t>
            </w:r>
          </w:p>
        </w:tc>
      </w:tr>
    </w:tbl>
    <w:p w14:paraId="19151D5A" w14:textId="77777777" w:rsidR="00A866B4" w:rsidRDefault="00A866B4" w:rsidP="00DE2D25">
      <w:pPr>
        <w:rPr>
          <w:rFonts w:cstheme="minorHAnsi"/>
          <w:b/>
          <w:bCs/>
          <w:sz w:val="20"/>
          <w:szCs w:val="20"/>
        </w:rPr>
      </w:pPr>
    </w:p>
    <w:p w14:paraId="41B67107" w14:textId="13AAC35A" w:rsidR="00DE2D25" w:rsidRPr="00DE2D25" w:rsidRDefault="00DE2D25" w:rsidP="00DE2D25">
      <w:pPr>
        <w:rPr>
          <w:rFonts w:cstheme="minorHAnsi"/>
          <w:b/>
          <w:bCs/>
          <w:sz w:val="20"/>
          <w:szCs w:val="20"/>
        </w:rPr>
      </w:pPr>
      <w:r w:rsidRPr="0091790F">
        <w:rPr>
          <w:rFonts w:cstheme="minorHAnsi"/>
          <w:b/>
          <w:bCs/>
          <w:sz w:val="20"/>
          <w:szCs w:val="20"/>
        </w:rPr>
        <w:t>Table 3. Cluster summary (Keyword structure)</w:t>
      </w:r>
    </w:p>
    <w:tbl>
      <w:tblPr>
        <w:tblStyle w:val="aa"/>
        <w:tblpPr w:leftFromText="180" w:rightFromText="180" w:vertAnchor="page" w:horzAnchor="margin" w:tblpXSpec="center" w:tblpY="9565"/>
        <w:tblW w:w="9090" w:type="dxa"/>
        <w:tblLook w:val="04A0" w:firstRow="1" w:lastRow="0" w:firstColumn="1" w:lastColumn="0" w:noHBand="0" w:noVBand="1"/>
      </w:tblPr>
      <w:tblGrid>
        <w:gridCol w:w="895"/>
        <w:gridCol w:w="2314"/>
        <w:gridCol w:w="808"/>
        <w:gridCol w:w="1383"/>
        <w:gridCol w:w="3690"/>
      </w:tblGrid>
      <w:tr w:rsidR="00A866B4" w:rsidRPr="00BC7FD2" w14:paraId="45142FAF" w14:textId="77777777" w:rsidTr="00A866B4">
        <w:tc>
          <w:tcPr>
            <w:tcW w:w="895" w:type="dxa"/>
            <w:shd w:val="clear" w:color="auto" w:fill="D9D9D9" w:themeFill="background1" w:themeFillShade="D9"/>
            <w:vAlign w:val="center"/>
            <w:hideMark/>
          </w:tcPr>
          <w:p w14:paraId="081A2593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BC7FD2">
              <w:rPr>
                <w:rFonts w:cstheme="minorHAnsi"/>
                <w:b/>
                <w:bCs/>
                <w:sz w:val="20"/>
                <w:szCs w:val="20"/>
              </w:rPr>
              <w:t>Cluster</w:t>
            </w:r>
          </w:p>
        </w:tc>
        <w:tc>
          <w:tcPr>
            <w:tcW w:w="2314" w:type="dxa"/>
            <w:shd w:val="clear" w:color="auto" w:fill="D9D9D9" w:themeFill="background1" w:themeFillShade="D9"/>
            <w:vAlign w:val="center"/>
            <w:hideMark/>
          </w:tcPr>
          <w:p w14:paraId="6E203E3C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BC7FD2">
              <w:rPr>
                <w:rFonts w:cstheme="minorHAnsi"/>
                <w:b/>
                <w:bCs/>
                <w:sz w:val="20"/>
                <w:szCs w:val="20"/>
              </w:rPr>
              <w:t>Theme label</w:t>
            </w:r>
          </w:p>
        </w:tc>
        <w:tc>
          <w:tcPr>
            <w:tcW w:w="808" w:type="dxa"/>
            <w:shd w:val="clear" w:color="auto" w:fill="D9D9D9" w:themeFill="background1" w:themeFillShade="D9"/>
            <w:vAlign w:val="center"/>
            <w:hideMark/>
          </w:tcPr>
          <w:p w14:paraId="660068B9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C7FD2">
              <w:rPr>
                <w:rFonts w:cstheme="minorHAnsi"/>
                <w:b/>
                <w:bCs/>
                <w:sz w:val="20"/>
                <w:szCs w:val="20"/>
              </w:rPr>
              <w:t>Terms (n)</w:t>
            </w:r>
          </w:p>
        </w:tc>
        <w:tc>
          <w:tcPr>
            <w:tcW w:w="1383" w:type="dxa"/>
            <w:shd w:val="clear" w:color="auto" w:fill="D9D9D9" w:themeFill="background1" w:themeFillShade="D9"/>
            <w:vAlign w:val="center"/>
            <w:hideMark/>
          </w:tcPr>
          <w:p w14:paraId="38BE74D2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C7FD2">
              <w:rPr>
                <w:rFonts w:cstheme="minorHAnsi"/>
                <w:b/>
                <w:bCs/>
                <w:sz w:val="20"/>
                <w:szCs w:val="20"/>
              </w:rPr>
              <w:t>Total occurrences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  <w:hideMark/>
          </w:tcPr>
          <w:p w14:paraId="7D94808A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C7FD2">
              <w:rPr>
                <w:rFonts w:cstheme="minorHAnsi"/>
                <w:b/>
                <w:bCs/>
                <w:sz w:val="20"/>
                <w:szCs w:val="20"/>
              </w:rPr>
              <w:t>Top terms (occurrences)</w:t>
            </w:r>
          </w:p>
        </w:tc>
      </w:tr>
      <w:tr w:rsidR="00A866B4" w:rsidRPr="00BC7FD2" w14:paraId="49419E39" w14:textId="77777777" w:rsidTr="00A866B4">
        <w:tc>
          <w:tcPr>
            <w:tcW w:w="895" w:type="dxa"/>
            <w:vAlign w:val="center"/>
            <w:hideMark/>
          </w:tcPr>
          <w:p w14:paraId="327628AA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314" w:type="dxa"/>
            <w:hideMark/>
          </w:tcPr>
          <w:p w14:paraId="7A02BE4C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BC7FD2">
              <w:rPr>
                <w:rFonts w:cstheme="minorHAnsi"/>
                <w:sz w:val="20"/>
                <w:szCs w:val="20"/>
              </w:rPr>
              <w:t>Digital transformation &amp; XR</w:t>
            </w:r>
          </w:p>
        </w:tc>
        <w:tc>
          <w:tcPr>
            <w:tcW w:w="808" w:type="dxa"/>
            <w:hideMark/>
          </w:tcPr>
          <w:p w14:paraId="564B60D2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383" w:type="dxa"/>
            <w:hideMark/>
          </w:tcPr>
          <w:p w14:paraId="24CE31D5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BC7FD2">
              <w:rPr>
                <w:rFonts w:cstheme="minorHAnsi"/>
                <w:sz w:val="20"/>
                <w:szCs w:val="20"/>
              </w:rPr>
              <w:t>130</w:t>
            </w:r>
          </w:p>
        </w:tc>
        <w:tc>
          <w:tcPr>
            <w:tcW w:w="3690" w:type="dxa"/>
            <w:hideMark/>
          </w:tcPr>
          <w:p w14:paraId="155A6E2E" w14:textId="77777777" w:rsidR="00A866B4" w:rsidRPr="00BC7FD2" w:rsidRDefault="00A866B4" w:rsidP="00A866B4">
            <w:pPr>
              <w:bidi/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 xml:space="preserve">Digital transformation (21); </w:t>
            </w:r>
            <w:proofErr w:type="spellStart"/>
            <w:r w:rsidRPr="00BC7FD2">
              <w:rPr>
                <w:rFonts w:cstheme="minorHAnsi"/>
                <w:sz w:val="20"/>
                <w:szCs w:val="20"/>
              </w:rPr>
              <w:t>iot</w:t>
            </w:r>
            <w:proofErr w:type="spellEnd"/>
            <w:r w:rsidRPr="00BC7FD2">
              <w:rPr>
                <w:rFonts w:cstheme="minorHAnsi"/>
                <w:sz w:val="20"/>
                <w:szCs w:val="20"/>
              </w:rPr>
              <w:t xml:space="preserve"> (16); </w:t>
            </w:r>
            <w:proofErr w:type="spellStart"/>
            <w:r w:rsidRPr="00BC7FD2">
              <w:rPr>
                <w:rFonts w:cstheme="minorHAnsi"/>
                <w:sz w:val="20"/>
                <w:szCs w:val="20"/>
              </w:rPr>
              <w:t>ict</w:t>
            </w:r>
            <w:proofErr w:type="spellEnd"/>
            <w:r w:rsidRPr="00BC7FD2">
              <w:rPr>
                <w:rFonts w:cstheme="minorHAnsi"/>
                <w:sz w:val="20"/>
                <w:szCs w:val="20"/>
              </w:rPr>
              <w:t xml:space="preserve"> (13)</w:t>
            </w:r>
          </w:p>
        </w:tc>
      </w:tr>
      <w:tr w:rsidR="00A866B4" w:rsidRPr="00BC7FD2" w14:paraId="0A9C4615" w14:textId="77777777" w:rsidTr="00A866B4">
        <w:tc>
          <w:tcPr>
            <w:tcW w:w="895" w:type="dxa"/>
            <w:vAlign w:val="center"/>
            <w:hideMark/>
          </w:tcPr>
          <w:p w14:paraId="755FBD6E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314" w:type="dxa"/>
            <w:hideMark/>
          </w:tcPr>
          <w:p w14:paraId="74F32529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Smart tourism &amp; AI/IoT</w:t>
            </w:r>
          </w:p>
        </w:tc>
        <w:tc>
          <w:tcPr>
            <w:tcW w:w="808" w:type="dxa"/>
            <w:hideMark/>
          </w:tcPr>
          <w:p w14:paraId="2EE58E02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383" w:type="dxa"/>
            <w:hideMark/>
          </w:tcPr>
          <w:p w14:paraId="37859CCC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317</w:t>
            </w:r>
          </w:p>
        </w:tc>
        <w:tc>
          <w:tcPr>
            <w:tcW w:w="3690" w:type="dxa"/>
            <w:hideMark/>
          </w:tcPr>
          <w:p w14:paraId="1BDD0F2F" w14:textId="77777777" w:rsidR="00A866B4" w:rsidRPr="00BC7FD2" w:rsidRDefault="00A866B4" w:rsidP="00A866B4">
            <w:pPr>
              <w:bidi/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Smart tourism (120); artificial intelligence (49); smart cities (47)</w:t>
            </w:r>
          </w:p>
        </w:tc>
      </w:tr>
      <w:tr w:rsidR="00A866B4" w:rsidRPr="00BC7FD2" w14:paraId="73CD1955" w14:textId="77777777" w:rsidTr="00A866B4">
        <w:tc>
          <w:tcPr>
            <w:tcW w:w="895" w:type="dxa"/>
            <w:vAlign w:val="center"/>
            <w:hideMark/>
          </w:tcPr>
          <w:p w14:paraId="28395C76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314" w:type="dxa"/>
            <w:hideMark/>
          </w:tcPr>
          <w:p w14:paraId="3B9CE3A0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Sustainable tourism &amp; smart destinations</w:t>
            </w:r>
          </w:p>
        </w:tc>
        <w:tc>
          <w:tcPr>
            <w:tcW w:w="808" w:type="dxa"/>
            <w:hideMark/>
          </w:tcPr>
          <w:p w14:paraId="0CD532EA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383" w:type="dxa"/>
            <w:hideMark/>
          </w:tcPr>
          <w:p w14:paraId="6A0F00EA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204</w:t>
            </w:r>
          </w:p>
        </w:tc>
        <w:tc>
          <w:tcPr>
            <w:tcW w:w="3690" w:type="dxa"/>
            <w:hideMark/>
          </w:tcPr>
          <w:p w14:paraId="5CA2FCE7" w14:textId="77777777" w:rsidR="00A866B4" w:rsidRPr="00BC7FD2" w:rsidRDefault="00A866B4" w:rsidP="00A866B4">
            <w:pPr>
              <w:bidi/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Sustainable tourism (91); technology (20); smart destination (16)</w:t>
            </w:r>
          </w:p>
        </w:tc>
      </w:tr>
      <w:tr w:rsidR="00A866B4" w:rsidRPr="00BC7FD2" w14:paraId="1E49E16B" w14:textId="77777777" w:rsidTr="00A866B4">
        <w:tc>
          <w:tcPr>
            <w:tcW w:w="895" w:type="dxa"/>
            <w:vAlign w:val="center"/>
            <w:hideMark/>
          </w:tcPr>
          <w:p w14:paraId="1E51D5E8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314" w:type="dxa"/>
            <w:hideMark/>
          </w:tcPr>
          <w:p w14:paraId="4487DADB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Sustainability, climate &amp; mobility</w:t>
            </w:r>
          </w:p>
        </w:tc>
        <w:tc>
          <w:tcPr>
            <w:tcW w:w="808" w:type="dxa"/>
            <w:hideMark/>
          </w:tcPr>
          <w:p w14:paraId="2AE3D887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383" w:type="dxa"/>
            <w:hideMark/>
          </w:tcPr>
          <w:p w14:paraId="01F68C23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BC7FD2">
              <w:rPr>
                <w:rFonts w:cstheme="minorHAnsi"/>
                <w:sz w:val="20"/>
                <w:szCs w:val="20"/>
              </w:rPr>
              <w:t>212</w:t>
            </w:r>
          </w:p>
        </w:tc>
        <w:tc>
          <w:tcPr>
            <w:tcW w:w="3690" w:type="dxa"/>
            <w:hideMark/>
          </w:tcPr>
          <w:p w14:paraId="6A6ACD10" w14:textId="77777777" w:rsidR="00A866B4" w:rsidRPr="00BC7FD2" w:rsidRDefault="00A866B4" w:rsidP="00A866B4">
            <w:pPr>
              <w:bidi/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Sustainability (103); covid-19 (23); renewable energy (13)</w:t>
            </w:r>
          </w:p>
        </w:tc>
      </w:tr>
      <w:tr w:rsidR="00A866B4" w:rsidRPr="00BC7FD2" w14:paraId="56D1BABF" w14:textId="77777777" w:rsidTr="00A866B4">
        <w:tc>
          <w:tcPr>
            <w:tcW w:w="895" w:type="dxa"/>
            <w:vAlign w:val="center"/>
            <w:hideMark/>
          </w:tcPr>
          <w:p w14:paraId="135980FE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314" w:type="dxa"/>
            <w:hideMark/>
          </w:tcPr>
          <w:p w14:paraId="6BB64FCF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Sustainable development &amp; heritage/rural</w:t>
            </w:r>
          </w:p>
        </w:tc>
        <w:tc>
          <w:tcPr>
            <w:tcW w:w="808" w:type="dxa"/>
            <w:hideMark/>
          </w:tcPr>
          <w:p w14:paraId="4C20B99A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383" w:type="dxa"/>
            <w:hideMark/>
          </w:tcPr>
          <w:p w14:paraId="1E7D1719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146</w:t>
            </w:r>
          </w:p>
        </w:tc>
        <w:tc>
          <w:tcPr>
            <w:tcW w:w="3690" w:type="dxa"/>
            <w:hideMark/>
          </w:tcPr>
          <w:p w14:paraId="3FEBDEDE" w14:textId="77777777" w:rsidR="00A866B4" w:rsidRPr="00BC7FD2" w:rsidRDefault="00A866B4" w:rsidP="00A866B4">
            <w:pPr>
              <w:bidi/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Sustainable development (78); cultural heritage (17); rural tourism (8)</w:t>
            </w:r>
          </w:p>
        </w:tc>
      </w:tr>
      <w:tr w:rsidR="00A866B4" w:rsidRPr="00BC7FD2" w14:paraId="465C3460" w14:textId="77777777" w:rsidTr="00A866B4">
        <w:tc>
          <w:tcPr>
            <w:tcW w:w="895" w:type="dxa"/>
            <w:vAlign w:val="center"/>
            <w:hideMark/>
          </w:tcPr>
          <w:p w14:paraId="46F611E5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314" w:type="dxa"/>
            <w:hideMark/>
          </w:tcPr>
          <w:p w14:paraId="6919563B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Smart city &amp; blockchain</w:t>
            </w:r>
          </w:p>
        </w:tc>
        <w:tc>
          <w:tcPr>
            <w:tcW w:w="808" w:type="dxa"/>
            <w:hideMark/>
          </w:tcPr>
          <w:p w14:paraId="0C0DFFAF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383" w:type="dxa"/>
            <w:hideMark/>
          </w:tcPr>
          <w:p w14:paraId="1016A5C8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BC7FD2">
              <w:rPr>
                <w:rFonts w:cstheme="minorHAnsi"/>
                <w:sz w:val="20"/>
                <w:szCs w:val="20"/>
              </w:rPr>
              <w:t>113</w:t>
            </w:r>
          </w:p>
        </w:tc>
        <w:tc>
          <w:tcPr>
            <w:tcW w:w="3690" w:type="dxa"/>
            <w:hideMark/>
          </w:tcPr>
          <w:p w14:paraId="4FE2AEE4" w14:textId="77777777" w:rsidR="00A866B4" w:rsidRPr="00BC7FD2" w:rsidRDefault="00A866B4" w:rsidP="00A866B4">
            <w:pPr>
              <w:bidi/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Smart city (56); blockchain (16); citizen science (7)</w:t>
            </w:r>
          </w:p>
        </w:tc>
      </w:tr>
      <w:tr w:rsidR="00A866B4" w:rsidRPr="00BC7FD2" w14:paraId="5687A5F8" w14:textId="77777777" w:rsidTr="00A866B4">
        <w:tc>
          <w:tcPr>
            <w:tcW w:w="895" w:type="dxa"/>
            <w:vAlign w:val="center"/>
            <w:hideMark/>
          </w:tcPr>
          <w:p w14:paraId="5A520EA8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314" w:type="dxa"/>
            <w:hideMark/>
          </w:tcPr>
          <w:p w14:paraId="19091D53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Innovation, industry &amp; resilience</w:t>
            </w:r>
          </w:p>
        </w:tc>
        <w:tc>
          <w:tcPr>
            <w:tcW w:w="808" w:type="dxa"/>
            <w:hideMark/>
          </w:tcPr>
          <w:p w14:paraId="0DB6A7E9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383" w:type="dxa"/>
            <w:hideMark/>
          </w:tcPr>
          <w:p w14:paraId="3354564F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87</w:t>
            </w:r>
          </w:p>
        </w:tc>
        <w:tc>
          <w:tcPr>
            <w:tcW w:w="3690" w:type="dxa"/>
            <w:hideMark/>
          </w:tcPr>
          <w:p w14:paraId="457FE52C" w14:textId="77777777" w:rsidR="00A866B4" w:rsidRPr="00BC7FD2" w:rsidRDefault="00A866B4" w:rsidP="00A866B4">
            <w:pPr>
              <w:bidi/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Innovation (27); tourism industry (18); smart specialization (10)</w:t>
            </w:r>
          </w:p>
        </w:tc>
      </w:tr>
      <w:tr w:rsidR="00A866B4" w:rsidRPr="00BC7FD2" w14:paraId="4063E557" w14:textId="77777777" w:rsidTr="00A866B4">
        <w:tc>
          <w:tcPr>
            <w:tcW w:w="895" w:type="dxa"/>
            <w:vAlign w:val="center"/>
            <w:hideMark/>
          </w:tcPr>
          <w:p w14:paraId="2CF704E5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314" w:type="dxa"/>
            <w:hideMark/>
          </w:tcPr>
          <w:p w14:paraId="1B838AF4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Tourism core &amp; decision support / bibliometrics</w:t>
            </w:r>
          </w:p>
        </w:tc>
        <w:tc>
          <w:tcPr>
            <w:tcW w:w="808" w:type="dxa"/>
            <w:hideMark/>
          </w:tcPr>
          <w:p w14:paraId="20766A3D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383" w:type="dxa"/>
            <w:hideMark/>
          </w:tcPr>
          <w:p w14:paraId="79D67774" w14:textId="77777777" w:rsidR="00A866B4" w:rsidRPr="00BC7FD2" w:rsidRDefault="00A866B4" w:rsidP="00A866B4">
            <w:pPr>
              <w:bidi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126</w:t>
            </w:r>
          </w:p>
        </w:tc>
        <w:tc>
          <w:tcPr>
            <w:tcW w:w="3690" w:type="dxa"/>
            <w:hideMark/>
          </w:tcPr>
          <w:p w14:paraId="33B1A06B" w14:textId="77777777" w:rsidR="00A866B4" w:rsidRPr="00BC7FD2" w:rsidRDefault="00A866B4" w:rsidP="00A866B4">
            <w:pPr>
              <w:bidi/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BC7FD2">
              <w:rPr>
                <w:rFonts w:cstheme="minorHAnsi"/>
                <w:sz w:val="20"/>
                <w:szCs w:val="20"/>
              </w:rPr>
              <w:t>Tourism (83); digitalization (11); bibliometric analysis (10)</w:t>
            </w:r>
          </w:p>
        </w:tc>
      </w:tr>
    </w:tbl>
    <w:p w14:paraId="7BBD0D02" w14:textId="77777777" w:rsidR="00A866B4" w:rsidRDefault="00A866B4" w:rsidP="007915DF">
      <w:pPr>
        <w:spacing w:after="0" w:line="360" w:lineRule="auto"/>
        <w:contextualSpacing/>
        <w:rPr>
          <w:rFonts w:cs="Sultan normal"/>
          <w:b/>
          <w:bCs/>
        </w:rPr>
      </w:pPr>
    </w:p>
    <w:p w14:paraId="521692A8" w14:textId="77777777" w:rsidR="00A866B4" w:rsidRDefault="00A866B4" w:rsidP="007915DF">
      <w:pPr>
        <w:spacing w:after="0" w:line="360" w:lineRule="auto"/>
        <w:contextualSpacing/>
        <w:rPr>
          <w:rFonts w:cs="Sultan normal"/>
          <w:b/>
          <w:bCs/>
        </w:rPr>
      </w:pPr>
    </w:p>
    <w:p w14:paraId="27C5611E" w14:textId="77777777" w:rsidR="00A866B4" w:rsidRDefault="00A866B4" w:rsidP="007915DF">
      <w:pPr>
        <w:spacing w:after="0" w:line="360" w:lineRule="auto"/>
        <w:contextualSpacing/>
        <w:rPr>
          <w:rFonts w:cs="Sultan normal"/>
          <w:b/>
          <w:bCs/>
        </w:rPr>
      </w:pPr>
    </w:p>
    <w:p w14:paraId="55196576" w14:textId="77777777" w:rsidR="00A866B4" w:rsidRDefault="00A866B4" w:rsidP="007915DF">
      <w:pPr>
        <w:spacing w:after="0" w:line="360" w:lineRule="auto"/>
        <w:contextualSpacing/>
        <w:rPr>
          <w:rFonts w:cs="Sultan normal"/>
          <w:b/>
          <w:bCs/>
        </w:rPr>
      </w:pPr>
    </w:p>
    <w:p w14:paraId="097B8725" w14:textId="5A2B95A9" w:rsidR="007915DF" w:rsidRPr="007915DF" w:rsidRDefault="007915DF" w:rsidP="007915DF">
      <w:pPr>
        <w:spacing w:after="0" w:line="360" w:lineRule="auto"/>
        <w:contextualSpacing/>
        <w:rPr>
          <w:rFonts w:cs="Sultan normal"/>
          <w:b/>
          <w:bCs/>
        </w:rPr>
      </w:pPr>
      <w:r w:rsidRPr="000C4877">
        <w:rPr>
          <w:rFonts w:cs="Sultan normal"/>
          <w:b/>
          <w:bCs/>
        </w:rPr>
        <w:t>Table 4. Condensed actionable implications framework (metadata-bounded)</w:t>
      </w:r>
    </w:p>
    <w:tbl>
      <w:tblPr>
        <w:tblStyle w:val="aa"/>
        <w:tblW w:w="9180" w:type="dxa"/>
        <w:tblInd w:w="-365" w:type="dxa"/>
        <w:tblLook w:val="04A0" w:firstRow="1" w:lastRow="0" w:firstColumn="1" w:lastColumn="0" w:noHBand="0" w:noVBand="1"/>
      </w:tblPr>
      <w:tblGrid>
        <w:gridCol w:w="3960"/>
        <w:gridCol w:w="2070"/>
        <w:gridCol w:w="3150"/>
      </w:tblGrid>
      <w:tr w:rsidR="007915DF" w:rsidRPr="00467683" w14:paraId="4400DBAF" w14:textId="77777777" w:rsidTr="00BC7FD2">
        <w:tc>
          <w:tcPr>
            <w:tcW w:w="3960" w:type="dxa"/>
            <w:shd w:val="clear" w:color="auto" w:fill="F2F2F2" w:themeFill="background1" w:themeFillShade="F2"/>
            <w:vAlign w:val="center"/>
            <w:hideMark/>
          </w:tcPr>
          <w:p w14:paraId="542F6466" w14:textId="77777777" w:rsidR="007915DF" w:rsidRPr="00D37AA0" w:rsidRDefault="007915DF" w:rsidP="00B25471">
            <w:pPr>
              <w:spacing w:after="0" w:line="240" w:lineRule="auto"/>
              <w:jc w:val="center"/>
              <w:rPr>
                <w:rFonts w:cs="Sultan normal"/>
                <w:b/>
                <w:bCs/>
                <w:sz w:val="20"/>
                <w:szCs w:val="20"/>
              </w:rPr>
            </w:pPr>
            <w:r w:rsidRPr="00D37AA0">
              <w:rPr>
                <w:rFonts w:cs="Sultan normal"/>
                <w:b/>
                <w:bCs/>
                <w:sz w:val="20"/>
                <w:szCs w:val="20"/>
              </w:rPr>
              <w:t>Governance-ready action + suggested indicators (examples)</w:t>
            </w:r>
          </w:p>
        </w:tc>
        <w:tc>
          <w:tcPr>
            <w:tcW w:w="2070" w:type="dxa"/>
            <w:shd w:val="clear" w:color="auto" w:fill="F2F2F2" w:themeFill="background1" w:themeFillShade="F2"/>
            <w:vAlign w:val="center"/>
          </w:tcPr>
          <w:p w14:paraId="392B8A13" w14:textId="77777777" w:rsidR="007915DF" w:rsidRPr="00467683" w:rsidRDefault="007915DF" w:rsidP="00B25471">
            <w:pPr>
              <w:spacing w:after="0" w:line="240" w:lineRule="auto"/>
              <w:jc w:val="center"/>
              <w:rPr>
                <w:rFonts w:cs="Sultan normal"/>
                <w:b/>
                <w:bCs/>
                <w:sz w:val="20"/>
                <w:szCs w:val="20"/>
              </w:rPr>
            </w:pPr>
            <w:r w:rsidRPr="00D37AA0">
              <w:rPr>
                <w:rFonts w:cs="Sultan normal"/>
                <w:b/>
                <w:bCs/>
                <w:sz w:val="20"/>
                <w:szCs w:val="20"/>
              </w:rPr>
              <w:t>Key implication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565CDFC1" w14:textId="77777777" w:rsidR="007915DF" w:rsidRPr="00467683" w:rsidRDefault="007915DF" w:rsidP="00B25471">
            <w:pPr>
              <w:spacing w:after="0" w:line="240" w:lineRule="auto"/>
              <w:jc w:val="center"/>
              <w:rPr>
                <w:rFonts w:cs="Sultan normal"/>
                <w:b/>
                <w:bCs/>
                <w:sz w:val="20"/>
                <w:szCs w:val="20"/>
                <w:rtl/>
              </w:rPr>
            </w:pPr>
            <w:r w:rsidRPr="00D37AA0">
              <w:rPr>
                <w:rFonts w:cs="Sultan normal"/>
                <w:b/>
                <w:bCs/>
                <w:sz w:val="20"/>
                <w:szCs w:val="20"/>
              </w:rPr>
              <w:t>Evidence pattern (Results)</w:t>
            </w:r>
          </w:p>
        </w:tc>
      </w:tr>
      <w:tr w:rsidR="007915DF" w:rsidRPr="00467683" w14:paraId="6767BC05" w14:textId="77777777" w:rsidTr="00BC7FD2">
        <w:trPr>
          <w:trHeight w:val="791"/>
        </w:trPr>
        <w:tc>
          <w:tcPr>
            <w:tcW w:w="3960" w:type="dxa"/>
            <w:hideMark/>
          </w:tcPr>
          <w:p w14:paraId="6FF8A9FA" w14:textId="77777777" w:rsidR="007915DF" w:rsidRPr="00D37AA0" w:rsidRDefault="007915DF" w:rsidP="00B25471">
            <w:pPr>
              <w:spacing w:after="0" w:line="240" w:lineRule="auto"/>
              <w:jc w:val="both"/>
              <w:rPr>
                <w:rFonts w:cs="Sultan normal"/>
                <w:sz w:val="20"/>
                <w:szCs w:val="20"/>
              </w:rPr>
            </w:pPr>
            <w:r w:rsidRPr="00D37AA0">
              <w:rPr>
                <w:rFonts w:cs="Sultan normal"/>
                <w:sz w:val="20"/>
                <w:szCs w:val="20"/>
              </w:rPr>
              <w:t xml:space="preserve">Establish outcomes-first programmes with baselines/targets; </w:t>
            </w:r>
            <w:r w:rsidRPr="00D37AA0">
              <w:rPr>
                <w:rFonts w:cs="Sultan normal"/>
                <w:b/>
                <w:bCs/>
                <w:sz w:val="20"/>
                <w:szCs w:val="20"/>
              </w:rPr>
              <w:t>indicators:</w:t>
            </w:r>
            <w:r w:rsidRPr="00D37AA0">
              <w:rPr>
                <w:rFonts w:cs="Sultan normal"/>
                <w:sz w:val="20"/>
                <w:szCs w:val="20"/>
              </w:rPr>
              <w:t xml:space="preserve"> baseline + targets documented; reporting cycle defined</w:t>
            </w:r>
          </w:p>
        </w:tc>
        <w:tc>
          <w:tcPr>
            <w:tcW w:w="2070" w:type="dxa"/>
          </w:tcPr>
          <w:p w14:paraId="319DE11E" w14:textId="77777777" w:rsidR="007915DF" w:rsidRPr="00467683" w:rsidRDefault="007915DF" w:rsidP="00BC7FD2">
            <w:pPr>
              <w:spacing w:after="0" w:line="240" w:lineRule="auto"/>
              <w:rPr>
                <w:rFonts w:cs="Sultan normal"/>
                <w:sz w:val="20"/>
                <w:szCs w:val="20"/>
              </w:rPr>
            </w:pPr>
            <w:r w:rsidRPr="00D37AA0">
              <w:rPr>
                <w:rFonts w:cs="Sultan normal"/>
                <w:sz w:val="20"/>
                <w:szCs w:val="20"/>
              </w:rPr>
              <w:t>Agenda visibility may be shaped by a narrow core</w:t>
            </w:r>
          </w:p>
        </w:tc>
        <w:tc>
          <w:tcPr>
            <w:tcW w:w="3150" w:type="dxa"/>
          </w:tcPr>
          <w:p w14:paraId="10D21B23" w14:textId="77777777" w:rsidR="007915DF" w:rsidRPr="00467683" w:rsidRDefault="007915DF" w:rsidP="00B25471">
            <w:pPr>
              <w:spacing w:after="0" w:line="240" w:lineRule="auto"/>
              <w:rPr>
                <w:rFonts w:cs="Sultan normal"/>
                <w:sz w:val="20"/>
                <w:szCs w:val="20"/>
              </w:rPr>
            </w:pPr>
            <w:r w:rsidRPr="00D37AA0">
              <w:rPr>
                <w:rFonts w:cs="Sultan normal"/>
                <w:sz w:val="20"/>
                <w:szCs w:val="20"/>
              </w:rPr>
              <w:t>Output and citation concentration in mapped countries (</w:t>
            </w:r>
            <w:r w:rsidRPr="00467683">
              <w:rPr>
                <w:rFonts w:cs="Sultan normal"/>
                <w:sz w:val="20"/>
                <w:szCs w:val="20"/>
              </w:rPr>
              <w:t xml:space="preserve">Top </w:t>
            </w:r>
            <w:proofErr w:type="gramStart"/>
            <w:r w:rsidRPr="00467683">
              <w:rPr>
                <w:rFonts w:cs="Sultan normal"/>
                <w:sz w:val="20"/>
                <w:szCs w:val="20"/>
              </w:rPr>
              <w:t>5</w:t>
            </w:r>
            <w:r w:rsidRPr="00D37AA0">
              <w:rPr>
                <w:rFonts w:cs="Sultan normal"/>
                <w:sz w:val="20"/>
                <w:szCs w:val="20"/>
              </w:rPr>
              <w:t xml:space="preserve"> ≈ 40</w:t>
            </w:r>
            <w:proofErr w:type="gramEnd"/>
            <w:r w:rsidRPr="00D37AA0">
              <w:rPr>
                <w:rFonts w:cs="Sultan normal"/>
                <w:sz w:val="20"/>
                <w:szCs w:val="20"/>
              </w:rPr>
              <w:t>%; Table 2; Figure 3)</w:t>
            </w:r>
          </w:p>
        </w:tc>
      </w:tr>
      <w:tr w:rsidR="007915DF" w:rsidRPr="00467683" w14:paraId="5809B251" w14:textId="77777777" w:rsidTr="00BC7FD2">
        <w:tc>
          <w:tcPr>
            <w:tcW w:w="3960" w:type="dxa"/>
            <w:hideMark/>
          </w:tcPr>
          <w:p w14:paraId="11A4EF66" w14:textId="77777777" w:rsidR="007915DF" w:rsidRPr="00D37AA0" w:rsidRDefault="007915DF" w:rsidP="00B25471">
            <w:pPr>
              <w:spacing w:after="0" w:line="240" w:lineRule="auto"/>
              <w:jc w:val="both"/>
              <w:rPr>
                <w:rFonts w:cs="Sultan normal"/>
                <w:sz w:val="20"/>
                <w:szCs w:val="20"/>
              </w:rPr>
            </w:pPr>
            <w:r w:rsidRPr="00D37AA0">
              <w:rPr>
                <w:rFonts w:cs="Sultan normal"/>
                <w:sz w:val="20"/>
                <w:szCs w:val="20"/>
              </w:rPr>
              <w:t xml:space="preserve">Build cross-context partnerships and shared datasets; </w:t>
            </w:r>
            <w:r w:rsidRPr="00D37AA0">
              <w:rPr>
                <w:rFonts w:cs="Sultan normal"/>
                <w:b/>
                <w:bCs/>
                <w:sz w:val="20"/>
                <w:szCs w:val="20"/>
              </w:rPr>
              <w:t>indicators:</w:t>
            </w:r>
            <w:r w:rsidRPr="00D37AA0">
              <w:rPr>
                <w:rFonts w:cs="Sultan normal"/>
                <w:sz w:val="20"/>
                <w:szCs w:val="20"/>
              </w:rPr>
              <w:t xml:space="preserve"> partnership MoU in place; shared dataset repository established; joint outputs planned</w:t>
            </w:r>
          </w:p>
        </w:tc>
        <w:tc>
          <w:tcPr>
            <w:tcW w:w="2070" w:type="dxa"/>
          </w:tcPr>
          <w:p w14:paraId="7F80DEE3" w14:textId="77777777" w:rsidR="007915DF" w:rsidRPr="00467683" w:rsidRDefault="007915DF" w:rsidP="00BC7FD2">
            <w:pPr>
              <w:spacing w:after="0" w:line="240" w:lineRule="auto"/>
              <w:rPr>
                <w:rFonts w:cs="Sultan normal"/>
                <w:sz w:val="20"/>
                <w:szCs w:val="20"/>
              </w:rPr>
            </w:pPr>
            <w:r w:rsidRPr="00D37AA0">
              <w:rPr>
                <w:rFonts w:cs="Sultan normal"/>
                <w:sz w:val="20"/>
                <w:szCs w:val="20"/>
              </w:rPr>
              <w:t>Knowledge diffusion may be uneven across contexts</w:t>
            </w:r>
          </w:p>
        </w:tc>
        <w:tc>
          <w:tcPr>
            <w:tcW w:w="3150" w:type="dxa"/>
          </w:tcPr>
          <w:p w14:paraId="0DF3AB92" w14:textId="77777777" w:rsidR="007915DF" w:rsidRPr="00467683" w:rsidRDefault="007915DF" w:rsidP="00B25471">
            <w:pPr>
              <w:spacing w:after="0" w:line="240" w:lineRule="auto"/>
              <w:rPr>
                <w:rFonts w:cs="Sultan normal"/>
                <w:sz w:val="20"/>
                <w:szCs w:val="20"/>
              </w:rPr>
            </w:pPr>
            <w:r w:rsidRPr="00D37AA0">
              <w:rPr>
                <w:rFonts w:cs="Sultan normal"/>
                <w:sz w:val="20"/>
                <w:szCs w:val="20"/>
              </w:rPr>
              <w:t>Core collaboration visibility (higher TLS/links for central nodes; Figure 3; Figure 6)</w:t>
            </w:r>
          </w:p>
        </w:tc>
      </w:tr>
      <w:tr w:rsidR="007915DF" w:rsidRPr="00467683" w14:paraId="0FEC8390" w14:textId="77777777" w:rsidTr="00BC7FD2">
        <w:tc>
          <w:tcPr>
            <w:tcW w:w="3960" w:type="dxa"/>
            <w:hideMark/>
          </w:tcPr>
          <w:p w14:paraId="070AA2B3" w14:textId="77777777" w:rsidR="007915DF" w:rsidRPr="00D37AA0" w:rsidRDefault="007915DF" w:rsidP="00B25471">
            <w:pPr>
              <w:spacing w:after="0" w:line="240" w:lineRule="auto"/>
              <w:jc w:val="both"/>
              <w:rPr>
                <w:rFonts w:cs="Sultan normal"/>
                <w:sz w:val="20"/>
                <w:szCs w:val="20"/>
              </w:rPr>
            </w:pPr>
            <w:r w:rsidRPr="00D37AA0">
              <w:rPr>
                <w:rFonts w:cs="Sultan normal"/>
                <w:sz w:val="20"/>
                <w:szCs w:val="20"/>
              </w:rPr>
              <w:t xml:space="preserve">Embed governance-by-design; </w:t>
            </w:r>
            <w:r w:rsidRPr="00D37AA0">
              <w:rPr>
                <w:rFonts w:cs="Sultan normal"/>
                <w:b/>
                <w:bCs/>
                <w:sz w:val="20"/>
                <w:szCs w:val="20"/>
              </w:rPr>
              <w:t>indicators:</w:t>
            </w:r>
            <w:r w:rsidRPr="00D37AA0">
              <w:rPr>
                <w:rFonts w:cs="Sultan normal"/>
                <w:sz w:val="20"/>
                <w:szCs w:val="20"/>
              </w:rPr>
              <w:t xml:space="preserve"> accountability matrix (RACI) completed; evaluation plan approved pre-rollout; audit trail defined</w:t>
            </w:r>
          </w:p>
        </w:tc>
        <w:tc>
          <w:tcPr>
            <w:tcW w:w="2070" w:type="dxa"/>
          </w:tcPr>
          <w:p w14:paraId="3E105544" w14:textId="77777777" w:rsidR="007915DF" w:rsidRPr="00467683" w:rsidRDefault="007915DF" w:rsidP="00BC7FD2">
            <w:pPr>
              <w:spacing w:after="0" w:line="240" w:lineRule="auto"/>
              <w:rPr>
                <w:rFonts w:cs="Sultan normal"/>
                <w:sz w:val="20"/>
                <w:szCs w:val="20"/>
              </w:rPr>
            </w:pPr>
            <w:r w:rsidRPr="00D37AA0">
              <w:rPr>
                <w:rFonts w:cs="Sultan normal"/>
                <w:sz w:val="20"/>
                <w:szCs w:val="20"/>
              </w:rPr>
              <w:t>Risk of adoption without accountability and evaluation</w:t>
            </w:r>
          </w:p>
        </w:tc>
        <w:tc>
          <w:tcPr>
            <w:tcW w:w="3150" w:type="dxa"/>
          </w:tcPr>
          <w:p w14:paraId="13A3D9F0" w14:textId="77777777" w:rsidR="007915DF" w:rsidRPr="00467683" w:rsidRDefault="007915DF" w:rsidP="00B25471">
            <w:pPr>
              <w:spacing w:after="0" w:line="240" w:lineRule="auto"/>
              <w:rPr>
                <w:rFonts w:cs="Sultan normal"/>
                <w:sz w:val="20"/>
                <w:szCs w:val="20"/>
              </w:rPr>
            </w:pPr>
            <w:r w:rsidRPr="00D37AA0">
              <w:rPr>
                <w:rFonts w:cs="Sultan normal"/>
                <w:sz w:val="20"/>
                <w:szCs w:val="20"/>
              </w:rPr>
              <w:t>Technology-forward dominance and limited governance centrality (Figure 4; Table 3; Result 4.6)</w:t>
            </w:r>
          </w:p>
        </w:tc>
      </w:tr>
      <w:tr w:rsidR="007915DF" w:rsidRPr="00467683" w14:paraId="5AB48D8B" w14:textId="77777777" w:rsidTr="00BC7FD2">
        <w:tc>
          <w:tcPr>
            <w:tcW w:w="3960" w:type="dxa"/>
            <w:hideMark/>
          </w:tcPr>
          <w:p w14:paraId="7F7FE7B3" w14:textId="77777777" w:rsidR="007915DF" w:rsidRPr="00D37AA0" w:rsidRDefault="007915DF" w:rsidP="00B25471">
            <w:pPr>
              <w:spacing w:after="0" w:line="240" w:lineRule="auto"/>
              <w:jc w:val="both"/>
              <w:rPr>
                <w:rFonts w:cs="Sultan normal"/>
                <w:sz w:val="20"/>
                <w:szCs w:val="20"/>
              </w:rPr>
            </w:pPr>
            <w:r w:rsidRPr="00D37AA0">
              <w:rPr>
                <w:rFonts w:cs="Sultan normal"/>
                <w:sz w:val="20"/>
                <w:szCs w:val="20"/>
              </w:rPr>
              <w:t xml:space="preserve">Standardise mechanism/outcome taxonomy for screening and policy use; </w:t>
            </w:r>
            <w:r w:rsidRPr="00D37AA0">
              <w:rPr>
                <w:rFonts w:cs="Sultan normal"/>
                <w:b/>
                <w:bCs/>
                <w:sz w:val="20"/>
                <w:szCs w:val="20"/>
              </w:rPr>
              <w:t>indicators:</w:t>
            </w:r>
            <w:r w:rsidRPr="00D37AA0">
              <w:rPr>
                <w:rFonts w:cs="Sultan normal"/>
                <w:sz w:val="20"/>
                <w:szCs w:val="20"/>
              </w:rPr>
              <w:t xml:space="preserve"> taxonomy document approved; periodic reliability </w:t>
            </w:r>
            <w:proofErr w:type="gramStart"/>
            <w:r w:rsidRPr="00D37AA0">
              <w:rPr>
                <w:rFonts w:cs="Sultan normal"/>
                <w:sz w:val="20"/>
                <w:szCs w:val="20"/>
              </w:rPr>
              <w:t>check</w:t>
            </w:r>
            <w:proofErr w:type="gramEnd"/>
            <w:r w:rsidRPr="00D37AA0">
              <w:rPr>
                <w:rFonts w:cs="Sultan normal"/>
                <w:sz w:val="20"/>
                <w:szCs w:val="20"/>
              </w:rPr>
              <w:t xml:space="preserve"> scheduled</w:t>
            </w:r>
          </w:p>
        </w:tc>
        <w:tc>
          <w:tcPr>
            <w:tcW w:w="2070" w:type="dxa"/>
          </w:tcPr>
          <w:p w14:paraId="68E8CDAA" w14:textId="77777777" w:rsidR="007915DF" w:rsidRPr="00467683" w:rsidRDefault="007915DF" w:rsidP="00BC7FD2">
            <w:pPr>
              <w:spacing w:after="0" w:line="240" w:lineRule="auto"/>
              <w:rPr>
                <w:rFonts w:cs="Sultan normal"/>
                <w:sz w:val="20"/>
                <w:szCs w:val="20"/>
              </w:rPr>
            </w:pPr>
            <w:r w:rsidRPr="00D37AA0">
              <w:rPr>
                <w:rFonts w:cs="Sultan normal"/>
                <w:sz w:val="20"/>
                <w:szCs w:val="20"/>
              </w:rPr>
              <w:t>Conceptual ambiguity in “technology mechanism” signalling</w:t>
            </w:r>
          </w:p>
        </w:tc>
        <w:tc>
          <w:tcPr>
            <w:tcW w:w="3150" w:type="dxa"/>
          </w:tcPr>
          <w:p w14:paraId="4626D48A" w14:textId="77777777" w:rsidR="007915DF" w:rsidRPr="00467683" w:rsidRDefault="007915DF" w:rsidP="00B25471">
            <w:pPr>
              <w:spacing w:after="0" w:line="240" w:lineRule="auto"/>
              <w:rPr>
                <w:rFonts w:cs="Sultan normal"/>
                <w:sz w:val="20"/>
                <w:szCs w:val="20"/>
              </w:rPr>
            </w:pPr>
            <w:r w:rsidRPr="00D37AA0">
              <w:rPr>
                <w:rFonts w:cs="Sultan normal"/>
                <w:sz w:val="20"/>
                <w:szCs w:val="20"/>
              </w:rPr>
              <w:t>Validation boundary condition (precision = 74%; Section 3.7)</w:t>
            </w:r>
          </w:p>
        </w:tc>
      </w:tr>
    </w:tbl>
    <w:p w14:paraId="47279296" w14:textId="77777777" w:rsidR="007915DF" w:rsidRPr="00350AF0" w:rsidRDefault="007915DF" w:rsidP="00350AF0">
      <w:pPr>
        <w:rPr>
          <w:rFonts w:cstheme="minorHAnsi"/>
          <w:sz w:val="20"/>
          <w:szCs w:val="20"/>
        </w:rPr>
      </w:pPr>
    </w:p>
    <w:sectPr w:rsidR="007915DF" w:rsidRPr="00350AF0" w:rsidSect="00705FA7"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EB825" w14:textId="77777777" w:rsidR="005003D1" w:rsidRDefault="005003D1" w:rsidP="00BC7FD2">
      <w:pPr>
        <w:spacing w:after="0" w:line="240" w:lineRule="auto"/>
      </w:pPr>
      <w:r>
        <w:separator/>
      </w:r>
    </w:p>
  </w:endnote>
  <w:endnote w:type="continuationSeparator" w:id="0">
    <w:p w14:paraId="04EEBA51" w14:textId="77777777" w:rsidR="005003D1" w:rsidRDefault="005003D1" w:rsidP="00BC7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7588025"/>
      <w:docPartObj>
        <w:docPartGallery w:val="Page Numbers (Bottom of Page)"/>
        <w:docPartUnique/>
      </w:docPartObj>
    </w:sdtPr>
    <w:sdtContent>
      <w:p w14:paraId="4A7AFBE6" w14:textId="0E4CDC0E" w:rsidR="00BC7FD2" w:rsidRDefault="00BC7FD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34FB9B83" w14:textId="77777777" w:rsidR="00BC7FD2" w:rsidRDefault="00BC7FD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02B57" w14:textId="77777777" w:rsidR="005003D1" w:rsidRDefault="005003D1" w:rsidP="00BC7FD2">
      <w:pPr>
        <w:spacing w:after="0" w:line="240" w:lineRule="auto"/>
      </w:pPr>
      <w:r>
        <w:separator/>
      </w:r>
    </w:p>
  </w:footnote>
  <w:footnote w:type="continuationSeparator" w:id="0">
    <w:p w14:paraId="20CE73EA" w14:textId="77777777" w:rsidR="005003D1" w:rsidRDefault="005003D1" w:rsidP="00BC7F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13"/>
    <w:rsid w:val="0010065C"/>
    <w:rsid w:val="00204DBA"/>
    <w:rsid w:val="002642B7"/>
    <w:rsid w:val="003207DF"/>
    <w:rsid w:val="00350AF0"/>
    <w:rsid w:val="005003D1"/>
    <w:rsid w:val="005608BB"/>
    <w:rsid w:val="00600F02"/>
    <w:rsid w:val="00705FA7"/>
    <w:rsid w:val="0072788F"/>
    <w:rsid w:val="007915DF"/>
    <w:rsid w:val="007A261C"/>
    <w:rsid w:val="00892ED1"/>
    <w:rsid w:val="009D63C1"/>
    <w:rsid w:val="00A50BE5"/>
    <w:rsid w:val="00A866B4"/>
    <w:rsid w:val="00BB5413"/>
    <w:rsid w:val="00BC7FD2"/>
    <w:rsid w:val="00C17CF5"/>
    <w:rsid w:val="00C27B96"/>
    <w:rsid w:val="00CE4CB8"/>
    <w:rsid w:val="00D3001A"/>
    <w:rsid w:val="00DE2D25"/>
    <w:rsid w:val="00F4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D4A64"/>
  <w15:chartTrackingRefBased/>
  <w15:docId w15:val="{8F2ED2A7-DEE2-4979-87FB-A40ECDC1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01A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B5413"/>
    <w:pPr>
      <w:keepNext/>
      <w:keepLines/>
      <w:bidi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B5413"/>
    <w:pPr>
      <w:keepNext/>
      <w:keepLines/>
      <w:bidi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B5413"/>
    <w:pPr>
      <w:keepNext/>
      <w:keepLines/>
      <w:bidi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B5413"/>
    <w:pPr>
      <w:keepNext/>
      <w:keepLines/>
      <w:bidi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B5413"/>
    <w:pPr>
      <w:keepNext/>
      <w:keepLines/>
      <w:bidi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B5413"/>
    <w:pPr>
      <w:keepNext/>
      <w:keepLines/>
      <w:bidi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B5413"/>
    <w:pPr>
      <w:keepNext/>
      <w:keepLines/>
      <w:bidi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B5413"/>
    <w:pPr>
      <w:keepNext/>
      <w:keepLines/>
      <w:bidi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B5413"/>
    <w:pPr>
      <w:keepNext/>
      <w:keepLines/>
      <w:bidi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B54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B54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B54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B5413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B5413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B541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B541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B541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B54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B5413"/>
    <w:pPr>
      <w:bidi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BB5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B5413"/>
    <w:pPr>
      <w:numPr>
        <w:ilvl w:val="1"/>
      </w:numPr>
      <w:bidi/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BB5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B5413"/>
    <w:pPr>
      <w:bidi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BB54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B5413"/>
    <w:pPr>
      <w:bidi/>
      <w:spacing w:after="160" w:line="259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BB541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B54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BB541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B5413"/>
    <w:rPr>
      <w:b/>
      <w:bCs/>
      <w:smallCaps/>
      <w:color w:val="2F5496" w:themeColor="accent1" w:themeShade="BF"/>
      <w:spacing w:val="5"/>
    </w:rPr>
  </w:style>
  <w:style w:type="table" w:styleId="aa">
    <w:name w:val="Grid Table Light"/>
    <w:basedOn w:val="a1"/>
    <w:uiPriority w:val="40"/>
    <w:rsid w:val="00D3001A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header"/>
    <w:basedOn w:val="a"/>
    <w:link w:val="Char3"/>
    <w:uiPriority w:val="99"/>
    <w:unhideWhenUsed/>
    <w:rsid w:val="00BC7F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BC7FD2"/>
    <w:rPr>
      <w:rFonts w:eastAsiaTheme="minorEastAsia"/>
      <w:kern w:val="0"/>
      <w14:ligatures w14:val="none"/>
    </w:rPr>
  </w:style>
  <w:style w:type="paragraph" w:styleId="ac">
    <w:name w:val="footer"/>
    <w:basedOn w:val="a"/>
    <w:link w:val="Char4"/>
    <w:uiPriority w:val="99"/>
    <w:unhideWhenUsed/>
    <w:rsid w:val="00BC7F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BC7FD2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SULAIMAN KHALAF AL BAHRI</dc:creator>
  <cp:keywords/>
  <dc:description/>
  <cp:lastModifiedBy>KHALAF SULAIMAN KHALAF AL BAHRI</cp:lastModifiedBy>
  <cp:revision>12</cp:revision>
  <dcterms:created xsi:type="dcterms:W3CDTF">2026-03-13T08:26:00Z</dcterms:created>
  <dcterms:modified xsi:type="dcterms:W3CDTF">2026-04-10T05:36:00Z</dcterms:modified>
</cp:coreProperties>
</file>