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5D0F" w14:textId="77777777" w:rsidR="00B83325" w:rsidRDefault="00B83325" w:rsidP="00B83325">
      <w:pPr>
        <w:jc w:val="center"/>
        <w:rPr>
          <w:rFonts w:ascii="Times New Roman" w:hAnsi="Times New Roman"/>
          <w:b/>
          <w:sz w:val="28"/>
        </w:rPr>
      </w:pPr>
      <w:r>
        <w:rPr>
          <w:rFonts w:ascii="Times New Roman" w:hAnsi="Times New Roman"/>
          <w:b/>
          <w:sz w:val="28"/>
        </w:rPr>
        <w:t>Supplementary Tables</w:t>
      </w:r>
    </w:p>
    <w:p w14:paraId="2ABE493B" w14:textId="77777777" w:rsidR="00B83325" w:rsidRDefault="00B83325" w:rsidP="00B83325">
      <w:pPr>
        <w:jc w:val="center"/>
      </w:pPr>
    </w:p>
    <w:p w14:paraId="0F44898F" w14:textId="77777777" w:rsidR="00B83325" w:rsidRPr="00765624" w:rsidRDefault="00B83325" w:rsidP="00B83325">
      <w:pPr>
        <w:rPr>
          <w:sz w:val="24"/>
          <w:szCs w:val="24"/>
        </w:rPr>
      </w:pPr>
      <w:r w:rsidRPr="00765624">
        <w:rPr>
          <w:rFonts w:ascii="Times New Roman" w:hAnsi="Times New Roman"/>
          <w:b/>
          <w:sz w:val="24"/>
          <w:szCs w:val="24"/>
        </w:rPr>
        <w:t>Supplementary Table 1. Frequency of IGHV gene usage according to mutational status</w:t>
      </w:r>
    </w:p>
    <w:tbl>
      <w:tblPr>
        <w:tblStyle w:val="TabloKlavuzu"/>
        <w:tblW w:w="9060" w:type="dxa"/>
        <w:tblLook w:val="04A0" w:firstRow="1" w:lastRow="0" w:firstColumn="1" w:lastColumn="0" w:noHBand="0" w:noVBand="1"/>
      </w:tblPr>
      <w:tblGrid>
        <w:gridCol w:w="2265"/>
        <w:gridCol w:w="2265"/>
        <w:gridCol w:w="2265"/>
        <w:gridCol w:w="2265"/>
      </w:tblGrid>
      <w:tr w:rsidR="00B83325" w:rsidRPr="001D429C" w14:paraId="645B5877" w14:textId="77777777" w:rsidTr="0059499E">
        <w:tc>
          <w:tcPr>
            <w:tcW w:w="2265" w:type="dxa"/>
            <w:vAlign w:val="center"/>
          </w:tcPr>
          <w:p w14:paraId="6C81695C" w14:textId="77777777" w:rsidR="00B83325" w:rsidRPr="001D429C" w:rsidRDefault="00B83325" w:rsidP="0059499E">
            <w:pPr>
              <w:rPr>
                <w:rFonts w:ascii="Times New Roman" w:hAnsi="Times New Roman" w:cs="Times New Roman"/>
              </w:rPr>
            </w:pPr>
            <w:r w:rsidRPr="001D429C">
              <w:rPr>
                <w:rFonts w:ascii="Times New Roman" w:hAnsi="Times New Roman" w:cs="Times New Roman"/>
                <w:b/>
                <w:bCs/>
                <w:color w:val="1F1F1F"/>
                <w:bdr w:val="none" w:sz="0" w:space="0" w:color="auto" w:frame="1"/>
              </w:rPr>
              <w:t>IGHV Gene</w:t>
            </w:r>
          </w:p>
        </w:tc>
        <w:tc>
          <w:tcPr>
            <w:tcW w:w="2265" w:type="dxa"/>
            <w:vAlign w:val="center"/>
          </w:tcPr>
          <w:p w14:paraId="3BB3CC88" w14:textId="77777777" w:rsidR="00B83325" w:rsidRPr="001D429C" w:rsidRDefault="00B83325" w:rsidP="0059499E">
            <w:pPr>
              <w:rPr>
                <w:rFonts w:ascii="Times New Roman" w:hAnsi="Times New Roman" w:cs="Times New Roman"/>
              </w:rPr>
            </w:pPr>
            <w:r w:rsidRPr="001D429C">
              <w:rPr>
                <w:rFonts w:ascii="Times New Roman" w:hAnsi="Times New Roman" w:cs="Times New Roman"/>
                <w:b/>
                <w:bCs/>
                <w:color w:val="1F1F1F"/>
                <w:bdr w:val="none" w:sz="0" w:space="0" w:color="auto" w:frame="1"/>
              </w:rPr>
              <w:t>Total (n=161)</w:t>
            </w:r>
          </w:p>
        </w:tc>
        <w:tc>
          <w:tcPr>
            <w:tcW w:w="2265" w:type="dxa"/>
            <w:vAlign w:val="center"/>
          </w:tcPr>
          <w:p w14:paraId="7BBA5CA3" w14:textId="77777777" w:rsidR="00B83325" w:rsidRPr="001D429C" w:rsidRDefault="00B83325" w:rsidP="0059499E">
            <w:pPr>
              <w:rPr>
                <w:rFonts w:ascii="Times New Roman" w:hAnsi="Times New Roman" w:cs="Times New Roman"/>
              </w:rPr>
            </w:pPr>
            <w:r w:rsidRPr="001D429C">
              <w:rPr>
                <w:rFonts w:ascii="Times New Roman" w:hAnsi="Times New Roman" w:cs="Times New Roman"/>
                <w:b/>
                <w:bCs/>
                <w:color w:val="1F1F1F"/>
                <w:bdr w:val="none" w:sz="0" w:space="0" w:color="auto" w:frame="1"/>
              </w:rPr>
              <w:t>Mutated IGHV (n=77)</w:t>
            </w:r>
          </w:p>
        </w:tc>
        <w:tc>
          <w:tcPr>
            <w:tcW w:w="2265" w:type="dxa"/>
            <w:vAlign w:val="center"/>
          </w:tcPr>
          <w:p w14:paraId="3780D43F" w14:textId="77777777" w:rsidR="00B83325" w:rsidRPr="001D429C" w:rsidRDefault="00B83325" w:rsidP="0059499E">
            <w:pPr>
              <w:rPr>
                <w:rFonts w:ascii="Times New Roman" w:hAnsi="Times New Roman" w:cs="Times New Roman"/>
              </w:rPr>
            </w:pPr>
            <w:r w:rsidRPr="001D429C">
              <w:rPr>
                <w:rFonts w:ascii="Times New Roman" w:hAnsi="Times New Roman" w:cs="Times New Roman"/>
                <w:b/>
                <w:bCs/>
                <w:color w:val="1F1F1F"/>
                <w:bdr w:val="none" w:sz="0" w:space="0" w:color="auto" w:frame="1"/>
              </w:rPr>
              <w:t>Unmutated IGHV (n=84)</w:t>
            </w:r>
          </w:p>
        </w:tc>
      </w:tr>
      <w:tr w:rsidR="00B83325" w:rsidRPr="001D429C" w14:paraId="540E6909" w14:textId="77777777" w:rsidTr="0059499E">
        <w:tc>
          <w:tcPr>
            <w:tcW w:w="2265" w:type="dxa"/>
            <w:vAlign w:val="center"/>
          </w:tcPr>
          <w:p w14:paraId="1F5DB66F" w14:textId="77777777" w:rsidR="00B83325" w:rsidRPr="001D429C" w:rsidRDefault="00B83325" w:rsidP="0059499E">
            <w:pPr>
              <w:rPr>
                <w:rFonts w:ascii="Times New Roman" w:hAnsi="Times New Roman" w:cs="Times New Roman"/>
                <w:i/>
                <w:iCs/>
              </w:rPr>
            </w:pPr>
            <w:r w:rsidRPr="001D429C">
              <w:rPr>
                <w:rFonts w:ascii="Times New Roman" w:hAnsi="Times New Roman" w:cs="Times New Roman"/>
                <w:b/>
                <w:bCs/>
                <w:i/>
                <w:iCs/>
                <w:color w:val="1F1F1F"/>
                <w:bdr w:val="none" w:sz="0" w:space="0" w:color="auto" w:frame="1"/>
              </w:rPr>
              <w:t>IGHV4-34</w:t>
            </w:r>
          </w:p>
        </w:tc>
        <w:tc>
          <w:tcPr>
            <w:tcW w:w="2265" w:type="dxa"/>
            <w:vAlign w:val="center"/>
          </w:tcPr>
          <w:p w14:paraId="692C74B2"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18 (11.2%)</w:t>
            </w:r>
          </w:p>
        </w:tc>
        <w:tc>
          <w:tcPr>
            <w:tcW w:w="2265" w:type="dxa"/>
            <w:vAlign w:val="center"/>
          </w:tcPr>
          <w:p w14:paraId="6985CF97"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16 (20.8%)</w:t>
            </w:r>
          </w:p>
        </w:tc>
        <w:tc>
          <w:tcPr>
            <w:tcW w:w="2265" w:type="dxa"/>
            <w:vAlign w:val="center"/>
          </w:tcPr>
          <w:p w14:paraId="4D79C885"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2 (2.4%)</w:t>
            </w:r>
          </w:p>
        </w:tc>
      </w:tr>
      <w:tr w:rsidR="00B83325" w:rsidRPr="001D429C" w14:paraId="4E5455EC" w14:textId="77777777" w:rsidTr="0059499E">
        <w:tc>
          <w:tcPr>
            <w:tcW w:w="2265" w:type="dxa"/>
            <w:vAlign w:val="center"/>
          </w:tcPr>
          <w:p w14:paraId="47E06C7D" w14:textId="77777777" w:rsidR="00B83325" w:rsidRPr="001D429C" w:rsidRDefault="00B83325" w:rsidP="0059499E">
            <w:pPr>
              <w:rPr>
                <w:rFonts w:ascii="Times New Roman" w:hAnsi="Times New Roman" w:cs="Times New Roman"/>
                <w:i/>
                <w:iCs/>
              </w:rPr>
            </w:pPr>
            <w:r w:rsidRPr="001D429C">
              <w:rPr>
                <w:rFonts w:ascii="Times New Roman" w:hAnsi="Times New Roman" w:cs="Times New Roman"/>
                <w:b/>
                <w:bCs/>
                <w:i/>
                <w:iCs/>
                <w:color w:val="1F1F1F"/>
                <w:bdr w:val="none" w:sz="0" w:space="0" w:color="auto" w:frame="1"/>
              </w:rPr>
              <w:t>IGHV1-69</w:t>
            </w:r>
          </w:p>
        </w:tc>
        <w:tc>
          <w:tcPr>
            <w:tcW w:w="2265" w:type="dxa"/>
            <w:vAlign w:val="center"/>
          </w:tcPr>
          <w:p w14:paraId="07AED8AC"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13 (8.1%)</w:t>
            </w:r>
          </w:p>
        </w:tc>
        <w:tc>
          <w:tcPr>
            <w:tcW w:w="2265" w:type="dxa"/>
            <w:vAlign w:val="center"/>
          </w:tcPr>
          <w:p w14:paraId="59BAE91E"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2 (2.6%)</w:t>
            </w:r>
          </w:p>
        </w:tc>
        <w:tc>
          <w:tcPr>
            <w:tcW w:w="2265" w:type="dxa"/>
            <w:vAlign w:val="center"/>
          </w:tcPr>
          <w:p w14:paraId="728E0B4C"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11 (13.1%)</w:t>
            </w:r>
          </w:p>
        </w:tc>
      </w:tr>
      <w:tr w:rsidR="00B83325" w:rsidRPr="001D429C" w14:paraId="35581308" w14:textId="77777777" w:rsidTr="0059499E">
        <w:tc>
          <w:tcPr>
            <w:tcW w:w="2265" w:type="dxa"/>
            <w:vAlign w:val="center"/>
          </w:tcPr>
          <w:p w14:paraId="14712D8E" w14:textId="77777777" w:rsidR="00B83325" w:rsidRPr="001D429C" w:rsidRDefault="00B83325" w:rsidP="0059499E">
            <w:pPr>
              <w:rPr>
                <w:rFonts w:ascii="Times New Roman" w:hAnsi="Times New Roman" w:cs="Times New Roman"/>
                <w:i/>
                <w:iCs/>
              </w:rPr>
            </w:pPr>
            <w:r w:rsidRPr="001D429C">
              <w:rPr>
                <w:rFonts w:ascii="Times New Roman" w:hAnsi="Times New Roman" w:cs="Times New Roman"/>
                <w:b/>
                <w:bCs/>
                <w:i/>
                <w:iCs/>
                <w:color w:val="1F1F1F"/>
                <w:bdr w:val="none" w:sz="0" w:space="0" w:color="auto" w:frame="1"/>
              </w:rPr>
              <w:t>IGHV3-23</w:t>
            </w:r>
          </w:p>
        </w:tc>
        <w:tc>
          <w:tcPr>
            <w:tcW w:w="2265" w:type="dxa"/>
            <w:vAlign w:val="center"/>
          </w:tcPr>
          <w:p w14:paraId="54ED6CDD"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11 (6.8%)</w:t>
            </w:r>
          </w:p>
        </w:tc>
        <w:tc>
          <w:tcPr>
            <w:tcW w:w="2265" w:type="dxa"/>
            <w:vAlign w:val="center"/>
          </w:tcPr>
          <w:p w14:paraId="337630AE"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8 (10.4%)</w:t>
            </w:r>
          </w:p>
        </w:tc>
        <w:tc>
          <w:tcPr>
            <w:tcW w:w="2265" w:type="dxa"/>
            <w:vAlign w:val="center"/>
          </w:tcPr>
          <w:p w14:paraId="5836473F"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3 (3.6%)</w:t>
            </w:r>
          </w:p>
        </w:tc>
      </w:tr>
      <w:tr w:rsidR="00B83325" w:rsidRPr="001D429C" w14:paraId="3FE74192" w14:textId="77777777" w:rsidTr="0059499E">
        <w:tc>
          <w:tcPr>
            <w:tcW w:w="2265" w:type="dxa"/>
            <w:vAlign w:val="center"/>
          </w:tcPr>
          <w:p w14:paraId="0EDED6E7" w14:textId="77777777" w:rsidR="00B83325" w:rsidRPr="001D429C" w:rsidRDefault="00B83325" w:rsidP="0059499E">
            <w:pPr>
              <w:rPr>
                <w:rFonts w:ascii="Times New Roman" w:hAnsi="Times New Roman" w:cs="Times New Roman"/>
                <w:i/>
                <w:iCs/>
              </w:rPr>
            </w:pPr>
            <w:r w:rsidRPr="001D429C">
              <w:rPr>
                <w:rFonts w:ascii="Times New Roman" w:hAnsi="Times New Roman" w:cs="Times New Roman"/>
                <w:b/>
                <w:bCs/>
                <w:i/>
                <w:iCs/>
                <w:color w:val="1F1F1F"/>
                <w:bdr w:val="none" w:sz="0" w:space="0" w:color="auto" w:frame="1"/>
              </w:rPr>
              <w:t>IGHV4-59</w:t>
            </w:r>
          </w:p>
        </w:tc>
        <w:tc>
          <w:tcPr>
            <w:tcW w:w="2265" w:type="dxa"/>
            <w:vAlign w:val="center"/>
          </w:tcPr>
          <w:p w14:paraId="15E709DA"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10 (6.2%)</w:t>
            </w:r>
          </w:p>
        </w:tc>
        <w:tc>
          <w:tcPr>
            <w:tcW w:w="2265" w:type="dxa"/>
            <w:vAlign w:val="center"/>
          </w:tcPr>
          <w:p w14:paraId="5B71B0EF"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5 (6.5%)</w:t>
            </w:r>
          </w:p>
        </w:tc>
        <w:tc>
          <w:tcPr>
            <w:tcW w:w="2265" w:type="dxa"/>
            <w:vAlign w:val="center"/>
          </w:tcPr>
          <w:p w14:paraId="339D9844"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5 (6.0%)</w:t>
            </w:r>
          </w:p>
        </w:tc>
      </w:tr>
      <w:tr w:rsidR="00B83325" w:rsidRPr="001D429C" w14:paraId="339B4972" w14:textId="77777777" w:rsidTr="0059499E">
        <w:tc>
          <w:tcPr>
            <w:tcW w:w="2265" w:type="dxa"/>
            <w:vAlign w:val="center"/>
          </w:tcPr>
          <w:p w14:paraId="25CB41DA" w14:textId="77777777" w:rsidR="00B83325" w:rsidRPr="001D429C" w:rsidRDefault="00B83325" w:rsidP="0059499E">
            <w:pPr>
              <w:rPr>
                <w:rFonts w:ascii="Times New Roman" w:hAnsi="Times New Roman" w:cs="Times New Roman"/>
                <w:i/>
                <w:iCs/>
              </w:rPr>
            </w:pPr>
            <w:r w:rsidRPr="001D429C">
              <w:rPr>
                <w:rFonts w:ascii="Times New Roman" w:hAnsi="Times New Roman" w:cs="Times New Roman"/>
                <w:b/>
                <w:bCs/>
                <w:i/>
                <w:iCs/>
                <w:color w:val="1F1F1F"/>
                <w:bdr w:val="none" w:sz="0" w:space="0" w:color="auto" w:frame="1"/>
              </w:rPr>
              <w:t>IGHV3-21</w:t>
            </w:r>
          </w:p>
        </w:tc>
        <w:tc>
          <w:tcPr>
            <w:tcW w:w="2265" w:type="dxa"/>
            <w:vAlign w:val="center"/>
          </w:tcPr>
          <w:p w14:paraId="01AA0A70"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9 (5.6%)</w:t>
            </w:r>
          </w:p>
        </w:tc>
        <w:tc>
          <w:tcPr>
            <w:tcW w:w="2265" w:type="dxa"/>
            <w:vAlign w:val="center"/>
          </w:tcPr>
          <w:p w14:paraId="735F0DAD"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4 (5.2%)</w:t>
            </w:r>
          </w:p>
        </w:tc>
        <w:tc>
          <w:tcPr>
            <w:tcW w:w="2265" w:type="dxa"/>
            <w:vAlign w:val="center"/>
          </w:tcPr>
          <w:p w14:paraId="209C9F62"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5 (6.0%)</w:t>
            </w:r>
          </w:p>
        </w:tc>
      </w:tr>
      <w:tr w:rsidR="00B83325" w:rsidRPr="001D429C" w14:paraId="06184170" w14:textId="77777777" w:rsidTr="0059499E">
        <w:tc>
          <w:tcPr>
            <w:tcW w:w="2265" w:type="dxa"/>
            <w:vAlign w:val="center"/>
          </w:tcPr>
          <w:p w14:paraId="675D61E5" w14:textId="77777777" w:rsidR="00B83325" w:rsidRPr="001D429C" w:rsidRDefault="00B83325" w:rsidP="0059499E">
            <w:pPr>
              <w:rPr>
                <w:rFonts w:ascii="Times New Roman" w:hAnsi="Times New Roman" w:cs="Times New Roman"/>
                <w:i/>
                <w:iCs/>
              </w:rPr>
            </w:pPr>
            <w:r w:rsidRPr="001D429C">
              <w:rPr>
                <w:rFonts w:ascii="Times New Roman" w:hAnsi="Times New Roman" w:cs="Times New Roman"/>
                <w:b/>
                <w:bCs/>
                <w:i/>
                <w:iCs/>
                <w:color w:val="1F1F1F"/>
                <w:bdr w:val="none" w:sz="0" w:space="0" w:color="auto" w:frame="1"/>
              </w:rPr>
              <w:t>IGHV4-39</w:t>
            </w:r>
          </w:p>
        </w:tc>
        <w:tc>
          <w:tcPr>
            <w:tcW w:w="2265" w:type="dxa"/>
            <w:vAlign w:val="center"/>
          </w:tcPr>
          <w:p w14:paraId="048172F9"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8 (5.0%)</w:t>
            </w:r>
          </w:p>
        </w:tc>
        <w:tc>
          <w:tcPr>
            <w:tcW w:w="2265" w:type="dxa"/>
            <w:vAlign w:val="center"/>
          </w:tcPr>
          <w:p w14:paraId="752479B2"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3 (3.9%)</w:t>
            </w:r>
          </w:p>
        </w:tc>
        <w:tc>
          <w:tcPr>
            <w:tcW w:w="2265" w:type="dxa"/>
            <w:vAlign w:val="center"/>
          </w:tcPr>
          <w:p w14:paraId="135D8732"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5 (6.0%)</w:t>
            </w:r>
          </w:p>
        </w:tc>
      </w:tr>
      <w:tr w:rsidR="00B83325" w:rsidRPr="001D429C" w14:paraId="31A3ACBD" w14:textId="77777777" w:rsidTr="0059499E">
        <w:tc>
          <w:tcPr>
            <w:tcW w:w="2265" w:type="dxa"/>
            <w:vAlign w:val="center"/>
          </w:tcPr>
          <w:p w14:paraId="6B9328F9" w14:textId="77777777" w:rsidR="00B83325" w:rsidRPr="001D429C" w:rsidRDefault="00B83325" w:rsidP="0059499E">
            <w:pPr>
              <w:rPr>
                <w:rFonts w:ascii="Times New Roman" w:hAnsi="Times New Roman" w:cs="Times New Roman"/>
                <w:i/>
                <w:iCs/>
              </w:rPr>
            </w:pPr>
            <w:r w:rsidRPr="001D429C">
              <w:rPr>
                <w:rFonts w:ascii="Times New Roman" w:hAnsi="Times New Roman" w:cs="Times New Roman"/>
                <w:b/>
                <w:bCs/>
                <w:i/>
                <w:iCs/>
                <w:color w:val="1F1F1F"/>
                <w:bdr w:val="none" w:sz="0" w:space="0" w:color="auto" w:frame="1"/>
              </w:rPr>
              <w:t>IGHV1-2</w:t>
            </w:r>
          </w:p>
        </w:tc>
        <w:tc>
          <w:tcPr>
            <w:tcW w:w="2265" w:type="dxa"/>
            <w:vAlign w:val="center"/>
          </w:tcPr>
          <w:p w14:paraId="0797B6A5"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8 (5.0%)</w:t>
            </w:r>
          </w:p>
        </w:tc>
        <w:tc>
          <w:tcPr>
            <w:tcW w:w="2265" w:type="dxa"/>
            <w:vAlign w:val="center"/>
          </w:tcPr>
          <w:p w14:paraId="624697DA"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1 (1.3%)</w:t>
            </w:r>
          </w:p>
        </w:tc>
        <w:tc>
          <w:tcPr>
            <w:tcW w:w="2265" w:type="dxa"/>
            <w:vAlign w:val="center"/>
          </w:tcPr>
          <w:p w14:paraId="493C8413"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7 (8.3%)</w:t>
            </w:r>
          </w:p>
        </w:tc>
      </w:tr>
      <w:tr w:rsidR="00B83325" w:rsidRPr="001D429C" w14:paraId="21B02D50" w14:textId="77777777" w:rsidTr="0059499E">
        <w:tc>
          <w:tcPr>
            <w:tcW w:w="2265" w:type="dxa"/>
            <w:vAlign w:val="center"/>
          </w:tcPr>
          <w:p w14:paraId="6F268E59" w14:textId="77777777" w:rsidR="00B83325" w:rsidRPr="001D429C" w:rsidRDefault="00B83325" w:rsidP="0059499E">
            <w:pPr>
              <w:rPr>
                <w:rFonts w:ascii="Times New Roman" w:hAnsi="Times New Roman" w:cs="Times New Roman"/>
                <w:i/>
                <w:iCs/>
              </w:rPr>
            </w:pPr>
            <w:r w:rsidRPr="001D429C">
              <w:rPr>
                <w:rFonts w:ascii="Times New Roman" w:hAnsi="Times New Roman" w:cs="Times New Roman"/>
                <w:b/>
                <w:bCs/>
                <w:i/>
                <w:iCs/>
                <w:color w:val="1F1F1F"/>
                <w:bdr w:val="none" w:sz="0" w:space="0" w:color="auto" w:frame="1"/>
              </w:rPr>
              <w:t>IGHV3-7</w:t>
            </w:r>
          </w:p>
        </w:tc>
        <w:tc>
          <w:tcPr>
            <w:tcW w:w="2265" w:type="dxa"/>
            <w:vAlign w:val="center"/>
          </w:tcPr>
          <w:p w14:paraId="352FD54F"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8 (5.0%)</w:t>
            </w:r>
          </w:p>
        </w:tc>
        <w:tc>
          <w:tcPr>
            <w:tcW w:w="2265" w:type="dxa"/>
            <w:vAlign w:val="center"/>
          </w:tcPr>
          <w:p w14:paraId="0716FD9C"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5 (6.5%)</w:t>
            </w:r>
          </w:p>
        </w:tc>
        <w:tc>
          <w:tcPr>
            <w:tcW w:w="2265" w:type="dxa"/>
            <w:vAlign w:val="center"/>
          </w:tcPr>
          <w:p w14:paraId="180C0F35"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3 (3.6%)</w:t>
            </w:r>
          </w:p>
        </w:tc>
      </w:tr>
      <w:tr w:rsidR="00B83325" w:rsidRPr="001D429C" w14:paraId="5C3AF012" w14:textId="77777777" w:rsidTr="0059499E">
        <w:tc>
          <w:tcPr>
            <w:tcW w:w="2265" w:type="dxa"/>
            <w:vAlign w:val="center"/>
          </w:tcPr>
          <w:p w14:paraId="7EC70D5B" w14:textId="77777777" w:rsidR="00B83325" w:rsidRPr="001D429C" w:rsidRDefault="00B83325" w:rsidP="0059499E">
            <w:pPr>
              <w:rPr>
                <w:rFonts w:ascii="Times New Roman" w:hAnsi="Times New Roman" w:cs="Times New Roman"/>
                <w:i/>
                <w:iCs/>
              </w:rPr>
            </w:pPr>
            <w:r w:rsidRPr="001D429C">
              <w:rPr>
                <w:rFonts w:ascii="Times New Roman" w:hAnsi="Times New Roman" w:cs="Times New Roman"/>
                <w:b/>
                <w:bCs/>
                <w:i/>
                <w:iCs/>
                <w:color w:val="1F1F1F"/>
                <w:bdr w:val="none" w:sz="0" w:space="0" w:color="auto" w:frame="1"/>
              </w:rPr>
              <w:t>IGHV3-48</w:t>
            </w:r>
          </w:p>
        </w:tc>
        <w:tc>
          <w:tcPr>
            <w:tcW w:w="2265" w:type="dxa"/>
            <w:vAlign w:val="center"/>
          </w:tcPr>
          <w:p w14:paraId="35585E36"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6 (3.7%)</w:t>
            </w:r>
          </w:p>
        </w:tc>
        <w:tc>
          <w:tcPr>
            <w:tcW w:w="2265" w:type="dxa"/>
            <w:vAlign w:val="center"/>
          </w:tcPr>
          <w:p w14:paraId="1A2304BA"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1 (1.3%)</w:t>
            </w:r>
          </w:p>
        </w:tc>
        <w:tc>
          <w:tcPr>
            <w:tcW w:w="2265" w:type="dxa"/>
            <w:vAlign w:val="center"/>
          </w:tcPr>
          <w:p w14:paraId="4C791582"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5 (6.0%)</w:t>
            </w:r>
          </w:p>
        </w:tc>
      </w:tr>
      <w:tr w:rsidR="00B83325" w:rsidRPr="001D429C" w14:paraId="7D3F5639" w14:textId="77777777" w:rsidTr="0059499E">
        <w:tc>
          <w:tcPr>
            <w:tcW w:w="2265" w:type="dxa"/>
            <w:vAlign w:val="center"/>
          </w:tcPr>
          <w:p w14:paraId="5C18C631" w14:textId="77777777" w:rsidR="00B83325" w:rsidRPr="001D429C" w:rsidRDefault="00B83325" w:rsidP="0059499E">
            <w:pPr>
              <w:rPr>
                <w:rFonts w:ascii="Times New Roman" w:hAnsi="Times New Roman" w:cs="Times New Roman"/>
                <w:i/>
                <w:iCs/>
              </w:rPr>
            </w:pPr>
            <w:r w:rsidRPr="001D429C">
              <w:rPr>
                <w:rFonts w:ascii="Times New Roman" w:hAnsi="Times New Roman" w:cs="Times New Roman"/>
                <w:b/>
                <w:bCs/>
                <w:i/>
                <w:iCs/>
                <w:color w:val="1F1F1F"/>
                <w:bdr w:val="none" w:sz="0" w:space="0" w:color="auto" w:frame="1"/>
              </w:rPr>
              <w:t>IGHV3-30</w:t>
            </w:r>
          </w:p>
        </w:tc>
        <w:tc>
          <w:tcPr>
            <w:tcW w:w="2265" w:type="dxa"/>
            <w:vAlign w:val="center"/>
          </w:tcPr>
          <w:p w14:paraId="3D7835F8"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6 (3.7%)</w:t>
            </w:r>
          </w:p>
        </w:tc>
        <w:tc>
          <w:tcPr>
            <w:tcW w:w="2265" w:type="dxa"/>
            <w:vAlign w:val="center"/>
          </w:tcPr>
          <w:p w14:paraId="47BB41B6"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5 (6.5%)</w:t>
            </w:r>
          </w:p>
        </w:tc>
        <w:tc>
          <w:tcPr>
            <w:tcW w:w="2265" w:type="dxa"/>
            <w:vAlign w:val="center"/>
          </w:tcPr>
          <w:p w14:paraId="75D4BC0E" w14:textId="77777777" w:rsidR="00B83325" w:rsidRPr="001D429C" w:rsidRDefault="00B83325" w:rsidP="0059499E">
            <w:pPr>
              <w:rPr>
                <w:rFonts w:ascii="Times New Roman" w:hAnsi="Times New Roman" w:cs="Times New Roman"/>
              </w:rPr>
            </w:pPr>
            <w:r w:rsidRPr="001D429C">
              <w:rPr>
                <w:rFonts w:ascii="Times New Roman" w:hAnsi="Times New Roman" w:cs="Times New Roman"/>
                <w:color w:val="1F1F1F"/>
                <w:bdr w:val="none" w:sz="0" w:space="0" w:color="auto" w:frame="1"/>
              </w:rPr>
              <w:t>1 (1.2%)</w:t>
            </w:r>
          </w:p>
        </w:tc>
      </w:tr>
    </w:tbl>
    <w:p w14:paraId="4FE91A91" w14:textId="0864E7C0" w:rsidR="00211942" w:rsidRPr="00765624" w:rsidRDefault="00B83325" w:rsidP="00765624">
      <w:pPr>
        <w:spacing w:line="240" w:lineRule="auto"/>
        <w:rPr>
          <w:rFonts w:ascii="Times New Roman" w:hAnsi="Times New Roman" w:cs="Times New Roman"/>
          <w:b/>
          <w:bCs/>
        </w:rPr>
      </w:pPr>
      <w:r w:rsidRPr="001D429C">
        <w:rPr>
          <w:rFonts w:ascii="Times New Roman" w:hAnsi="Times New Roman" w:cs="Times New Roman"/>
          <w:b/>
          <w:bCs/>
          <w:i/>
          <w:iCs/>
          <w:sz w:val="18"/>
          <w:szCs w:val="18"/>
        </w:rPr>
        <w:t>Abbreviations:</w:t>
      </w:r>
      <w:r w:rsidRPr="001D429C">
        <w:rPr>
          <w:rFonts w:ascii="Times New Roman" w:hAnsi="Times New Roman" w:cs="Times New Roman"/>
          <w:i/>
          <w:iCs/>
          <w:sz w:val="18"/>
          <w:szCs w:val="18"/>
        </w:rPr>
        <w:t xml:space="preserve"> IGH</w:t>
      </w:r>
      <w:r w:rsidR="009A7B2D">
        <w:rPr>
          <w:rFonts w:ascii="Times New Roman" w:hAnsi="Times New Roman" w:cs="Times New Roman"/>
          <w:i/>
          <w:iCs/>
          <w:sz w:val="18"/>
          <w:szCs w:val="18"/>
        </w:rPr>
        <w:t>V</w:t>
      </w:r>
      <w:r w:rsidR="001808F1">
        <w:rPr>
          <w:rFonts w:ascii="Times New Roman" w:hAnsi="Times New Roman" w:cs="Times New Roman"/>
          <w:i/>
          <w:iCs/>
          <w:sz w:val="18"/>
          <w:szCs w:val="18"/>
        </w:rPr>
        <w:t>,</w:t>
      </w:r>
      <w:r w:rsidRPr="001D429C">
        <w:rPr>
          <w:rFonts w:ascii="Times New Roman" w:hAnsi="Times New Roman" w:cs="Times New Roman"/>
          <w:i/>
          <w:iCs/>
          <w:sz w:val="18"/>
          <w:szCs w:val="18"/>
        </w:rPr>
        <w:t xml:space="preserve"> </w:t>
      </w:r>
      <w:r w:rsidR="009A7B2D">
        <w:rPr>
          <w:rFonts w:ascii="Times New Roman" w:hAnsi="Times New Roman" w:cs="Times New Roman"/>
          <w:i/>
          <w:iCs/>
          <w:sz w:val="18"/>
          <w:szCs w:val="18"/>
        </w:rPr>
        <w:t>i</w:t>
      </w:r>
      <w:r w:rsidRPr="001D429C">
        <w:rPr>
          <w:rFonts w:ascii="Times New Roman" w:hAnsi="Times New Roman" w:cs="Times New Roman"/>
          <w:i/>
          <w:iCs/>
          <w:sz w:val="18"/>
          <w:szCs w:val="18"/>
        </w:rPr>
        <w:t>mmunoglobulin heavy chain variable regio</w:t>
      </w:r>
      <w:r w:rsidR="004647CB">
        <w:rPr>
          <w:rFonts w:ascii="Times New Roman" w:hAnsi="Times New Roman" w:cs="Times New Roman"/>
          <w:i/>
          <w:iCs/>
          <w:sz w:val="18"/>
          <w:szCs w:val="18"/>
        </w:rPr>
        <w:t>n</w:t>
      </w:r>
      <w:r w:rsidRPr="001D429C">
        <w:rPr>
          <w:rFonts w:ascii="Times New Roman" w:hAnsi="Times New Roman" w:cs="Times New Roman"/>
          <w:i/>
          <w:iCs/>
          <w:sz w:val="18"/>
          <w:szCs w:val="18"/>
        </w:rPr>
        <w:t xml:space="preserve"> </w:t>
      </w:r>
      <w:r w:rsidRPr="001D429C">
        <w:rPr>
          <w:rFonts w:ascii="Times New Roman" w:hAnsi="Times New Roman" w:cs="Times New Roman"/>
          <w:b/>
          <w:bCs/>
          <w:i/>
          <w:iCs/>
          <w:sz w:val="18"/>
          <w:szCs w:val="18"/>
        </w:rPr>
        <w:t>Data:</w:t>
      </w:r>
      <w:r w:rsidRPr="001D429C">
        <w:rPr>
          <w:rFonts w:ascii="Times New Roman" w:hAnsi="Times New Roman" w:cs="Times New Roman"/>
          <w:i/>
          <w:iCs/>
          <w:sz w:val="18"/>
          <w:szCs w:val="18"/>
        </w:rPr>
        <w:t xml:space="preserve"> Values are presented as number of sequences (frequency). The total number of rearrangements (n=161) exceeds the number of patients (n=145) due to the detection of multiple productive clones in 15 patients</w:t>
      </w:r>
      <w:r w:rsidRPr="001D429C">
        <w:rPr>
          <w:rFonts w:ascii="Times New Roman" w:hAnsi="Times New Roman" w:cs="Times New Roman"/>
        </w:rPr>
        <w:t>.</w:t>
      </w:r>
    </w:p>
    <w:p w14:paraId="2CF3FC73" w14:textId="77777777" w:rsidR="00E4017C" w:rsidRPr="00765624" w:rsidRDefault="00E4017C" w:rsidP="00E4017C">
      <w:pPr>
        <w:rPr>
          <w:sz w:val="24"/>
          <w:szCs w:val="24"/>
        </w:rPr>
      </w:pPr>
      <w:r w:rsidRPr="00765624">
        <w:rPr>
          <w:rFonts w:ascii="Times New Roman" w:hAnsi="Times New Roman"/>
          <w:b/>
          <w:sz w:val="24"/>
          <w:szCs w:val="24"/>
        </w:rPr>
        <w:t>Supplementary Table 2. Molecular characteristics of patients with discordant IGHV status</w:t>
      </w:r>
    </w:p>
    <w:tbl>
      <w:tblPr>
        <w:tblStyle w:val="TabloKlavuzu"/>
        <w:tblW w:w="0" w:type="auto"/>
        <w:tblLook w:val="04A0" w:firstRow="1" w:lastRow="0" w:firstColumn="1" w:lastColumn="0" w:noHBand="0" w:noVBand="1"/>
      </w:tblPr>
      <w:tblGrid>
        <w:gridCol w:w="975"/>
        <w:gridCol w:w="1855"/>
        <w:gridCol w:w="1843"/>
        <w:gridCol w:w="1843"/>
        <w:gridCol w:w="2268"/>
      </w:tblGrid>
      <w:tr w:rsidR="00E4017C" w:rsidRPr="001D429C" w14:paraId="78A4EFE4" w14:textId="77777777" w:rsidTr="00E4017C">
        <w:tc>
          <w:tcPr>
            <w:tcW w:w="975" w:type="dxa"/>
            <w:tcBorders>
              <w:bottom w:val="single" w:sz="4" w:space="0" w:color="auto"/>
            </w:tcBorders>
          </w:tcPr>
          <w:p w14:paraId="2947D095" w14:textId="77777777" w:rsidR="00E4017C" w:rsidRPr="001D429C" w:rsidRDefault="00E4017C" w:rsidP="0059499E">
            <w:pPr>
              <w:pStyle w:val="NormalWeb"/>
              <w:spacing w:line="276" w:lineRule="auto"/>
              <w:rPr>
                <w:b/>
                <w:bCs/>
                <w:lang w:val="en-US"/>
              </w:rPr>
            </w:pPr>
            <w:r w:rsidRPr="001D429C">
              <w:rPr>
                <w:b/>
                <w:bCs/>
                <w:lang w:val="en-US"/>
              </w:rPr>
              <w:t>Patient ID</w:t>
            </w:r>
          </w:p>
        </w:tc>
        <w:tc>
          <w:tcPr>
            <w:tcW w:w="1855" w:type="dxa"/>
          </w:tcPr>
          <w:p w14:paraId="4319BA73" w14:textId="77777777" w:rsidR="00E4017C" w:rsidRPr="001D429C" w:rsidRDefault="00E4017C" w:rsidP="0059499E">
            <w:pPr>
              <w:pStyle w:val="NormalWeb"/>
              <w:spacing w:line="276" w:lineRule="auto"/>
              <w:rPr>
                <w:b/>
                <w:bCs/>
                <w:lang w:val="en-US"/>
              </w:rPr>
            </w:pPr>
            <w:r w:rsidRPr="001D429C">
              <w:rPr>
                <w:b/>
                <w:bCs/>
                <w:lang w:val="en-US"/>
              </w:rPr>
              <w:t>V-gene Allele</w:t>
            </w:r>
          </w:p>
        </w:tc>
        <w:tc>
          <w:tcPr>
            <w:tcW w:w="1843" w:type="dxa"/>
          </w:tcPr>
          <w:p w14:paraId="4D129658" w14:textId="77777777" w:rsidR="00E4017C" w:rsidRPr="001D429C" w:rsidRDefault="00E4017C" w:rsidP="0059499E">
            <w:pPr>
              <w:pStyle w:val="NormalWeb"/>
              <w:spacing w:line="276" w:lineRule="auto"/>
              <w:rPr>
                <w:b/>
                <w:bCs/>
                <w:lang w:val="en-US"/>
              </w:rPr>
            </w:pPr>
            <w:r w:rsidRPr="001D429C">
              <w:rPr>
                <w:b/>
                <w:bCs/>
                <w:lang w:val="en-US"/>
              </w:rPr>
              <w:t>Assigned Subset</w:t>
            </w:r>
          </w:p>
        </w:tc>
        <w:tc>
          <w:tcPr>
            <w:tcW w:w="1843" w:type="dxa"/>
          </w:tcPr>
          <w:p w14:paraId="5D1E97EA" w14:textId="77777777" w:rsidR="00E4017C" w:rsidRPr="001D429C" w:rsidRDefault="00E4017C" w:rsidP="0059499E">
            <w:pPr>
              <w:pStyle w:val="NormalWeb"/>
              <w:spacing w:line="276" w:lineRule="auto"/>
              <w:rPr>
                <w:b/>
                <w:bCs/>
                <w:lang w:val="en-US"/>
              </w:rPr>
            </w:pPr>
            <w:r w:rsidRPr="001D429C">
              <w:rPr>
                <w:b/>
                <w:bCs/>
                <w:lang w:val="en-US"/>
              </w:rPr>
              <w:t>Mutational Status</w:t>
            </w:r>
          </w:p>
        </w:tc>
        <w:tc>
          <w:tcPr>
            <w:tcW w:w="2268" w:type="dxa"/>
          </w:tcPr>
          <w:p w14:paraId="79B6E610" w14:textId="2D4F5F78" w:rsidR="00E4017C" w:rsidRPr="001D429C" w:rsidRDefault="00E4017C" w:rsidP="0059499E">
            <w:pPr>
              <w:pStyle w:val="NormalWeb"/>
              <w:spacing w:line="276" w:lineRule="auto"/>
              <w:rPr>
                <w:b/>
                <w:bCs/>
                <w:lang w:val="en-US"/>
              </w:rPr>
            </w:pPr>
            <w:r w:rsidRPr="001D429C">
              <w:rPr>
                <w:b/>
                <w:bCs/>
                <w:lang w:val="en-US"/>
              </w:rPr>
              <w:t xml:space="preserve">Clone </w:t>
            </w:r>
            <w:r w:rsidR="00C55604">
              <w:rPr>
                <w:b/>
                <w:bCs/>
                <w:lang w:val="en-US"/>
              </w:rPr>
              <w:t>s</w:t>
            </w:r>
            <w:r w:rsidRPr="001D429C">
              <w:rPr>
                <w:b/>
                <w:bCs/>
                <w:lang w:val="en-US"/>
              </w:rPr>
              <w:t xml:space="preserve">ize (% </w:t>
            </w:r>
            <w:r w:rsidR="009A7B2D">
              <w:rPr>
                <w:b/>
                <w:bCs/>
                <w:lang w:val="en-US"/>
              </w:rPr>
              <w:t>of t</w:t>
            </w:r>
            <w:r w:rsidRPr="001D429C">
              <w:rPr>
                <w:b/>
                <w:bCs/>
                <w:lang w:val="en-US"/>
              </w:rPr>
              <w:t>otal reads)</w:t>
            </w:r>
          </w:p>
        </w:tc>
      </w:tr>
      <w:tr w:rsidR="00E4017C" w:rsidRPr="001D429C" w14:paraId="0571AB84" w14:textId="77777777" w:rsidTr="00E4017C">
        <w:tc>
          <w:tcPr>
            <w:tcW w:w="975" w:type="dxa"/>
            <w:tcBorders>
              <w:bottom w:val="nil"/>
            </w:tcBorders>
          </w:tcPr>
          <w:p w14:paraId="6A93F63C" w14:textId="77777777" w:rsidR="00E4017C" w:rsidRPr="001D429C" w:rsidRDefault="00E4017C" w:rsidP="0059499E">
            <w:pPr>
              <w:pStyle w:val="NormalWeb"/>
              <w:spacing w:line="276" w:lineRule="auto"/>
              <w:jc w:val="center"/>
              <w:rPr>
                <w:lang w:val="en-US"/>
              </w:rPr>
            </w:pPr>
            <w:r w:rsidRPr="001D429C">
              <w:rPr>
                <w:lang w:val="en-US"/>
              </w:rPr>
              <w:t>16</w:t>
            </w:r>
          </w:p>
        </w:tc>
        <w:tc>
          <w:tcPr>
            <w:tcW w:w="1855" w:type="dxa"/>
          </w:tcPr>
          <w:p w14:paraId="495A581A" w14:textId="77777777" w:rsidR="00E4017C" w:rsidRPr="001D429C" w:rsidRDefault="00E4017C" w:rsidP="0059499E">
            <w:pPr>
              <w:pStyle w:val="NormalWeb"/>
              <w:spacing w:line="276" w:lineRule="auto"/>
              <w:rPr>
                <w:i/>
                <w:iCs/>
                <w:lang w:val="en-US"/>
              </w:rPr>
            </w:pPr>
            <w:r w:rsidRPr="001D429C">
              <w:rPr>
                <w:i/>
                <w:iCs/>
                <w:lang w:val="en-US"/>
              </w:rPr>
              <w:t>IGHV3-9*01</w:t>
            </w:r>
          </w:p>
        </w:tc>
        <w:tc>
          <w:tcPr>
            <w:tcW w:w="1843" w:type="dxa"/>
          </w:tcPr>
          <w:p w14:paraId="29F2C466" w14:textId="77777777" w:rsidR="00E4017C" w:rsidRPr="001D429C" w:rsidRDefault="00E4017C" w:rsidP="0059499E">
            <w:pPr>
              <w:pStyle w:val="NormalWeb"/>
              <w:spacing w:line="276" w:lineRule="auto"/>
              <w:rPr>
                <w:lang w:val="en-US"/>
              </w:rPr>
            </w:pPr>
            <w:r w:rsidRPr="001D429C">
              <w:rPr>
                <w:lang w:val="en-US"/>
              </w:rPr>
              <w:t>Unassigned</w:t>
            </w:r>
          </w:p>
        </w:tc>
        <w:tc>
          <w:tcPr>
            <w:tcW w:w="1843" w:type="dxa"/>
          </w:tcPr>
          <w:p w14:paraId="6165468F" w14:textId="77777777" w:rsidR="00E4017C" w:rsidRPr="001D429C" w:rsidRDefault="00E4017C" w:rsidP="0059499E">
            <w:pPr>
              <w:pStyle w:val="NormalWeb"/>
              <w:spacing w:line="276" w:lineRule="auto"/>
              <w:rPr>
                <w:lang w:val="en-US"/>
              </w:rPr>
            </w:pPr>
            <w:r w:rsidRPr="001D429C">
              <w:rPr>
                <w:lang w:val="en-US"/>
              </w:rPr>
              <w:t>Unmutated</w:t>
            </w:r>
          </w:p>
        </w:tc>
        <w:tc>
          <w:tcPr>
            <w:tcW w:w="2268" w:type="dxa"/>
          </w:tcPr>
          <w:p w14:paraId="0550BD0F" w14:textId="77777777" w:rsidR="00E4017C" w:rsidRPr="001D429C" w:rsidRDefault="00E4017C" w:rsidP="0059499E">
            <w:pPr>
              <w:pStyle w:val="NormalWeb"/>
              <w:spacing w:line="276" w:lineRule="auto"/>
              <w:rPr>
                <w:lang w:val="en-US"/>
              </w:rPr>
            </w:pPr>
            <w:r w:rsidRPr="001D429C">
              <w:rPr>
                <w:lang w:val="en-US"/>
              </w:rPr>
              <w:t>47.12%</w:t>
            </w:r>
          </w:p>
        </w:tc>
      </w:tr>
      <w:tr w:rsidR="00E4017C" w:rsidRPr="001D429C" w14:paraId="64E54E2F" w14:textId="77777777" w:rsidTr="00E4017C">
        <w:tc>
          <w:tcPr>
            <w:tcW w:w="975" w:type="dxa"/>
            <w:tcBorders>
              <w:top w:val="nil"/>
              <w:bottom w:val="single" w:sz="4" w:space="0" w:color="auto"/>
            </w:tcBorders>
          </w:tcPr>
          <w:p w14:paraId="74CD89DE" w14:textId="77777777" w:rsidR="00E4017C" w:rsidRPr="001D429C" w:rsidRDefault="00E4017C" w:rsidP="0059499E">
            <w:pPr>
              <w:pStyle w:val="NormalWeb"/>
              <w:spacing w:line="276" w:lineRule="auto"/>
              <w:jc w:val="center"/>
              <w:rPr>
                <w:lang w:val="en-US"/>
              </w:rPr>
            </w:pPr>
          </w:p>
        </w:tc>
        <w:tc>
          <w:tcPr>
            <w:tcW w:w="1855" w:type="dxa"/>
          </w:tcPr>
          <w:p w14:paraId="0C2EFC38" w14:textId="77777777" w:rsidR="00E4017C" w:rsidRPr="001D429C" w:rsidRDefault="00E4017C" w:rsidP="0059499E">
            <w:pPr>
              <w:pStyle w:val="NormalWeb"/>
              <w:spacing w:line="276" w:lineRule="auto"/>
              <w:rPr>
                <w:i/>
                <w:iCs/>
                <w:lang w:val="en-US"/>
              </w:rPr>
            </w:pPr>
            <w:r w:rsidRPr="001D429C">
              <w:rPr>
                <w:i/>
                <w:iCs/>
                <w:lang w:val="en-US"/>
              </w:rPr>
              <w:t>IGHV4-34*01</w:t>
            </w:r>
          </w:p>
        </w:tc>
        <w:tc>
          <w:tcPr>
            <w:tcW w:w="1843" w:type="dxa"/>
          </w:tcPr>
          <w:p w14:paraId="018E997C" w14:textId="77777777" w:rsidR="00E4017C" w:rsidRPr="001D429C" w:rsidRDefault="00E4017C" w:rsidP="0059499E">
            <w:pPr>
              <w:pStyle w:val="NormalWeb"/>
              <w:spacing w:line="276" w:lineRule="auto"/>
              <w:rPr>
                <w:lang w:val="en-US"/>
              </w:rPr>
            </w:pPr>
            <w:r w:rsidRPr="001D429C">
              <w:rPr>
                <w:lang w:val="en-US"/>
              </w:rPr>
              <w:t>Unassigned</w:t>
            </w:r>
          </w:p>
        </w:tc>
        <w:tc>
          <w:tcPr>
            <w:tcW w:w="1843" w:type="dxa"/>
          </w:tcPr>
          <w:p w14:paraId="56A2D2CF" w14:textId="77777777" w:rsidR="00E4017C" w:rsidRPr="001D429C" w:rsidRDefault="00E4017C" w:rsidP="0059499E">
            <w:pPr>
              <w:pStyle w:val="NormalWeb"/>
              <w:spacing w:line="276" w:lineRule="auto"/>
              <w:rPr>
                <w:lang w:val="en-US"/>
              </w:rPr>
            </w:pPr>
            <w:r w:rsidRPr="001D429C">
              <w:rPr>
                <w:lang w:val="en-US"/>
              </w:rPr>
              <w:t>Mutated</w:t>
            </w:r>
          </w:p>
        </w:tc>
        <w:tc>
          <w:tcPr>
            <w:tcW w:w="2268" w:type="dxa"/>
          </w:tcPr>
          <w:p w14:paraId="3F7E21D9" w14:textId="77777777" w:rsidR="00E4017C" w:rsidRPr="001D429C" w:rsidRDefault="00E4017C" w:rsidP="0059499E">
            <w:pPr>
              <w:pStyle w:val="NormalWeb"/>
              <w:spacing w:line="276" w:lineRule="auto"/>
              <w:rPr>
                <w:lang w:val="en-US"/>
              </w:rPr>
            </w:pPr>
            <w:r w:rsidRPr="001D429C">
              <w:rPr>
                <w:lang w:val="en-US"/>
              </w:rPr>
              <w:t>2.99%</w:t>
            </w:r>
          </w:p>
        </w:tc>
      </w:tr>
      <w:tr w:rsidR="00E4017C" w:rsidRPr="001D429C" w14:paraId="0679A03E" w14:textId="77777777" w:rsidTr="00E4017C">
        <w:tc>
          <w:tcPr>
            <w:tcW w:w="975" w:type="dxa"/>
            <w:tcBorders>
              <w:bottom w:val="nil"/>
            </w:tcBorders>
          </w:tcPr>
          <w:p w14:paraId="4BF53E6F" w14:textId="77777777" w:rsidR="00E4017C" w:rsidRPr="001D429C" w:rsidRDefault="00E4017C" w:rsidP="0059499E">
            <w:pPr>
              <w:pStyle w:val="NormalWeb"/>
              <w:spacing w:line="276" w:lineRule="auto"/>
              <w:jc w:val="center"/>
              <w:rPr>
                <w:lang w:val="en-US"/>
              </w:rPr>
            </w:pPr>
            <w:r w:rsidRPr="001D429C">
              <w:rPr>
                <w:lang w:val="en-US"/>
              </w:rPr>
              <w:t>71</w:t>
            </w:r>
          </w:p>
        </w:tc>
        <w:tc>
          <w:tcPr>
            <w:tcW w:w="1855" w:type="dxa"/>
          </w:tcPr>
          <w:p w14:paraId="1A690E9B" w14:textId="77777777" w:rsidR="00E4017C" w:rsidRPr="001D429C" w:rsidRDefault="00E4017C" w:rsidP="0059499E">
            <w:pPr>
              <w:pStyle w:val="NormalWeb"/>
              <w:spacing w:line="276" w:lineRule="auto"/>
              <w:rPr>
                <w:i/>
                <w:iCs/>
                <w:lang w:val="en-US"/>
              </w:rPr>
            </w:pPr>
            <w:r w:rsidRPr="001D429C">
              <w:rPr>
                <w:i/>
                <w:iCs/>
                <w:lang w:val="en-US"/>
              </w:rPr>
              <w:t>IGHV1-69*01</w:t>
            </w:r>
          </w:p>
        </w:tc>
        <w:tc>
          <w:tcPr>
            <w:tcW w:w="1843" w:type="dxa"/>
          </w:tcPr>
          <w:p w14:paraId="4B620176" w14:textId="77777777" w:rsidR="00E4017C" w:rsidRPr="001D429C" w:rsidRDefault="00E4017C" w:rsidP="0059499E">
            <w:pPr>
              <w:pStyle w:val="NormalWeb"/>
              <w:spacing w:line="276" w:lineRule="auto"/>
              <w:rPr>
                <w:lang w:val="en-US"/>
              </w:rPr>
            </w:pPr>
            <w:r w:rsidRPr="001D429C">
              <w:rPr>
                <w:lang w:val="en-US"/>
              </w:rPr>
              <w:t>Unassigned</w:t>
            </w:r>
          </w:p>
        </w:tc>
        <w:tc>
          <w:tcPr>
            <w:tcW w:w="1843" w:type="dxa"/>
          </w:tcPr>
          <w:p w14:paraId="09DEEBB4" w14:textId="77777777" w:rsidR="00E4017C" w:rsidRPr="001D429C" w:rsidRDefault="00E4017C" w:rsidP="0059499E">
            <w:pPr>
              <w:pStyle w:val="NormalWeb"/>
              <w:spacing w:line="276" w:lineRule="auto"/>
              <w:rPr>
                <w:lang w:val="en-US"/>
              </w:rPr>
            </w:pPr>
            <w:r w:rsidRPr="001D429C">
              <w:rPr>
                <w:lang w:val="en-US"/>
              </w:rPr>
              <w:t>Unmutated</w:t>
            </w:r>
          </w:p>
        </w:tc>
        <w:tc>
          <w:tcPr>
            <w:tcW w:w="2268" w:type="dxa"/>
          </w:tcPr>
          <w:p w14:paraId="48051814" w14:textId="77777777" w:rsidR="00E4017C" w:rsidRPr="001D429C" w:rsidRDefault="00E4017C" w:rsidP="0059499E">
            <w:pPr>
              <w:pStyle w:val="NormalWeb"/>
              <w:spacing w:line="276" w:lineRule="auto"/>
              <w:rPr>
                <w:lang w:val="en-US"/>
              </w:rPr>
            </w:pPr>
            <w:r w:rsidRPr="001D429C">
              <w:rPr>
                <w:lang w:val="en-US"/>
              </w:rPr>
              <w:t>33.56%</w:t>
            </w:r>
          </w:p>
        </w:tc>
      </w:tr>
      <w:tr w:rsidR="00E4017C" w:rsidRPr="001D429C" w14:paraId="692955A0" w14:textId="77777777" w:rsidTr="00E4017C">
        <w:tc>
          <w:tcPr>
            <w:tcW w:w="975" w:type="dxa"/>
            <w:tcBorders>
              <w:top w:val="nil"/>
              <w:bottom w:val="single" w:sz="4" w:space="0" w:color="auto"/>
            </w:tcBorders>
          </w:tcPr>
          <w:p w14:paraId="0305305C" w14:textId="77777777" w:rsidR="00E4017C" w:rsidRPr="001D429C" w:rsidRDefault="00E4017C" w:rsidP="0059499E">
            <w:pPr>
              <w:pStyle w:val="NormalWeb"/>
              <w:spacing w:line="276" w:lineRule="auto"/>
              <w:jc w:val="center"/>
              <w:rPr>
                <w:lang w:val="en-US"/>
              </w:rPr>
            </w:pPr>
          </w:p>
        </w:tc>
        <w:tc>
          <w:tcPr>
            <w:tcW w:w="1855" w:type="dxa"/>
          </w:tcPr>
          <w:p w14:paraId="791CF7FC" w14:textId="77777777" w:rsidR="00E4017C" w:rsidRPr="001D429C" w:rsidRDefault="00E4017C" w:rsidP="0059499E">
            <w:pPr>
              <w:pStyle w:val="NormalWeb"/>
              <w:spacing w:line="276" w:lineRule="auto"/>
              <w:rPr>
                <w:i/>
                <w:iCs/>
                <w:lang w:val="en-US"/>
              </w:rPr>
            </w:pPr>
            <w:r w:rsidRPr="001D429C">
              <w:rPr>
                <w:i/>
                <w:iCs/>
                <w:lang w:val="en-US"/>
              </w:rPr>
              <w:t>IGHV4-34*01</w:t>
            </w:r>
          </w:p>
        </w:tc>
        <w:tc>
          <w:tcPr>
            <w:tcW w:w="1843" w:type="dxa"/>
          </w:tcPr>
          <w:p w14:paraId="67627216" w14:textId="77777777" w:rsidR="00E4017C" w:rsidRPr="001D429C" w:rsidRDefault="00E4017C" w:rsidP="0059499E">
            <w:pPr>
              <w:pStyle w:val="NormalWeb"/>
              <w:spacing w:line="276" w:lineRule="auto"/>
              <w:rPr>
                <w:lang w:val="en-US"/>
              </w:rPr>
            </w:pPr>
            <w:r w:rsidRPr="001D429C">
              <w:rPr>
                <w:lang w:val="en-US"/>
              </w:rPr>
              <w:t>Unassigned</w:t>
            </w:r>
          </w:p>
        </w:tc>
        <w:tc>
          <w:tcPr>
            <w:tcW w:w="1843" w:type="dxa"/>
          </w:tcPr>
          <w:p w14:paraId="46BFAA35" w14:textId="77777777" w:rsidR="00E4017C" w:rsidRPr="001D429C" w:rsidRDefault="00E4017C" w:rsidP="0059499E">
            <w:pPr>
              <w:pStyle w:val="NormalWeb"/>
              <w:spacing w:line="276" w:lineRule="auto"/>
              <w:rPr>
                <w:lang w:val="en-US"/>
              </w:rPr>
            </w:pPr>
            <w:r w:rsidRPr="001D429C">
              <w:rPr>
                <w:lang w:val="en-US"/>
              </w:rPr>
              <w:t>Mutated</w:t>
            </w:r>
          </w:p>
        </w:tc>
        <w:tc>
          <w:tcPr>
            <w:tcW w:w="2268" w:type="dxa"/>
          </w:tcPr>
          <w:p w14:paraId="41F18287" w14:textId="77777777" w:rsidR="00E4017C" w:rsidRPr="001D429C" w:rsidRDefault="00E4017C" w:rsidP="0059499E">
            <w:pPr>
              <w:pStyle w:val="NormalWeb"/>
              <w:spacing w:line="276" w:lineRule="auto"/>
              <w:rPr>
                <w:lang w:val="en-US"/>
              </w:rPr>
            </w:pPr>
            <w:r w:rsidRPr="001D429C">
              <w:rPr>
                <w:lang w:val="en-US"/>
              </w:rPr>
              <w:t>4.03%</w:t>
            </w:r>
          </w:p>
        </w:tc>
      </w:tr>
      <w:tr w:rsidR="00E4017C" w:rsidRPr="001D429C" w14:paraId="4B3E8441" w14:textId="77777777" w:rsidTr="00E4017C">
        <w:tc>
          <w:tcPr>
            <w:tcW w:w="975" w:type="dxa"/>
            <w:tcBorders>
              <w:bottom w:val="nil"/>
            </w:tcBorders>
          </w:tcPr>
          <w:p w14:paraId="71C6BA22" w14:textId="77777777" w:rsidR="00E4017C" w:rsidRPr="001D429C" w:rsidRDefault="00E4017C" w:rsidP="0059499E">
            <w:pPr>
              <w:pStyle w:val="NormalWeb"/>
              <w:spacing w:line="276" w:lineRule="auto"/>
              <w:jc w:val="center"/>
              <w:rPr>
                <w:lang w:val="en-US"/>
              </w:rPr>
            </w:pPr>
            <w:r w:rsidRPr="001D429C">
              <w:rPr>
                <w:lang w:val="en-US"/>
              </w:rPr>
              <w:t>73</w:t>
            </w:r>
          </w:p>
        </w:tc>
        <w:tc>
          <w:tcPr>
            <w:tcW w:w="1855" w:type="dxa"/>
          </w:tcPr>
          <w:p w14:paraId="6FDF907A" w14:textId="77777777" w:rsidR="00E4017C" w:rsidRPr="001D429C" w:rsidRDefault="00E4017C" w:rsidP="0059499E">
            <w:pPr>
              <w:pStyle w:val="NormalWeb"/>
              <w:spacing w:line="276" w:lineRule="auto"/>
              <w:rPr>
                <w:i/>
                <w:iCs/>
                <w:lang w:val="en-US"/>
              </w:rPr>
            </w:pPr>
            <w:r w:rsidRPr="001D429C">
              <w:rPr>
                <w:i/>
                <w:iCs/>
                <w:lang w:val="en-US"/>
              </w:rPr>
              <w:t>IGHV5-51*01</w:t>
            </w:r>
          </w:p>
        </w:tc>
        <w:tc>
          <w:tcPr>
            <w:tcW w:w="1843" w:type="dxa"/>
          </w:tcPr>
          <w:p w14:paraId="6EB68856" w14:textId="77777777" w:rsidR="00E4017C" w:rsidRPr="001D429C" w:rsidRDefault="00E4017C" w:rsidP="0059499E">
            <w:pPr>
              <w:pStyle w:val="NormalWeb"/>
              <w:spacing w:line="276" w:lineRule="auto"/>
              <w:rPr>
                <w:lang w:val="en-US"/>
              </w:rPr>
            </w:pPr>
            <w:r w:rsidRPr="001D429C">
              <w:rPr>
                <w:lang w:val="en-US"/>
              </w:rPr>
              <w:t>Unassigned</w:t>
            </w:r>
          </w:p>
        </w:tc>
        <w:tc>
          <w:tcPr>
            <w:tcW w:w="1843" w:type="dxa"/>
          </w:tcPr>
          <w:p w14:paraId="6B993A5C" w14:textId="77777777" w:rsidR="00E4017C" w:rsidRPr="001D429C" w:rsidRDefault="00E4017C" w:rsidP="0059499E">
            <w:pPr>
              <w:pStyle w:val="NormalWeb"/>
              <w:spacing w:line="276" w:lineRule="auto"/>
              <w:rPr>
                <w:lang w:val="en-US"/>
              </w:rPr>
            </w:pPr>
            <w:r w:rsidRPr="001D429C">
              <w:rPr>
                <w:lang w:val="en-US"/>
              </w:rPr>
              <w:t>Mutated</w:t>
            </w:r>
          </w:p>
        </w:tc>
        <w:tc>
          <w:tcPr>
            <w:tcW w:w="2268" w:type="dxa"/>
          </w:tcPr>
          <w:p w14:paraId="7060C3A5" w14:textId="77777777" w:rsidR="00E4017C" w:rsidRPr="001D429C" w:rsidRDefault="00E4017C" w:rsidP="0059499E">
            <w:pPr>
              <w:pStyle w:val="NormalWeb"/>
              <w:spacing w:line="276" w:lineRule="auto"/>
              <w:rPr>
                <w:lang w:val="en-US"/>
              </w:rPr>
            </w:pPr>
            <w:r w:rsidRPr="001D429C">
              <w:rPr>
                <w:lang w:val="en-US"/>
              </w:rPr>
              <w:t>5.35%</w:t>
            </w:r>
          </w:p>
        </w:tc>
      </w:tr>
      <w:tr w:rsidR="00E4017C" w:rsidRPr="001D429C" w14:paraId="558B6D46" w14:textId="77777777" w:rsidTr="00E4017C">
        <w:tc>
          <w:tcPr>
            <w:tcW w:w="975" w:type="dxa"/>
            <w:tcBorders>
              <w:top w:val="nil"/>
              <w:bottom w:val="single" w:sz="4" w:space="0" w:color="auto"/>
            </w:tcBorders>
          </w:tcPr>
          <w:p w14:paraId="3864A06F" w14:textId="77777777" w:rsidR="00E4017C" w:rsidRPr="001D429C" w:rsidRDefault="00E4017C" w:rsidP="0059499E">
            <w:pPr>
              <w:pStyle w:val="NormalWeb"/>
              <w:spacing w:line="276" w:lineRule="auto"/>
              <w:jc w:val="center"/>
              <w:rPr>
                <w:lang w:val="en-US"/>
              </w:rPr>
            </w:pPr>
          </w:p>
        </w:tc>
        <w:tc>
          <w:tcPr>
            <w:tcW w:w="1855" w:type="dxa"/>
          </w:tcPr>
          <w:p w14:paraId="076B8E9B" w14:textId="77777777" w:rsidR="00E4017C" w:rsidRPr="001D429C" w:rsidRDefault="00E4017C" w:rsidP="0059499E">
            <w:pPr>
              <w:pStyle w:val="NormalWeb"/>
              <w:spacing w:line="276" w:lineRule="auto"/>
              <w:rPr>
                <w:i/>
                <w:iCs/>
                <w:lang w:val="en-US"/>
              </w:rPr>
            </w:pPr>
            <w:r w:rsidRPr="001D429C">
              <w:rPr>
                <w:i/>
                <w:iCs/>
                <w:lang w:val="en-US"/>
              </w:rPr>
              <w:t>IGHV3-7*01</w:t>
            </w:r>
          </w:p>
        </w:tc>
        <w:tc>
          <w:tcPr>
            <w:tcW w:w="1843" w:type="dxa"/>
          </w:tcPr>
          <w:p w14:paraId="444A8056" w14:textId="77777777" w:rsidR="00E4017C" w:rsidRPr="001D429C" w:rsidRDefault="00E4017C" w:rsidP="0059499E">
            <w:pPr>
              <w:pStyle w:val="NormalWeb"/>
              <w:spacing w:line="276" w:lineRule="auto"/>
              <w:rPr>
                <w:lang w:val="en-US"/>
              </w:rPr>
            </w:pPr>
            <w:r w:rsidRPr="001D429C">
              <w:rPr>
                <w:lang w:val="en-US"/>
              </w:rPr>
              <w:t>Unassigned</w:t>
            </w:r>
          </w:p>
        </w:tc>
        <w:tc>
          <w:tcPr>
            <w:tcW w:w="1843" w:type="dxa"/>
          </w:tcPr>
          <w:p w14:paraId="792A4DA3" w14:textId="77777777" w:rsidR="00E4017C" w:rsidRPr="001D429C" w:rsidRDefault="00E4017C" w:rsidP="0059499E">
            <w:pPr>
              <w:pStyle w:val="NormalWeb"/>
              <w:spacing w:line="276" w:lineRule="auto"/>
              <w:rPr>
                <w:lang w:val="en-US"/>
              </w:rPr>
            </w:pPr>
            <w:r w:rsidRPr="001D429C">
              <w:rPr>
                <w:lang w:val="en-US"/>
              </w:rPr>
              <w:t>Unmutated</w:t>
            </w:r>
          </w:p>
        </w:tc>
        <w:tc>
          <w:tcPr>
            <w:tcW w:w="2268" w:type="dxa"/>
          </w:tcPr>
          <w:p w14:paraId="66F163B8" w14:textId="77777777" w:rsidR="00E4017C" w:rsidRPr="001D429C" w:rsidRDefault="00E4017C" w:rsidP="0059499E">
            <w:pPr>
              <w:pStyle w:val="NormalWeb"/>
              <w:spacing w:line="276" w:lineRule="auto"/>
              <w:rPr>
                <w:lang w:val="en-US"/>
              </w:rPr>
            </w:pPr>
            <w:r w:rsidRPr="001D429C">
              <w:rPr>
                <w:lang w:val="en-US"/>
              </w:rPr>
              <w:t>5.19%</w:t>
            </w:r>
          </w:p>
        </w:tc>
      </w:tr>
      <w:tr w:rsidR="00E4017C" w:rsidRPr="001D429C" w14:paraId="0FBBE7FB" w14:textId="77777777" w:rsidTr="00E4017C">
        <w:tc>
          <w:tcPr>
            <w:tcW w:w="975" w:type="dxa"/>
            <w:tcBorders>
              <w:bottom w:val="nil"/>
            </w:tcBorders>
          </w:tcPr>
          <w:p w14:paraId="60EBF1B1" w14:textId="77777777" w:rsidR="00E4017C" w:rsidRPr="001D429C" w:rsidRDefault="00E4017C" w:rsidP="0059499E">
            <w:pPr>
              <w:pStyle w:val="NormalWeb"/>
              <w:spacing w:line="276" w:lineRule="auto"/>
              <w:jc w:val="center"/>
              <w:rPr>
                <w:lang w:val="en-US"/>
              </w:rPr>
            </w:pPr>
            <w:r w:rsidRPr="001D429C">
              <w:rPr>
                <w:lang w:val="en-US"/>
              </w:rPr>
              <w:t>119</w:t>
            </w:r>
          </w:p>
        </w:tc>
        <w:tc>
          <w:tcPr>
            <w:tcW w:w="1855" w:type="dxa"/>
          </w:tcPr>
          <w:p w14:paraId="56A3F648" w14:textId="00564E04" w:rsidR="00E4017C" w:rsidRPr="001D429C" w:rsidRDefault="00E4017C" w:rsidP="0059499E">
            <w:pPr>
              <w:pStyle w:val="NormalWeb"/>
              <w:spacing w:line="276" w:lineRule="auto"/>
              <w:rPr>
                <w:i/>
                <w:iCs/>
                <w:lang w:val="en-US"/>
              </w:rPr>
            </w:pPr>
            <w:r w:rsidRPr="001D429C">
              <w:rPr>
                <w:i/>
                <w:iCs/>
                <w:lang w:val="en-US"/>
              </w:rPr>
              <w:t>IGHV2-5*02</w:t>
            </w:r>
          </w:p>
        </w:tc>
        <w:tc>
          <w:tcPr>
            <w:tcW w:w="1843" w:type="dxa"/>
          </w:tcPr>
          <w:p w14:paraId="6B2BFFF8" w14:textId="77777777" w:rsidR="00E4017C" w:rsidRPr="001D429C" w:rsidRDefault="00E4017C" w:rsidP="0059499E">
            <w:pPr>
              <w:pStyle w:val="NormalWeb"/>
              <w:spacing w:line="276" w:lineRule="auto"/>
              <w:rPr>
                <w:lang w:val="en-US"/>
              </w:rPr>
            </w:pPr>
            <w:r w:rsidRPr="001D429C">
              <w:rPr>
                <w:lang w:val="en-US"/>
              </w:rPr>
              <w:t>Subset #14</w:t>
            </w:r>
          </w:p>
        </w:tc>
        <w:tc>
          <w:tcPr>
            <w:tcW w:w="1843" w:type="dxa"/>
          </w:tcPr>
          <w:p w14:paraId="1207C8CE" w14:textId="77777777" w:rsidR="00E4017C" w:rsidRPr="001D429C" w:rsidRDefault="00E4017C" w:rsidP="0059499E">
            <w:pPr>
              <w:pStyle w:val="NormalWeb"/>
              <w:spacing w:line="276" w:lineRule="auto"/>
              <w:rPr>
                <w:lang w:val="en-US"/>
              </w:rPr>
            </w:pPr>
            <w:r w:rsidRPr="001D429C">
              <w:rPr>
                <w:lang w:val="en-US"/>
              </w:rPr>
              <w:t>Mutated</w:t>
            </w:r>
          </w:p>
        </w:tc>
        <w:tc>
          <w:tcPr>
            <w:tcW w:w="2268" w:type="dxa"/>
          </w:tcPr>
          <w:p w14:paraId="4FAF361D" w14:textId="77777777" w:rsidR="00E4017C" w:rsidRPr="001D429C" w:rsidRDefault="00E4017C" w:rsidP="0059499E">
            <w:pPr>
              <w:pStyle w:val="NormalWeb"/>
              <w:spacing w:line="276" w:lineRule="auto"/>
              <w:rPr>
                <w:lang w:val="en-US"/>
              </w:rPr>
            </w:pPr>
            <w:r w:rsidRPr="001D429C">
              <w:rPr>
                <w:lang w:val="en-US"/>
              </w:rPr>
              <w:t>13.31%</w:t>
            </w:r>
          </w:p>
        </w:tc>
      </w:tr>
      <w:tr w:rsidR="00E4017C" w:rsidRPr="001D429C" w14:paraId="02E0D25B" w14:textId="77777777" w:rsidTr="00E4017C">
        <w:tc>
          <w:tcPr>
            <w:tcW w:w="975" w:type="dxa"/>
            <w:tcBorders>
              <w:top w:val="nil"/>
              <w:bottom w:val="nil"/>
            </w:tcBorders>
          </w:tcPr>
          <w:p w14:paraId="36BF3BCF" w14:textId="77777777" w:rsidR="00E4017C" w:rsidRPr="001D429C" w:rsidRDefault="00E4017C" w:rsidP="0059499E">
            <w:pPr>
              <w:pStyle w:val="NormalWeb"/>
              <w:spacing w:line="276" w:lineRule="auto"/>
              <w:jc w:val="center"/>
              <w:rPr>
                <w:lang w:val="en-US"/>
              </w:rPr>
            </w:pPr>
          </w:p>
        </w:tc>
        <w:tc>
          <w:tcPr>
            <w:tcW w:w="1855" w:type="dxa"/>
          </w:tcPr>
          <w:p w14:paraId="616653CE" w14:textId="77777777" w:rsidR="00E4017C" w:rsidRPr="001D429C" w:rsidRDefault="00E4017C" w:rsidP="0059499E">
            <w:pPr>
              <w:pStyle w:val="NormalWeb"/>
              <w:spacing w:line="276" w:lineRule="auto"/>
              <w:rPr>
                <w:i/>
                <w:iCs/>
                <w:lang w:val="en-US"/>
              </w:rPr>
            </w:pPr>
            <w:r w:rsidRPr="001D429C">
              <w:rPr>
                <w:i/>
                <w:iCs/>
                <w:lang w:val="en-US"/>
              </w:rPr>
              <w:t>IGHV4-59*01</w:t>
            </w:r>
          </w:p>
        </w:tc>
        <w:tc>
          <w:tcPr>
            <w:tcW w:w="1843" w:type="dxa"/>
          </w:tcPr>
          <w:p w14:paraId="2DA9FD59" w14:textId="77777777" w:rsidR="00E4017C" w:rsidRPr="001D429C" w:rsidRDefault="00E4017C" w:rsidP="0059499E">
            <w:pPr>
              <w:pStyle w:val="NormalWeb"/>
              <w:spacing w:line="276" w:lineRule="auto"/>
              <w:rPr>
                <w:lang w:val="en-US"/>
              </w:rPr>
            </w:pPr>
            <w:r w:rsidRPr="001D429C">
              <w:rPr>
                <w:lang w:val="en-US"/>
              </w:rPr>
              <w:t>Unassigned</w:t>
            </w:r>
          </w:p>
        </w:tc>
        <w:tc>
          <w:tcPr>
            <w:tcW w:w="1843" w:type="dxa"/>
          </w:tcPr>
          <w:p w14:paraId="6D690E4E" w14:textId="77777777" w:rsidR="00E4017C" w:rsidRPr="001D429C" w:rsidRDefault="00E4017C" w:rsidP="0059499E">
            <w:pPr>
              <w:pStyle w:val="NormalWeb"/>
              <w:spacing w:line="276" w:lineRule="auto"/>
              <w:rPr>
                <w:lang w:val="en-US"/>
              </w:rPr>
            </w:pPr>
            <w:r w:rsidRPr="001D429C">
              <w:rPr>
                <w:lang w:val="en-US"/>
              </w:rPr>
              <w:t>Unmutated</w:t>
            </w:r>
          </w:p>
        </w:tc>
        <w:tc>
          <w:tcPr>
            <w:tcW w:w="2268" w:type="dxa"/>
          </w:tcPr>
          <w:p w14:paraId="7256B168" w14:textId="77777777" w:rsidR="00E4017C" w:rsidRPr="001D429C" w:rsidRDefault="00E4017C" w:rsidP="0059499E">
            <w:pPr>
              <w:pStyle w:val="NormalWeb"/>
              <w:spacing w:line="276" w:lineRule="auto"/>
              <w:rPr>
                <w:lang w:val="en-US"/>
              </w:rPr>
            </w:pPr>
            <w:r w:rsidRPr="001D429C">
              <w:rPr>
                <w:lang w:val="en-US"/>
              </w:rPr>
              <w:t>6.23%</w:t>
            </w:r>
          </w:p>
        </w:tc>
      </w:tr>
      <w:tr w:rsidR="00E4017C" w:rsidRPr="001D429C" w14:paraId="6D2BC8DA" w14:textId="77777777" w:rsidTr="00E4017C">
        <w:tc>
          <w:tcPr>
            <w:tcW w:w="975" w:type="dxa"/>
            <w:tcBorders>
              <w:top w:val="nil"/>
              <w:bottom w:val="single" w:sz="4" w:space="0" w:color="auto"/>
            </w:tcBorders>
          </w:tcPr>
          <w:p w14:paraId="05F28C02" w14:textId="77777777" w:rsidR="00E4017C" w:rsidRPr="001D429C" w:rsidRDefault="00E4017C" w:rsidP="0059499E">
            <w:pPr>
              <w:pStyle w:val="NormalWeb"/>
              <w:spacing w:line="276" w:lineRule="auto"/>
              <w:jc w:val="center"/>
              <w:rPr>
                <w:lang w:val="en-US"/>
              </w:rPr>
            </w:pPr>
          </w:p>
        </w:tc>
        <w:tc>
          <w:tcPr>
            <w:tcW w:w="1855" w:type="dxa"/>
          </w:tcPr>
          <w:p w14:paraId="44F1DCE1" w14:textId="77777777" w:rsidR="00E4017C" w:rsidRPr="001D429C" w:rsidRDefault="00E4017C" w:rsidP="0059499E">
            <w:pPr>
              <w:pStyle w:val="NormalWeb"/>
              <w:spacing w:line="276" w:lineRule="auto"/>
              <w:rPr>
                <w:i/>
                <w:iCs/>
                <w:lang w:val="en-US"/>
              </w:rPr>
            </w:pPr>
            <w:r w:rsidRPr="001D429C">
              <w:rPr>
                <w:i/>
                <w:iCs/>
                <w:lang w:val="en-US"/>
              </w:rPr>
              <w:t>IGHV3-30*01</w:t>
            </w:r>
          </w:p>
        </w:tc>
        <w:tc>
          <w:tcPr>
            <w:tcW w:w="1843" w:type="dxa"/>
          </w:tcPr>
          <w:p w14:paraId="0DB37E66" w14:textId="77777777" w:rsidR="00E4017C" w:rsidRPr="001D429C" w:rsidRDefault="00E4017C" w:rsidP="0059499E">
            <w:pPr>
              <w:pStyle w:val="NormalWeb"/>
              <w:spacing w:line="276" w:lineRule="auto"/>
              <w:rPr>
                <w:lang w:val="en-US"/>
              </w:rPr>
            </w:pPr>
            <w:r w:rsidRPr="001D429C">
              <w:rPr>
                <w:lang w:val="en-US"/>
              </w:rPr>
              <w:t>Unassigned</w:t>
            </w:r>
          </w:p>
        </w:tc>
        <w:tc>
          <w:tcPr>
            <w:tcW w:w="1843" w:type="dxa"/>
          </w:tcPr>
          <w:p w14:paraId="3A04D902" w14:textId="77777777" w:rsidR="00E4017C" w:rsidRPr="001D429C" w:rsidRDefault="00E4017C" w:rsidP="0059499E">
            <w:pPr>
              <w:pStyle w:val="NormalWeb"/>
              <w:spacing w:line="276" w:lineRule="auto"/>
              <w:rPr>
                <w:lang w:val="en-US"/>
              </w:rPr>
            </w:pPr>
            <w:r w:rsidRPr="001D429C">
              <w:rPr>
                <w:lang w:val="en-US"/>
              </w:rPr>
              <w:t>Mutated</w:t>
            </w:r>
          </w:p>
        </w:tc>
        <w:tc>
          <w:tcPr>
            <w:tcW w:w="2268" w:type="dxa"/>
          </w:tcPr>
          <w:p w14:paraId="67060647" w14:textId="77777777" w:rsidR="00E4017C" w:rsidRPr="001D429C" w:rsidRDefault="00E4017C" w:rsidP="0059499E">
            <w:pPr>
              <w:pStyle w:val="NormalWeb"/>
              <w:spacing w:line="276" w:lineRule="auto"/>
              <w:rPr>
                <w:lang w:val="en-US"/>
              </w:rPr>
            </w:pPr>
            <w:r w:rsidRPr="001D429C">
              <w:rPr>
                <w:lang w:val="en-US"/>
              </w:rPr>
              <w:t>4.77%</w:t>
            </w:r>
          </w:p>
        </w:tc>
      </w:tr>
      <w:tr w:rsidR="00E4017C" w:rsidRPr="001D429C" w14:paraId="18C39F9B" w14:textId="77777777" w:rsidTr="00E4017C">
        <w:tc>
          <w:tcPr>
            <w:tcW w:w="975" w:type="dxa"/>
            <w:tcBorders>
              <w:bottom w:val="nil"/>
            </w:tcBorders>
          </w:tcPr>
          <w:p w14:paraId="43C54516" w14:textId="77777777" w:rsidR="00E4017C" w:rsidRPr="001D429C" w:rsidRDefault="00E4017C" w:rsidP="0059499E">
            <w:pPr>
              <w:pStyle w:val="NormalWeb"/>
              <w:spacing w:line="276" w:lineRule="auto"/>
              <w:jc w:val="center"/>
              <w:rPr>
                <w:lang w:val="en-US"/>
              </w:rPr>
            </w:pPr>
            <w:r w:rsidRPr="001D429C">
              <w:rPr>
                <w:lang w:val="en-US"/>
              </w:rPr>
              <w:t>136</w:t>
            </w:r>
          </w:p>
        </w:tc>
        <w:tc>
          <w:tcPr>
            <w:tcW w:w="1855" w:type="dxa"/>
          </w:tcPr>
          <w:p w14:paraId="01F83A6F" w14:textId="77777777" w:rsidR="00E4017C" w:rsidRPr="001D429C" w:rsidRDefault="00E4017C" w:rsidP="0059499E">
            <w:pPr>
              <w:pStyle w:val="NormalWeb"/>
              <w:spacing w:line="276" w:lineRule="auto"/>
              <w:rPr>
                <w:i/>
                <w:iCs/>
                <w:lang w:val="en-US"/>
              </w:rPr>
            </w:pPr>
            <w:r w:rsidRPr="001D429C">
              <w:rPr>
                <w:i/>
                <w:iCs/>
                <w:lang w:val="en-US"/>
              </w:rPr>
              <w:t xml:space="preserve">IGHV3-66*01 </w:t>
            </w:r>
          </w:p>
        </w:tc>
        <w:tc>
          <w:tcPr>
            <w:tcW w:w="1843" w:type="dxa"/>
          </w:tcPr>
          <w:p w14:paraId="2AE654D8" w14:textId="77777777" w:rsidR="00E4017C" w:rsidRPr="001D429C" w:rsidRDefault="00E4017C" w:rsidP="0059499E">
            <w:pPr>
              <w:pStyle w:val="NormalWeb"/>
              <w:spacing w:line="276" w:lineRule="auto"/>
              <w:rPr>
                <w:lang w:val="en-US"/>
              </w:rPr>
            </w:pPr>
            <w:r w:rsidRPr="001D429C">
              <w:rPr>
                <w:lang w:val="en-US"/>
              </w:rPr>
              <w:t>Subset #64B</w:t>
            </w:r>
          </w:p>
        </w:tc>
        <w:tc>
          <w:tcPr>
            <w:tcW w:w="1843" w:type="dxa"/>
          </w:tcPr>
          <w:p w14:paraId="6151B5DD" w14:textId="77777777" w:rsidR="00E4017C" w:rsidRPr="001D429C" w:rsidRDefault="00E4017C" w:rsidP="0059499E">
            <w:pPr>
              <w:pStyle w:val="NormalWeb"/>
              <w:spacing w:line="276" w:lineRule="auto"/>
              <w:rPr>
                <w:lang w:val="en-US"/>
              </w:rPr>
            </w:pPr>
            <w:r w:rsidRPr="001D429C">
              <w:rPr>
                <w:lang w:val="en-US"/>
              </w:rPr>
              <w:t>Unmutated</w:t>
            </w:r>
          </w:p>
        </w:tc>
        <w:tc>
          <w:tcPr>
            <w:tcW w:w="2268" w:type="dxa"/>
          </w:tcPr>
          <w:p w14:paraId="16BAD680" w14:textId="77777777" w:rsidR="00E4017C" w:rsidRPr="001D429C" w:rsidRDefault="00E4017C" w:rsidP="0059499E">
            <w:pPr>
              <w:pStyle w:val="NormalWeb"/>
              <w:spacing w:line="276" w:lineRule="auto"/>
              <w:rPr>
                <w:lang w:val="en-US"/>
              </w:rPr>
            </w:pPr>
            <w:r w:rsidRPr="001D429C">
              <w:rPr>
                <w:lang w:val="en-US"/>
              </w:rPr>
              <w:t>39.02%</w:t>
            </w:r>
          </w:p>
        </w:tc>
      </w:tr>
      <w:tr w:rsidR="00E4017C" w:rsidRPr="001D429C" w14:paraId="766306E2" w14:textId="77777777" w:rsidTr="00E4017C">
        <w:tc>
          <w:tcPr>
            <w:tcW w:w="975" w:type="dxa"/>
            <w:tcBorders>
              <w:top w:val="nil"/>
            </w:tcBorders>
          </w:tcPr>
          <w:p w14:paraId="23CEAC24" w14:textId="77777777" w:rsidR="00E4017C" w:rsidRPr="001D429C" w:rsidRDefault="00E4017C" w:rsidP="0059499E">
            <w:pPr>
              <w:pStyle w:val="NormalWeb"/>
              <w:spacing w:line="276" w:lineRule="auto"/>
              <w:rPr>
                <w:lang w:val="en-US"/>
              </w:rPr>
            </w:pPr>
          </w:p>
        </w:tc>
        <w:tc>
          <w:tcPr>
            <w:tcW w:w="1855" w:type="dxa"/>
          </w:tcPr>
          <w:p w14:paraId="4AAEA8B6" w14:textId="77777777" w:rsidR="00E4017C" w:rsidRPr="001D429C" w:rsidRDefault="00E4017C" w:rsidP="0059499E">
            <w:pPr>
              <w:pStyle w:val="NormalWeb"/>
              <w:spacing w:line="276" w:lineRule="auto"/>
              <w:rPr>
                <w:i/>
                <w:iCs/>
                <w:lang w:val="en-US"/>
              </w:rPr>
            </w:pPr>
            <w:r w:rsidRPr="001D429C">
              <w:rPr>
                <w:i/>
                <w:iCs/>
                <w:lang w:val="en-US"/>
              </w:rPr>
              <w:t>IGHV3-23*01</w:t>
            </w:r>
          </w:p>
        </w:tc>
        <w:tc>
          <w:tcPr>
            <w:tcW w:w="1843" w:type="dxa"/>
          </w:tcPr>
          <w:p w14:paraId="298B1A79" w14:textId="77777777" w:rsidR="00E4017C" w:rsidRPr="001D429C" w:rsidRDefault="00E4017C" w:rsidP="0059499E">
            <w:pPr>
              <w:pStyle w:val="NormalWeb"/>
              <w:spacing w:line="276" w:lineRule="auto"/>
              <w:rPr>
                <w:lang w:val="en-US"/>
              </w:rPr>
            </w:pPr>
            <w:r w:rsidRPr="001D429C">
              <w:rPr>
                <w:lang w:val="en-US"/>
              </w:rPr>
              <w:t>Unassigned</w:t>
            </w:r>
          </w:p>
        </w:tc>
        <w:tc>
          <w:tcPr>
            <w:tcW w:w="1843" w:type="dxa"/>
          </w:tcPr>
          <w:p w14:paraId="58834AF4" w14:textId="77777777" w:rsidR="00E4017C" w:rsidRPr="001D429C" w:rsidRDefault="00E4017C" w:rsidP="0059499E">
            <w:pPr>
              <w:pStyle w:val="NormalWeb"/>
              <w:spacing w:line="276" w:lineRule="auto"/>
              <w:rPr>
                <w:lang w:val="en-US"/>
              </w:rPr>
            </w:pPr>
            <w:r w:rsidRPr="001D429C">
              <w:rPr>
                <w:lang w:val="en-US"/>
              </w:rPr>
              <w:t>Mutated</w:t>
            </w:r>
          </w:p>
        </w:tc>
        <w:tc>
          <w:tcPr>
            <w:tcW w:w="2268" w:type="dxa"/>
          </w:tcPr>
          <w:p w14:paraId="3FDF58EB" w14:textId="77777777" w:rsidR="00E4017C" w:rsidRPr="001D429C" w:rsidRDefault="00E4017C" w:rsidP="0059499E">
            <w:pPr>
              <w:pStyle w:val="NormalWeb"/>
              <w:spacing w:line="276" w:lineRule="auto"/>
              <w:rPr>
                <w:lang w:val="en-US"/>
              </w:rPr>
            </w:pPr>
            <w:r w:rsidRPr="001D429C">
              <w:rPr>
                <w:lang w:val="en-US"/>
              </w:rPr>
              <w:t>4.24%</w:t>
            </w:r>
          </w:p>
        </w:tc>
      </w:tr>
    </w:tbl>
    <w:p w14:paraId="040A4704" w14:textId="5B2C6ADA" w:rsidR="00E4017C" w:rsidRDefault="00E4017C" w:rsidP="00E4017C">
      <w:pPr>
        <w:rPr>
          <w:rFonts w:ascii="Times New Roman" w:hAnsi="Times New Roman" w:cs="Times New Roman"/>
          <w:i/>
          <w:iCs/>
          <w:sz w:val="18"/>
          <w:szCs w:val="18"/>
        </w:rPr>
      </w:pPr>
      <w:r w:rsidRPr="001D429C">
        <w:rPr>
          <w:rFonts w:ascii="Times New Roman" w:hAnsi="Times New Roman" w:cs="Times New Roman"/>
          <w:b/>
          <w:bCs/>
          <w:i/>
          <w:iCs/>
          <w:sz w:val="18"/>
          <w:szCs w:val="18"/>
        </w:rPr>
        <w:t>Abbreviations:</w:t>
      </w:r>
      <w:r w:rsidRPr="001D429C">
        <w:rPr>
          <w:rFonts w:ascii="Times New Roman" w:hAnsi="Times New Roman" w:cs="Times New Roman"/>
          <w:i/>
          <w:iCs/>
          <w:sz w:val="18"/>
          <w:szCs w:val="18"/>
        </w:rPr>
        <w:t xml:space="preserve"> IGHV, </w:t>
      </w:r>
      <w:r w:rsidR="009A7B2D">
        <w:rPr>
          <w:rFonts w:ascii="Times New Roman" w:hAnsi="Times New Roman" w:cs="Times New Roman"/>
          <w:i/>
          <w:iCs/>
          <w:sz w:val="18"/>
          <w:szCs w:val="18"/>
        </w:rPr>
        <w:t>i</w:t>
      </w:r>
      <w:r w:rsidR="009A7B2D" w:rsidRPr="001D429C">
        <w:rPr>
          <w:rFonts w:ascii="Times New Roman" w:hAnsi="Times New Roman" w:cs="Times New Roman"/>
          <w:i/>
          <w:iCs/>
          <w:sz w:val="18"/>
          <w:szCs w:val="18"/>
        </w:rPr>
        <w:t>mmunoglobulin heavy chain variable regi</w:t>
      </w:r>
      <w:r w:rsidR="004647CB">
        <w:rPr>
          <w:rFonts w:ascii="Times New Roman" w:hAnsi="Times New Roman" w:cs="Times New Roman"/>
          <w:i/>
          <w:iCs/>
          <w:sz w:val="18"/>
          <w:szCs w:val="18"/>
        </w:rPr>
        <w:t>on</w:t>
      </w:r>
      <w:r w:rsidR="009A7B2D">
        <w:rPr>
          <w:rFonts w:ascii="Times New Roman" w:hAnsi="Times New Roman" w:cs="Times New Roman"/>
          <w:i/>
          <w:iCs/>
          <w:sz w:val="18"/>
          <w:szCs w:val="18"/>
        </w:rPr>
        <w:t xml:space="preserve">. </w:t>
      </w:r>
      <w:r w:rsidRPr="001D429C">
        <w:rPr>
          <w:rFonts w:ascii="Times New Roman" w:hAnsi="Times New Roman" w:cs="Times New Roman"/>
          <w:i/>
          <w:iCs/>
          <w:sz w:val="18"/>
          <w:szCs w:val="18"/>
        </w:rPr>
        <w:t>Note: Mutated status is defined as &lt;98% identity to the germline sequence.</w:t>
      </w:r>
    </w:p>
    <w:p w14:paraId="3DD24A8F" w14:textId="77777777" w:rsidR="00450218" w:rsidRPr="00765624" w:rsidRDefault="00450218" w:rsidP="00450218">
      <w:pPr>
        <w:rPr>
          <w:sz w:val="24"/>
          <w:szCs w:val="24"/>
        </w:rPr>
      </w:pPr>
      <w:r w:rsidRPr="00765624">
        <w:rPr>
          <w:rFonts w:ascii="Times New Roman" w:hAnsi="Times New Roman"/>
          <w:b/>
          <w:sz w:val="24"/>
          <w:szCs w:val="24"/>
        </w:rPr>
        <w:lastRenderedPageBreak/>
        <w:t>Supplementary Table 3. Distribution of nearest stereotyped BCR subset rearrangements according to IGHV mutational status</w:t>
      </w:r>
    </w:p>
    <w:tbl>
      <w:tblPr>
        <w:tblStyle w:val="TabloKlavuzu"/>
        <w:tblW w:w="0" w:type="auto"/>
        <w:tblLook w:val="04A0" w:firstRow="1" w:lastRow="0" w:firstColumn="1" w:lastColumn="0" w:noHBand="0" w:noVBand="1"/>
      </w:tblPr>
      <w:tblGrid>
        <w:gridCol w:w="2263"/>
        <w:gridCol w:w="2268"/>
        <w:gridCol w:w="1985"/>
        <w:gridCol w:w="2268"/>
      </w:tblGrid>
      <w:tr w:rsidR="00450218" w:rsidRPr="001D429C" w14:paraId="62AAE9DE" w14:textId="77777777" w:rsidTr="00A25D2C">
        <w:tc>
          <w:tcPr>
            <w:tcW w:w="2263" w:type="dxa"/>
          </w:tcPr>
          <w:p w14:paraId="3D46E866"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b/>
                <w:bCs/>
              </w:rPr>
              <w:t>Nearest subsets</w:t>
            </w:r>
          </w:p>
        </w:tc>
        <w:tc>
          <w:tcPr>
            <w:tcW w:w="2268" w:type="dxa"/>
          </w:tcPr>
          <w:p w14:paraId="644E6AD1"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b/>
                <w:bCs/>
              </w:rPr>
              <w:t>All rearrangements (n=28) n (%)</w:t>
            </w:r>
          </w:p>
        </w:tc>
        <w:tc>
          <w:tcPr>
            <w:tcW w:w="1985" w:type="dxa"/>
          </w:tcPr>
          <w:p w14:paraId="2F64C4FE"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b/>
                <w:bCs/>
              </w:rPr>
              <w:t>Mutated IGHV, n (%)</w:t>
            </w:r>
          </w:p>
        </w:tc>
        <w:tc>
          <w:tcPr>
            <w:tcW w:w="2268" w:type="dxa"/>
          </w:tcPr>
          <w:p w14:paraId="47E621C9"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b/>
                <w:bCs/>
              </w:rPr>
              <w:t>Unmutated IGHV, n (%)</w:t>
            </w:r>
          </w:p>
        </w:tc>
      </w:tr>
      <w:tr w:rsidR="00450218" w:rsidRPr="001D429C" w14:paraId="79CD50A5" w14:textId="77777777" w:rsidTr="00A25D2C">
        <w:tc>
          <w:tcPr>
            <w:tcW w:w="2263" w:type="dxa"/>
          </w:tcPr>
          <w:p w14:paraId="51DADF49"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Nearest subset #64B</w:t>
            </w:r>
          </w:p>
        </w:tc>
        <w:tc>
          <w:tcPr>
            <w:tcW w:w="2268" w:type="dxa"/>
          </w:tcPr>
          <w:p w14:paraId="54B4D41A"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4 (14.3%)</w:t>
            </w:r>
          </w:p>
        </w:tc>
        <w:tc>
          <w:tcPr>
            <w:tcW w:w="1985" w:type="dxa"/>
          </w:tcPr>
          <w:p w14:paraId="3839C875" w14:textId="4E91AD74" w:rsidR="00450218" w:rsidRPr="001D429C" w:rsidRDefault="009A7B2D" w:rsidP="0059499E">
            <w:pPr>
              <w:rPr>
                <w:rFonts w:ascii="Times New Roman" w:hAnsi="Times New Roman" w:cs="Times New Roman"/>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c>
          <w:tcPr>
            <w:tcW w:w="2268" w:type="dxa"/>
          </w:tcPr>
          <w:p w14:paraId="1BCBF045"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4 (100%)</w:t>
            </w:r>
          </w:p>
        </w:tc>
      </w:tr>
      <w:tr w:rsidR="00450218" w:rsidRPr="001D429C" w14:paraId="5DF6A54A" w14:textId="77777777" w:rsidTr="00A25D2C">
        <w:tc>
          <w:tcPr>
            <w:tcW w:w="2263" w:type="dxa"/>
          </w:tcPr>
          <w:p w14:paraId="549BB204"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Nearest subset #77</w:t>
            </w:r>
          </w:p>
        </w:tc>
        <w:tc>
          <w:tcPr>
            <w:tcW w:w="2268" w:type="dxa"/>
          </w:tcPr>
          <w:p w14:paraId="740928D4"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4 (14.3%)</w:t>
            </w:r>
          </w:p>
        </w:tc>
        <w:tc>
          <w:tcPr>
            <w:tcW w:w="1985" w:type="dxa"/>
          </w:tcPr>
          <w:p w14:paraId="1E704401"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4 (100%)</w:t>
            </w:r>
          </w:p>
        </w:tc>
        <w:tc>
          <w:tcPr>
            <w:tcW w:w="2268" w:type="dxa"/>
          </w:tcPr>
          <w:p w14:paraId="53ED9EEC" w14:textId="446557B2" w:rsidR="00450218" w:rsidRPr="001D429C" w:rsidRDefault="009A7B2D" w:rsidP="0059499E">
            <w:pPr>
              <w:rPr>
                <w:rFonts w:ascii="Times New Roman" w:hAnsi="Times New Roman" w:cs="Times New Roman"/>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r>
      <w:tr w:rsidR="00450218" w:rsidRPr="001D429C" w14:paraId="04759568" w14:textId="77777777" w:rsidTr="00A25D2C">
        <w:tc>
          <w:tcPr>
            <w:tcW w:w="2263" w:type="dxa"/>
          </w:tcPr>
          <w:p w14:paraId="5A2FF4C1"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Nearest subset #6</w:t>
            </w:r>
          </w:p>
        </w:tc>
        <w:tc>
          <w:tcPr>
            <w:tcW w:w="2268" w:type="dxa"/>
          </w:tcPr>
          <w:p w14:paraId="7CCD6707"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3 (10.7%)</w:t>
            </w:r>
          </w:p>
        </w:tc>
        <w:tc>
          <w:tcPr>
            <w:tcW w:w="1985" w:type="dxa"/>
          </w:tcPr>
          <w:p w14:paraId="6EF66C5B" w14:textId="181378BA" w:rsidR="00450218" w:rsidRPr="001D429C" w:rsidRDefault="009D27FE" w:rsidP="0059499E">
            <w:pPr>
              <w:rPr>
                <w:rFonts w:ascii="Times New Roman" w:hAnsi="Times New Roman" w:cs="Times New Roman"/>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c>
          <w:tcPr>
            <w:tcW w:w="2268" w:type="dxa"/>
          </w:tcPr>
          <w:p w14:paraId="7EA7BFCA"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3 (100%)</w:t>
            </w:r>
          </w:p>
        </w:tc>
      </w:tr>
      <w:tr w:rsidR="00450218" w:rsidRPr="001D429C" w14:paraId="32691F31" w14:textId="77777777" w:rsidTr="00A25D2C">
        <w:tc>
          <w:tcPr>
            <w:tcW w:w="2263" w:type="dxa"/>
          </w:tcPr>
          <w:p w14:paraId="2DF17559"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Nearest subset #201</w:t>
            </w:r>
          </w:p>
        </w:tc>
        <w:tc>
          <w:tcPr>
            <w:tcW w:w="2268" w:type="dxa"/>
          </w:tcPr>
          <w:p w14:paraId="232FA483"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3 (10.7%)</w:t>
            </w:r>
          </w:p>
        </w:tc>
        <w:tc>
          <w:tcPr>
            <w:tcW w:w="1985" w:type="dxa"/>
          </w:tcPr>
          <w:p w14:paraId="75C6EC82"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3 (100%)</w:t>
            </w:r>
          </w:p>
        </w:tc>
        <w:tc>
          <w:tcPr>
            <w:tcW w:w="2268" w:type="dxa"/>
          </w:tcPr>
          <w:p w14:paraId="6B6C3CE5" w14:textId="4FCF6264" w:rsidR="00450218" w:rsidRPr="001D429C" w:rsidRDefault="009D27FE" w:rsidP="0059499E">
            <w:pPr>
              <w:rPr>
                <w:rFonts w:ascii="Times New Roman" w:hAnsi="Times New Roman" w:cs="Times New Roman"/>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r>
      <w:tr w:rsidR="00450218" w:rsidRPr="001D429C" w14:paraId="2A1F74A2" w14:textId="77777777" w:rsidTr="00A25D2C">
        <w:tc>
          <w:tcPr>
            <w:tcW w:w="2263" w:type="dxa"/>
          </w:tcPr>
          <w:p w14:paraId="05DE7A57"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Nearest subset #4</w:t>
            </w:r>
          </w:p>
        </w:tc>
        <w:tc>
          <w:tcPr>
            <w:tcW w:w="2268" w:type="dxa"/>
          </w:tcPr>
          <w:p w14:paraId="4307FF6C"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2 (7.1%)</w:t>
            </w:r>
          </w:p>
        </w:tc>
        <w:tc>
          <w:tcPr>
            <w:tcW w:w="1985" w:type="dxa"/>
          </w:tcPr>
          <w:p w14:paraId="24DEA555" w14:textId="7852FC9A" w:rsidR="00450218" w:rsidRPr="001D429C" w:rsidRDefault="009D27FE" w:rsidP="0059499E">
            <w:pPr>
              <w:rPr>
                <w:rFonts w:ascii="Times New Roman" w:hAnsi="Times New Roman" w:cs="Times New Roman"/>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c>
          <w:tcPr>
            <w:tcW w:w="2268" w:type="dxa"/>
          </w:tcPr>
          <w:p w14:paraId="0C797238"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2 (100%)</w:t>
            </w:r>
          </w:p>
        </w:tc>
      </w:tr>
      <w:tr w:rsidR="00450218" w:rsidRPr="001D429C" w14:paraId="484B5CE3" w14:textId="77777777" w:rsidTr="00A25D2C">
        <w:tc>
          <w:tcPr>
            <w:tcW w:w="2263" w:type="dxa"/>
          </w:tcPr>
          <w:p w14:paraId="13CA3DBA"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Nearest subset #8</w:t>
            </w:r>
          </w:p>
        </w:tc>
        <w:tc>
          <w:tcPr>
            <w:tcW w:w="2268" w:type="dxa"/>
          </w:tcPr>
          <w:p w14:paraId="50AEB800"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2 (7.1%)</w:t>
            </w:r>
          </w:p>
        </w:tc>
        <w:tc>
          <w:tcPr>
            <w:tcW w:w="1985" w:type="dxa"/>
          </w:tcPr>
          <w:p w14:paraId="59D5B103" w14:textId="4B24DAD7" w:rsidR="00450218" w:rsidRPr="001D429C" w:rsidRDefault="009D27FE" w:rsidP="0059499E">
            <w:pPr>
              <w:rPr>
                <w:rFonts w:ascii="Times New Roman" w:hAnsi="Times New Roman" w:cs="Times New Roman"/>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c>
          <w:tcPr>
            <w:tcW w:w="2268" w:type="dxa"/>
          </w:tcPr>
          <w:p w14:paraId="75F4B832"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2 (100%)</w:t>
            </w:r>
          </w:p>
        </w:tc>
      </w:tr>
      <w:tr w:rsidR="00450218" w:rsidRPr="001D429C" w14:paraId="4B2F8EC2" w14:textId="77777777" w:rsidTr="00A25D2C">
        <w:tc>
          <w:tcPr>
            <w:tcW w:w="2263" w:type="dxa"/>
          </w:tcPr>
          <w:p w14:paraId="0E373A93"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Nearest subset #14</w:t>
            </w:r>
          </w:p>
        </w:tc>
        <w:tc>
          <w:tcPr>
            <w:tcW w:w="2268" w:type="dxa"/>
          </w:tcPr>
          <w:p w14:paraId="77CEBF2A"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2 (7.1%)</w:t>
            </w:r>
          </w:p>
        </w:tc>
        <w:tc>
          <w:tcPr>
            <w:tcW w:w="1985" w:type="dxa"/>
          </w:tcPr>
          <w:p w14:paraId="51889D13"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2 (100%)</w:t>
            </w:r>
          </w:p>
        </w:tc>
        <w:tc>
          <w:tcPr>
            <w:tcW w:w="2268" w:type="dxa"/>
          </w:tcPr>
          <w:p w14:paraId="00FED49F" w14:textId="3AC028CC" w:rsidR="00450218" w:rsidRPr="001D429C" w:rsidRDefault="009D27FE" w:rsidP="0059499E">
            <w:pPr>
              <w:rPr>
                <w:rFonts w:ascii="Times New Roman" w:hAnsi="Times New Roman" w:cs="Times New Roman"/>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r>
      <w:tr w:rsidR="00450218" w:rsidRPr="001D429C" w14:paraId="34BF49FF" w14:textId="77777777" w:rsidTr="00A25D2C">
        <w:tc>
          <w:tcPr>
            <w:tcW w:w="2263" w:type="dxa"/>
          </w:tcPr>
          <w:p w14:paraId="7A848EC0"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Nearest subset #202</w:t>
            </w:r>
          </w:p>
        </w:tc>
        <w:tc>
          <w:tcPr>
            <w:tcW w:w="2268" w:type="dxa"/>
          </w:tcPr>
          <w:p w14:paraId="4A656518"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2 (7.1%)</w:t>
            </w:r>
          </w:p>
        </w:tc>
        <w:tc>
          <w:tcPr>
            <w:tcW w:w="1985" w:type="dxa"/>
          </w:tcPr>
          <w:p w14:paraId="2EE4219C" w14:textId="6622BE9D" w:rsidR="00450218" w:rsidRPr="001D429C" w:rsidRDefault="00450218" w:rsidP="0059499E">
            <w:pPr>
              <w:rPr>
                <w:rFonts w:ascii="Times New Roman" w:hAnsi="Times New Roman" w:cs="Times New Roman"/>
              </w:rPr>
            </w:pPr>
            <w:r w:rsidRPr="001D429C">
              <w:rPr>
                <w:rFonts w:ascii="Times New Roman" w:hAnsi="Times New Roman" w:cs="Times New Roman"/>
              </w:rPr>
              <w:t>0 (0</w:t>
            </w:r>
            <w:r w:rsidR="009A7B2D">
              <w:rPr>
                <w:rFonts w:ascii="Times New Roman" w:hAnsi="Times New Roman" w:cs="Times New Roman"/>
              </w:rPr>
              <w:t>%</w:t>
            </w:r>
            <w:r w:rsidRPr="001D429C">
              <w:rPr>
                <w:rFonts w:ascii="Times New Roman" w:hAnsi="Times New Roman" w:cs="Times New Roman"/>
              </w:rPr>
              <w:t>)</w:t>
            </w:r>
          </w:p>
        </w:tc>
        <w:tc>
          <w:tcPr>
            <w:tcW w:w="2268" w:type="dxa"/>
          </w:tcPr>
          <w:p w14:paraId="00EA39FD"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2 (100%)</w:t>
            </w:r>
          </w:p>
        </w:tc>
      </w:tr>
      <w:tr w:rsidR="00450218" w:rsidRPr="001D429C" w14:paraId="62CAC039" w14:textId="77777777" w:rsidTr="00A25D2C">
        <w:tc>
          <w:tcPr>
            <w:tcW w:w="2263" w:type="dxa"/>
          </w:tcPr>
          <w:p w14:paraId="29868020"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Nearest subset #1</w:t>
            </w:r>
          </w:p>
        </w:tc>
        <w:tc>
          <w:tcPr>
            <w:tcW w:w="2268" w:type="dxa"/>
          </w:tcPr>
          <w:p w14:paraId="27EE0B5A"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1 (4.3%)</w:t>
            </w:r>
          </w:p>
        </w:tc>
        <w:tc>
          <w:tcPr>
            <w:tcW w:w="1985" w:type="dxa"/>
          </w:tcPr>
          <w:p w14:paraId="723654F8" w14:textId="572CA68C" w:rsidR="00450218" w:rsidRPr="001D429C" w:rsidRDefault="009A7B2D" w:rsidP="0059499E">
            <w:pPr>
              <w:rPr>
                <w:rFonts w:ascii="Times New Roman" w:hAnsi="Times New Roman" w:cs="Times New Roman"/>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c>
          <w:tcPr>
            <w:tcW w:w="2268" w:type="dxa"/>
          </w:tcPr>
          <w:p w14:paraId="2966AB6A"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1 (100%)</w:t>
            </w:r>
          </w:p>
        </w:tc>
      </w:tr>
      <w:tr w:rsidR="00450218" w:rsidRPr="001D429C" w14:paraId="1B21C645" w14:textId="77777777" w:rsidTr="00A25D2C">
        <w:tc>
          <w:tcPr>
            <w:tcW w:w="2263" w:type="dxa"/>
          </w:tcPr>
          <w:p w14:paraId="173D25D3"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Nearest subset #3</w:t>
            </w:r>
          </w:p>
        </w:tc>
        <w:tc>
          <w:tcPr>
            <w:tcW w:w="2268" w:type="dxa"/>
          </w:tcPr>
          <w:p w14:paraId="1FE0BE56"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1 (4.3%)</w:t>
            </w:r>
          </w:p>
        </w:tc>
        <w:tc>
          <w:tcPr>
            <w:tcW w:w="1985" w:type="dxa"/>
          </w:tcPr>
          <w:p w14:paraId="0BF2A2F1" w14:textId="7AF70185" w:rsidR="00450218" w:rsidRPr="001D429C" w:rsidRDefault="009A7B2D" w:rsidP="0059499E">
            <w:pPr>
              <w:rPr>
                <w:rFonts w:ascii="Times New Roman" w:hAnsi="Times New Roman" w:cs="Times New Roman"/>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c>
          <w:tcPr>
            <w:tcW w:w="2268" w:type="dxa"/>
          </w:tcPr>
          <w:p w14:paraId="7661A5C7"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1 (100%)</w:t>
            </w:r>
          </w:p>
        </w:tc>
      </w:tr>
      <w:tr w:rsidR="00450218" w:rsidRPr="001D429C" w14:paraId="5D48E11E" w14:textId="77777777" w:rsidTr="00A25D2C">
        <w:tc>
          <w:tcPr>
            <w:tcW w:w="2263" w:type="dxa"/>
          </w:tcPr>
          <w:p w14:paraId="79C00C05"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Nearest subset #7H</w:t>
            </w:r>
          </w:p>
        </w:tc>
        <w:tc>
          <w:tcPr>
            <w:tcW w:w="2268" w:type="dxa"/>
          </w:tcPr>
          <w:p w14:paraId="579A1C8B"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1 (4.3%)</w:t>
            </w:r>
          </w:p>
        </w:tc>
        <w:tc>
          <w:tcPr>
            <w:tcW w:w="1985" w:type="dxa"/>
          </w:tcPr>
          <w:p w14:paraId="4E45DC95" w14:textId="7CDF041A" w:rsidR="00450218" w:rsidRPr="001D429C" w:rsidRDefault="009A7B2D" w:rsidP="0059499E">
            <w:pPr>
              <w:rPr>
                <w:rFonts w:ascii="Times New Roman" w:hAnsi="Times New Roman" w:cs="Times New Roman"/>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c>
          <w:tcPr>
            <w:tcW w:w="2268" w:type="dxa"/>
          </w:tcPr>
          <w:p w14:paraId="692C2308"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1 (100%)</w:t>
            </w:r>
          </w:p>
        </w:tc>
      </w:tr>
      <w:tr w:rsidR="00450218" w:rsidRPr="001D429C" w14:paraId="10E1E428" w14:textId="77777777" w:rsidTr="00A25D2C">
        <w:tc>
          <w:tcPr>
            <w:tcW w:w="2263" w:type="dxa"/>
          </w:tcPr>
          <w:p w14:paraId="4FF1155D"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rPr>
              <w:t>Nearest subset #12</w:t>
            </w:r>
          </w:p>
        </w:tc>
        <w:tc>
          <w:tcPr>
            <w:tcW w:w="2268" w:type="dxa"/>
          </w:tcPr>
          <w:p w14:paraId="6ECD65FA"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1 (4.3%)</w:t>
            </w:r>
          </w:p>
        </w:tc>
        <w:tc>
          <w:tcPr>
            <w:tcW w:w="1985" w:type="dxa"/>
          </w:tcPr>
          <w:p w14:paraId="58CE15D0" w14:textId="1E4C92F4" w:rsidR="00450218" w:rsidRPr="001D429C" w:rsidRDefault="009A7B2D" w:rsidP="0059499E">
            <w:pPr>
              <w:rPr>
                <w:rFonts w:ascii="Times New Roman" w:hAnsi="Times New Roman" w:cs="Times New Roman"/>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c>
          <w:tcPr>
            <w:tcW w:w="2268" w:type="dxa"/>
          </w:tcPr>
          <w:p w14:paraId="7527BF46" w14:textId="77777777" w:rsidR="00450218" w:rsidRPr="001D429C" w:rsidRDefault="00450218" w:rsidP="0059499E">
            <w:pPr>
              <w:rPr>
                <w:rFonts w:ascii="Times New Roman" w:hAnsi="Times New Roman" w:cs="Times New Roman"/>
              </w:rPr>
            </w:pPr>
            <w:r w:rsidRPr="001D429C">
              <w:rPr>
                <w:rFonts w:ascii="Times New Roman" w:hAnsi="Times New Roman" w:cs="Times New Roman"/>
              </w:rPr>
              <w:t>1 (100%)</w:t>
            </w:r>
          </w:p>
        </w:tc>
      </w:tr>
      <w:tr w:rsidR="00450218" w:rsidRPr="001D429C" w14:paraId="7A522B95" w14:textId="77777777" w:rsidTr="00A25D2C">
        <w:tc>
          <w:tcPr>
            <w:tcW w:w="2263" w:type="dxa"/>
          </w:tcPr>
          <w:p w14:paraId="44FA9272"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rPr>
              <w:t>Nearest subset #28A</w:t>
            </w:r>
          </w:p>
        </w:tc>
        <w:tc>
          <w:tcPr>
            <w:tcW w:w="2268" w:type="dxa"/>
          </w:tcPr>
          <w:p w14:paraId="5BD0F6EE"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rPr>
              <w:t>1 (4.3%)</w:t>
            </w:r>
          </w:p>
        </w:tc>
        <w:tc>
          <w:tcPr>
            <w:tcW w:w="1985" w:type="dxa"/>
          </w:tcPr>
          <w:p w14:paraId="7A9DE84A" w14:textId="0C454315" w:rsidR="00450218" w:rsidRPr="001D429C" w:rsidRDefault="009A7B2D" w:rsidP="0059499E">
            <w:pPr>
              <w:rPr>
                <w:rFonts w:ascii="Times New Roman" w:hAnsi="Times New Roman" w:cs="Times New Roman"/>
                <w:b/>
                <w:bCs/>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c>
          <w:tcPr>
            <w:tcW w:w="2268" w:type="dxa"/>
          </w:tcPr>
          <w:p w14:paraId="16E56B4D"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rPr>
              <w:t>1 (100%)</w:t>
            </w:r>
          </w:p>
        </w:tc>
      </w:tr>
      <w:tr w:rsidR="00450218" w:rsidRPr="001D429C" w14:paraId="121F8A93" w14:textId="77777777" w:rsidTr="00A25D2C">
        <w:tc>
          <w:tcPr>
            <w:tcW w:w="2263" w:type="dxa"/>
          </w:tcPr>
          <w:p w14:paraId="3D5EDF53"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rPr>
              <w:t>Nearest subset #31</w:t>
            </w:r>
          </w:p>
        </w:tc>
        <w:tc>
          <w:tcPr>
            <w:tcW w:w="2268" w:type="dxa"/>
          </w:tcPr>
          <w:p w14:paraId="7BAA5814"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rPr>
              <w:t>1 (4.3%)</w:t>
            </w:r>
          </w:p>
        </w:tc>
        <w:tc>
          <w:tcPr>
            <w:tcW w:w="1985" w:type="dxa"/>
          </w:tcPr>
          <w:p w14:paraId="5101EACE" w14:textId="0C658789" w:rsidR="00450218" w:rsidRPr="001D429C" w:rsidRDefault="009A7B2D" w:rsidP="0059499E">
            <w:pPr>
              <w:rPr>
                <w:rFonts w:ascii="Times New Roman" w:hAnsi="Times New Roman" w:cs="Times New Roman"/>
                <w:b/>
                <w:bCs/>
              </w:rPr>
            </w:pPr>
            <w:r w:rsidRPr="001D429C">
              <w:rPr>
                <w:rFonts w:ascii="Times New Roman" w:hAnsi="Times New Roman" w:cs="Times New Roman"/>
              </w:rPr>
              <w:t>0 (0</w:t>
            </w:r>
            <w:r>
              <w:rPr>
                <w:rFonts w:ascii="Times New Roman" w:hAnsi="Times New Roman" w:cs="Times New Roman"/>
              </w:rPr>
              <w:t>%</w:t>
            </w:r>
            <w:r w:rsidRPr="001D429C">
              <w:rPr>
                <w:rFonts w:ascii="Times New Roman" w:hAnsi="Times New Roman" w:cs="Times New Roman"/>
              </w:rPr>
              <w:t>)</w:t>
            </w:r>
          </w:p>
        </w:tc>
        <w:tc>
          <w:tcPr>
            <w:tcW w:w="2268" w:type="dxa"/>
          </w:tcPr>
          <w:p w14:paraId="5199BE1F"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rPr>
              <w:t>1 (100%)</w:t>
            </w:r>
          </w:p>
        </w:tc>
      </w:tr>
      <w:tr w:rsidR="00450218" w:rsidRPr="001D429C" w14:paraId="011E5A40" w14:textId="77777777" w:rsidTr="00A25D2C">
        <w:tc>
          <w:tcPr>
            <w:tcW w:w="2263" w:type="dxa"/>
          </w:tcPr>
          <w:p w14:paraId="5F13DEAD" w14:textId="69347B83" w:rsidR="00450218" w:rsidRPr="001D429C" w:rsidRDefault="00450218" w:rsidP="0059499E">
            <w:pPr>
              <w:rPr>
                <w:rFonts w:ascii="Times New Roman" w:hAnsi="Times New Roman" w:cs="Times New Roman"/>
                <w:b/>
                <w:bCs/>
              </w:rPr>
            </w:pPr>
            <w:r w:rsidRPr="001D429C">
              <w:rPr>
                <w:rFonts w:ascii="Times New Roman" w:hAnsi="Times New Roman" w:cs="Times New Roman"/>
                <w:b/>
                <w:bCs/>
              </w:rPr>
              <w:t xml:space="preserve">Total </w:t>
            </w:r>
          </w:p>
        </w:tc>
        <w:tc>
          <w:tcPr>
            <w:tcW w:w="2268" w:type="dxa"/>
          </w:tcPr>
          <w:p w14:paraId="1852724F" w14:textId="27CE2201" w:rsidR="00450218" w:rsidRPr="001D429C" w:rsidRDefault="00450218" w:rsidP="0059499E">
            <w:pPr>
              <w:rPr>
                <w:rFonts w:ascii="Times New Roman" w:hAnsi="Times New Roman" w:cs="Times New Roman"/>
                <w:b/>
                <w:bCs/>
              </w:rPr>
            </w:pPr>
            <w:r w:rsidRPr="001D429C">
              <w:rPr>
                <w:rFonts w:ascii="Times New Roman" w:hAnsi="Times New Roman" w:cs="Times New Roman"/>
                <w:b/>
                <w:bCs/>
              </w:rPr>
              <w:t>28</w:t>
            </w:r>
            <w:r w:rsidR="00FA6725">
              <w:rPr>
                <w:rFonts w:ascii="Times New Roman" w:hAnsi="Times New Roman" w:cs="Times New Roman"/>
                <w:b/>
                <w:bCs/>
              </w:rPr>
              <w:t xml:space="preserve"> </w:t>
            </w:r>
            <w:r w:rsidRPr="001D429C">
              <w:rPr>
                <w:rFonts w:ascii="Times New Roman" w:hAnsi="Times New Roman" w:cs="Times New Roman"/>
                <w:b/>
                <w:bCs/>
              </w:rPr>
              <w:t>(100%)</w:t>
            </w:r>
          </w:p>
        </w:tc>
        <w:tc>
          <w:tcPr>
            <w:tcW w:w="1985" w:type="dxa"/>
          </w:tcPr>
          <w:p w14:paraId="2DF803E9"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b/>
                <w:bCs/>
              </w:rPr>
              <w:t>9 (32.1%)</w:t>
            </w:r>
          </w:p>
        </w:tc>
        <w:tc>
          <w:tcPr>
            <w:tcW w:w="2268" w:type="dxa"/>
          </w:tcPr>
          <w:p w14:paraId="1EBAD8DD" w14:textId="77777777" w:rsidR="00450218" w:rsidRPr="001D429C" w:rsidRDefault="00450218" w:rsidP="0059499E">
            <w:pPr>
              <w:rPr>
                <w:rFonts w:ascii="Times New Roman" w:hAnsi="Times New Roman" w:cs="Times New Roman"/>
                <w:b/>
                <w:bCs/>
              </w:rPr>
            </w:pPr>
            <w:r w:rsidRPr="001D429C">
              <w:rPr>
                <w:rFonts w:ascii="Times New Roman" w:hAnsi="Times New Roman" w:cs="Times New Roman"/>
                <w:b/>
                <w:bCs/>
              </w:rPr>
              <w:t>19 (67.9%)</w:t>
            </w:r>
          </w:p>
        </w:tc>
      </w:tr>
    </w:tbl>
    <w:p w14:paraId="0CEB71D4" w14:textId="77777777" w:rsidR="00450218" w:rsidRPr="001D429C" w:rsidRDefault="00450218" w:rsidP="00450218">
      <w:pPr>
        <w:spacing w:line="240" w:lineRule="auto"/>
        <w:rPr>
          <w:rFonts w:ascii="Times New Roman" w:hAnsi="Times New Roman" w:cs="Times New Roman"/>
          <w:b/>
          <w:bCs/>
          <w:i/>
          <w:iCs/>
          <w:sz w:val="18"/>
          <w:szCs w:val="18"/>
        </w:rPr>
      </w:pPr>
      <w:r w:rsidRPr="001D429C">
        <w:rPr>
          <w:rFonts w:ascii="Times New Roman" w:hAnsi="Times New Roman" w:cs="Times New Roman"/>
          <w:i/>
          <w:iCs/>
          <w:sz w:val="18"/>
          <w:szCs w:val="18"/>
        </w:rPr>
        <w:t>Percentages in the “Mutated IGHV” and “Unmutated IGHV” columns are calculated row-wise and represent the distribution of IGHV mutational status within each nearest stereotyped subset. Percentages in the “All rearrangements” column are calculated based on the total number of nearest subset rearrangements (n = 28). One patient contributed two nearest subset assignments.</w:t>
      </w:r>
    </w:p>
    <w:p w14:paraId="3EBB9866" w14:textId="77777777" w:rsidR="00450218" w:rsidRDefault="00450218" w:rsidP="00E4017C">
      <w:pPr>
        <w:rPr>
          <w:rFonts w:ascii="Times New Roman" w:hAnsi="Times New Roman" w:cs="Times New Roman"/>
          <w:b/>
          <w:bCs/>
          <w:i/>
          <w:iCs/>
          <w:sz w:val="18"/>
          <w:szCs w:val="18"/>
        </w:rPr>
      </w:pPr>
    </w:p>
    <w:p w14:paraId="565194B4" w14:textId="77777777" w:rsidR="00CC3961" w:rsidRDefault="00CC3961" w:rsidP="00E4017C">
      <w:pPr>
        <w:rPr>
          <w:rFonts w:ascii="Times New Roman" w:hAnsi="Times New Roman" w:cs="Times New Roman"/>
          <w:b/>
          <w:bCs/>
          <w:i/>
          <w:iCs/>
          <w:sz w:val="18"/>
          <w:szCs w:val="18"/>
        </w:rPr>
      </w:pPr>
    </w:p>
    <w:p w14:paraId="5201D822" w14:textId="77777777" w:rsidR="00CC3961" w:rsidRDefault="00CC3961" w:rsidP="00E4017C">
      <w:pPr>
        <w:rPr>
          <w:rFonts w:ascii="Times New Roman" w:hAnsi="Times New Roman" w:cs="Times New Roman"/>
          <w:b/>
          <w:bCs/>
          <w:i/>
          <w:iCs/>
          <w:sz w:val="18"/>
          <w:szCs w:val="18"/>
        </w:rPr>
      </w:pPr>
    </w:p>
    <w:p w14:paraId="051BCCB2" w14:textId="77777777" w:rsidR="00CC3961" w:rsidRDefault="00CC3961" w:rsidP="00E4017C">
      <w:pPr>
        <w:rPr>
          <w:rFonts w:ascii="Times New Roman" w:hAnsi="Times New Roman" w:cs="Times New Roman"/>
          <w:b/>
          <w:bCs/>
          <w:i/>
          <w:iCs/>
          <w:sz w:val="18"/>
          <w:szCs w:val="18"/>
        </w:rPr>
      </w:pPr>
    </w:p>
    <w:p w14:paraId="0F7C26D2" w14:textId="77777777" w:rsidR="00CC3961" w:rsidRDefault="00CC3961" w:rsidP="00E4017C">
      <w:pPr>
        <w:rPr>
          <w:rFonts w:ascii="Times New Roman" w:hAnsi="Times New Roman" w:cs="Times New Roman"/>
          <w:b/>
          <w:bCs/>
          <w:i/>
          <w:iCs/>
          <w:sz w:val="18"/>
          <w:szCs w:val="18"/>
        </w:rPr>
      </w:pPr>
    </w:p>
    <w:p w14:paraId="31E3741A" w14:textId="77777777" w:rsidR="00CC3961" w:rsidRDefault="00CC3961" w:rsidP="00E4017C">
      <w:pPr>
        <w:rPr>
          <w:rFonts w:ascii="Times New Roman" w:hAnsi="Times New Roman" w:cs="Times New Roman"/>
          <w:b/>
          <w:bCs/>
          <w:i/>
          <w:iCs/>
          <w:sz w:val="18"/>
          <w:szCs w:val="18"/>
        </w:rPr>
      </w:pPr>
    </w:p>
    <w:p w14:paraId="0FA1C621" w14:textId="77777777" w:rsidR="00CC3961" w:rsidRDefault="00CC3961" w:rsidP="00E4017C">
      <w:pPr>
        <w:rPr>
          <w:rFonts w:ascii="Times New Roman" w:hAnsi="Times New Roman" w:cs="Times New Roman"/>
          <w:b/>
          <w:bCs/>
          <w:i/>
          <w:iCs/>
          <w:sz w:val="18"/>
          <w:szCs w:val="18"/>
        </w:rPr>
      </w:pPr>
    </w:p>
    <w:p w14:paraId="7CAB5FBF" w14:textId="77777777" w:rsidR="00CC3961" w:rsidRPr="001D429C" w:rsidRDefault="00CC3961" w:rsidP="00E4017C">
      <w:pPr>
        <w:rPr>
          <w:rFonts w:ascii="Times New Roman" w:hAnsi="Times New Roman" w:cs="Times New Roman"/>
          <w:b/>
          <w:bCs/>
          <w:i/>
          <w:iCs/>
          <w:sz w:val="18"/>
          <w:szCs w:val="18"/>
        </w:rPr>
      </w:pPr>
    </w:p>
    <w:p w14:paraId="62AD1C48" w14:textId="77777777" w:rsidR="00CC3961" w:rsidRPr="00765624" w:rsidRDefault="00CC3961" w:rsidP="00CC3961">
      <w:pPr>
        <w:rPr>
          <w:sz w:val="24"/>
          <w:szCs w:val="24"/>
        </w:rPr>
      </w:pPr>
      <w:r w:rsidRPr="00765624">
        <w:rPr>
          <w:rFonts w:ascii="Times New Roman" w:hAnsi="Times New Roman"/>
          <w:b/>
          <w:sz w:val="24"/>
          <w:szCs w:val="24"/>
        </w:rPr>
        <w:lastRenderedPageBreak/>
        <w:t>Supplementary Table 4. First- and second-line treatment distribution according to IGHV mutational status</w:t>
      </w:r>
    </w:p>
    <w:tbl>
      <w:tblPr>
        <w:tblStyle w:val="TabloKlavuzu"/>
        <w:tblW w:w="0" w:type="auto"/>
        <w:tblLook w:val="04A0" w:firstRow="1" w:lastRow="0" w:firstColumn="1" w:lastColumn="0" w:noHBand="0" w:noVBand="1"/>
      </w:tblPr>
      <w:tblGrid>
        <w:gridCol w:w="3114"/>
        <w:gridCol w:w="2693"/>
        <w:gridCol w:w="3119"/>
      </w:tblGrid>
      <w:tr w:rsidR="0097376C" w:rsidRPr="00F12000" w14:paraId="57FA00B0" w14:textId="77777777" w:rsidTr="003D56D1">
        <w:tc>
          <w:tcPr>
            <w:tcW w:w="3114" w:type="dxa"/>
            <w:vMerge w:val="restart"/>
            <w:shd w:val="clear" w:color="auto" w:fill="D6E4F0"/>
          </w:tcPr>
          <w:p w14:paraId="0E71D3A2" w14:textId="77777777" w:rsidR="00DC506A" w:rsidRPr="00765624" w:rsidRDefault="00DC506A" w:rsidP="00DC506A">
            <w:pPr>
              <w:spacing w:after="0"/>
              <w:rPr>
                <w:rFonts w:ascii="Times New Roman" w:hAnsi="Times New Roman" w:cs="Times New Roman"/>
                <w:b/>
                <w:sz w:val="18"/>
                <w:szCs w:val="18"/>
              </w:rPr>
            </w:pPr>
          </w:p>
          <w:p w14:paraId="4A27C6BB" w14:textId="618D8D47" w:rsidR="0097376C" w:rsidRPr="00765624" w:rsidRDefault="0097376C" w:rsidP="00DC506A">
            <w:pPr>
              <w:spacing w:after="0"/>
              <w:rPr>
                <w:rFonts w:ascii="Times New Roman" w:hAnsi="Times New Roman" w:cs="Times New Roman"/>
                <w:sz w:val="18"/>
                <w:szCs w:val="18"/>
              </w:rPr>
            </w:pPr>
            <w:r w:rsidRPr="00765624">
              <w:rPr>
                <w:rFonts w:ascii="Times New Roman" w:hAnsi="Times New Roman" w:cs="Times New Roman"/>
                <w:b/>
                <w:sz w:val="18"/>
                <w:szCs w:val="18"/>
              </w:rPr>
              <w:t>Treatmen</w:t>
            </w:r>
            <w:r w:rsidR="00DC506A" w:rsidRPr="00765624">
              <w:rPr>
                <w:rFonts w:ascii="Times New Roman" w:hAnsi="Times New Roman" w:cs="Times New Roman"/>
                <w:b/>
                <w:sz w:val="18"/>
                <w:szCs w:val="18"/>
              </w:rPr>
              <w:t>t</w:t>
            </w:r>
          </w:p>
        </w:tc>
        <w:tc>
          <w:tcPr>
            <w:tcW w:w="5812" w:type="dxa"/>
            <w:gridSpan w:val="2"/>
            <w:shd w:val="clear" w:color="auto" w:fill="D6E4F0"/>
          </w:tcPr>
          <w:p w14:paraId="56536296" w14:textId="08A5ED27" w:rsidR="0097376C" w:rsidRPr="0097376C" w:rsidRDefault="0097376C" w:rsidP="0097376C">
            <w:pPr>
              <w:spacing w:after="0" w:line="360" w:lineRule="auto"/>
              <w:jc w:val="center"/>
              <w:rPr>
                <w:rFonts w:ascii="Times New Roman" w:hAnsi="Times New Roman" w:cs="Times New Roman"/>
                <w:b/>
                <w:bCs/>
                <w:sz w:val="18"/>
                <w:szCs w:val="18"/>
              </w:rPr>
            </w:pPr>
            <w:r w:rsidRPr="0097376C">
              <w:rPr>
                <w:rFonts w:ascii="Times New Roman" w:hAnsi="Times New Roman" w:cs="Times New Roman"/>
                <w:b/>
                <w:bCs/>
                <w:sz w:val="20"/>
                <w:szCs w:val="20"/>
              </w:rPr>
              <w:t>Patients who received first-line therapy (n=82)</w:t>
            </w:r>
          </w:p>
        </w:tc>
      </w:tr>
      <w:tr w:rsidR="0097376C" w:rsidRPr="00F12000" w14:paraId="376AEDA5" w14:textId="77777777" w:rsidTr="003D56D1">
        <w:tc>
          <w:tcPr>
            <w:tcW w:w="3114" w:type="dxa"/>
            <w:vMerge/>
            <w:shd w:val="clear" w:color="auto" w:fill="EBF3FB"/>
          </w:tcPr>
          <w:p w14:paraId="2CF944DE" w14:textId="37D33E9A" w:rsidR="0097376C" w:rsidRPr="00765624" w:rsidRDefault="0097376C" w:rsidP="0097376C">
            <w:pPr>
              <w:spacing w:after="0" w:line="360" w:lineRule="auto"/>
              <w:jc w:val="center"/>
              <w:rPr>
                <w:rFonts w:ascii="Times New Roman" w:hAnsi="Times New Roman" w:cs="Times New Roman"/>
                <w:sz w:val="18"/>
                <w:szCs w:val="18"/>
              </w:rPr>
            </w:pPr>
          </w:p>
        </w:tc>
        <w:tc>
          <w:tcPr>
            <w:tcW w:w="2693" w:type="dxa"/>
            <w:shd w:val="clear" w:color="auto" w:fill="EBF3FB"/>
          </w:tcPr>
          <w:p w14:paraId="64590CF0" w14:textId="32F05D22" w:rsidR="0097376C" w:rsidRPr="00F12000" w:rsidRDefault="0097376C" w:rsidP="0097376C">
            <w:pPr>
              <w:spacing w:after="0" w:line="360" w:lineRule="auto"/>
              <w:jc w:val="center"/>
              <w:rPr>
                <w:rFonts w:ascii="Times New Roman" w:hAnsi="Times New Roman" w:cs="Times New Roman"/>
                <w:sz w:val="18"/>
                <w:szCs w:val="18"/>
              </w:rPr>
            </w:pPr>
            <w:r w:rsidRPr="00F12000">
              <w:rPr>
                <w:rFonts w:ascii="Times New Roman" w:hAnsi="Times New Roman" w:cs="Times New Roman"/>
                <w:b/>
                <w:sz w:val="18"/>
                <w:szCs w:val="18"/>
              </w:rPr>
              <w:t>IGHV mutated</w:t>
            </w:r>
            <w:r>
              <w:rPr>
                <w:rFonts w:ascii="Times New Roman" w:hAnsi="Times New Roman" w:cs="Times New Roman"/>
                <w:b/>
                <w:sz w:val="18"/>
                <w:szCs w:val="18"/>
              </w:rPr>
              <w:t xml:space="preserve"> </w:t>
            </w:r>
            <w:r w:rsidRPr="00F12000">
              <w:rPr>
                <w:rFonts w:ascii="Times New Roman" w:hAnsi="Times New Roman" w:cs="Times New Roman"/>
                <w:b/>
                <w:sz w:val="18"/>
                <w:szCs w:val="18"/>
              </w:rPr>
              <w:t>(n=</w:t>
            </w:r>
            <w:r>
              <w:rPr>
                <w:rFonts w:ascii="Times New Roman" w:hAnsi="Times New Roman" w:cs="Times New Roman"/>
                <w:b/>
                <w:sz w:val="18"/>
                <w:szCs w:val="18"/>
              </w:rPr>
              <w:t>29, 35.4</w:t>
            </w:r>
            <w:r w:rsidRPr="00F12000">
              <w:rPr>
                <w:rFonts w:ascii="Times New Roman" w:hAnsi="Times New Roman" w:cs="Times New Roman"/>
                <w:b/>
                <w:sz w:val="18"/>
                <w:szCs w:val="18"/>
              </w:rPr>
              <w:t>%)</w:t>
            </w:r>
          </w:p>
        </w:tc>
        <w:tc>
          <w:tcPr>
            <w:tcW w:w="3119" w:type="dxa"/>
            <w:shd w:val="clear" w:color="auto" w:fill="EBF3FB"/>
          </w:tcPr>
          <w:p w14:paraId="47523292" w14:textId="71F837AF" w:rsidR="0097376C" w:rsidRPr="00F12000" w:rsidRDefault="0097376C" w:rsidP="0097376C">
            <w:pPr>
              <w:spacing w:after="0" w:line="360" w:lineRule="auto"/>
              <w:jc w:val="center"/>
              <w:rPr>
                <w:rFonts w:ascii="Times New Roman" w:hAnsi="Times New Roman" w:cs="Times New Roman"/>
                <w:sz w:val="18"/>
                <w:szCs w:val="18"/>
              </w:rPr>
            </w:pPr>
            <w:r w:rsidRPr="00F12000">
              <w:rPr>
                <w:rFonts w:ascii="Times New Roman" w:hAnsi="Times New Roman" w:cs="Times New Roman"/>
                <w:b/>
                <w:sz w:val="18"/>
                <w:szCs w:val="18"/>
              </w:rPr>
              <w:t>IGHV unmutated</w:t>
            </w:r>
            <w:r>
              <w:rPr>
                <w:rFonts w:ascii="Times New Roman" w:hAnsi="Times New Roman" w:cs="Times New Roman"/>
                <w:b/>
                <w:sz w:val="18"/>
                <w:szCs w:val="18"/>
              </w:rPr>
              <w:t xml:space="preserve"> </w:t>
            </w:r>
            <w:r w:rsidRPr="00F12000">
              <w:rPr>
                <w:rFonts w:ascii="Times New Roman" w:hAnsi="Times New Roman" w:cs="Times New Roman"/>
                <w:b/>
                <w:sz w:val="18"/>
                <w:szCs w:val="18"/>
              </w:rPr>
              <w:t>(n=</w:t>
            </w:r>
            <w:r>
              <w:rPr>
                <w:rFonts w:ascii="Times New Roman" w:hAnsi="Times New Roman" w:cs="Times New Roman"/>
                <w:b/>
                <w:sz w:val="18"/>
                <w:szCs w:val="18"/>
              </w:rPr>
              <w:t>53, 64.6</w:t>
            </w:r>
            <w:r w:rsidRPr="00F12000">
              <w:rPr>
                <w:rFonts w:ascii="Times New Roman" w:hAnsi="Times New Roman" w:cs="Times New Roman"/>
                <w:b/>
                <w:sz w:val="18"/>
                <w:szCs w:val="18"/>
              </w:rPr>
              <w:t>%)</w:t>
            </w:r>
          </w:p>
        </w:tc>
      </w:tr>
      <w:tr w:rsidR="0097376C" w:rsidRPr="00CC3961" w14:paraId="7411A95B" w14:textId="77777777" w:rsidTr="003D56D1">
        <w:tc>
          <w:tcPr>
            <w:tcW w:w="3114" w:type="dxa"/>
          </w:tcPr>
          <w:p w14:paraId="1C2BAE48" w14:textId="77777777" w:rsidR="0097376C" w:rsidRPr="00765624" w:rsidRDefault="0097376C" w:rsidP="001F57B6">
            <w:pPr>
              <w:spacing w:after="0" w:line="360" w:lineRule="auto"/>
              <w:rPr>
                <w:rFonts w:ascii="Times New Roman" w:hAnsi="Times New Roman" w:cs="Times New Roman"/>
                <w:b/>
                <w:bCs/>
                <w:sz w:val="18"/>
                <w:szCs w:val="18"/>
              </w:rPr>
            </w:pPr>
            <w:r w:rsidRPr="00765624">
              <w:rPr>
                <w:rFonts w:ascii="Times New Roman" w:hAnsi="Times New Roman" w:cs="Times New Roman"/>
                <w:b/>
                <w:bCs/>
                <w:sz w:val="18"/>
                <w:szCs w:val="18"/>
              </w:rPr>
              <w:t>Chemoimmunotherapy</w:t>
            </w:r>
          </w:p>
        </w:tc>
        <w:tc>
          <w:tcPr>
            <w:tcW w:w="2693" w:type="dxa"/>
          </w:tcPr>
          <w:p w14:paraId="216723B8" w14:textId="2EBE48F7"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19 (</w:t>
            </w:r>
            <w:r w:rsidR="00043CB7">
              <w:rPr>
                <w:rFonts w:ascii="Times New Roman" w:hAnsi="Times New Roman" w:cs="Times New Roman"/>
                <w:sz w:val="15"/>
                <w:szCs w:val="15"/>
              </w:rPr>
              <w:t>65.5</w:t>
            </w:r>
            <w:r w:rsidRPr="00CC3961">
              <w:rPr>
                <w:rFonts w:ascii="Times New Roman" w:hAnsi="Times New Roman" w:cs="Times New Roman"/>
                <w:sz w:val="15"/>
                <w:szCs w:val="15"/>
              </w:rPr>
              <w:t>%)</w:t>
            </w:r>
          </w:p>
        </w:tc>
        <w:tc>
          <w:tcPr>
            <w:tcW w:w="3119" w:type="dxa"/>
          </w:tcPr>
          <w:p w14:paraId="0CD21F91" w14:textId="055A4C8A"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3</w:t>
            </w:r>
            <w:r w:rsidR="00562BD4">
              <w:rPr>
                <w:rFonts w:ascii="Times New Roman" w:hAnsi="Times New Roman" w:cs="Times New Roman"/>
                <w:sz w:val="15"/>
                <w:szCs w:val="15"/>
              </w:rPr>
              <w:t>5</w:t>
            </w:r>
            <w:r w:rsidRPr="00CC3961">
              <w:rPr>
                <w:rFonts w:ascii="Times New Roman" w:hAnsi="Times New Roman" w:cs="Times New Roman"/>
                <w:sz w:val="15"/>
                <w:szCs w:val="15"/>
              </w:rPr>
              <w:t xml:space="preserve"> (</w:t>
            </w:r>
            <w:r w:rsidR="006B36ED">
              <w:rPr>
                <w:rFonts w:ascii="Times New Roman" w:hAnsi="Times New Roman" w:cs="Times New Roman"/>
                <w:sz w:val="15"/>
                <w:szCs w:val="15"/>
              </w:rPr>
              <w:t>66</w:t>
            </w:r>
            <w:r w:rsidR="00FD62A8">
              <w:rPr>
                <w:rFonts w:ascii="Times New Roman" w:hAnsi="Times New Roman" w:cs="Times New Roman"/>
                <w:sz w:val="15"/>
                <w:szCs w:val="15"/>
              </w:rPr>
              <w:t>.0</w:t>
            </w:r>
            <w:r w:rsidRPr="00CC3961">
              <w:rPr>
                <w:rFonts w:ascii="Times New Roman" w:hAnsi="Times New Roman" w:cs="Times New Roman"/>
                <w:sz w:val="15"/>
                <w:szCs w:val="15"/>
              </w:rPr>
              <w:t>%)</w:t>
            </w:r>
          </w:p>
        </w:tc>
      </w:tr>
      <w:tr w:rsidR="0097376C" w:rsidRPr="00CC3961" w14:paraId="35CC6BEB" w14:textId="77777777" w:rsidTr="003D56D1">
        <w:tc>
          <w:tcPr>
            <w:tcW w:w="3114" w:type="dxa"/>
          </w:tcPr>
          <w:p w14:paraId="649B044A"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FCR</w:t>
            </w:r>
          </w:p>
        </w:tc>
        <w:tc>
          <w:tcPr>
            <w:tcW w:w="2693" w:type="dxa"/>
          </w:tcPr>
          <w:p w14:paraId="6D109446" w14:textId="5FB0AEBB"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10 (</w:t>
            </w:r>
            <w:r w:rsidR="00043CB7">
              <w:rPr>
                <w:rFonts w:ascii="Times New Roman" w:hAnsi="Times New Roman" w:cs="Times New Roman"/>
                <w:sz w:val="15"/>
                <w:szCs w:val="15"/>
              </w:rPr>
              <w:t>34.5</w:t>
            </w:r>
            <w:r w:rsidRPr="00CC3961">
              <w:rPr>
                <w:rFonts w:ascii="Times New Roman" w:hAnsi="Times New Roman" w:cs="Times New Roman"/>
                <w:sz w:val="15"/>
                <w:szCs w:val="15"/>
              </w:rPr>
              <w:t>%)</w:t>
            </w:r>
          </w:p>
        </w:tc>
        <w:tc>
          <w:tcPr>
            <w:tcW w:w="3119" w:type="dxa"/>
          </w:tcPr>
          <w:p w14:paraId="3015222A" w14:textId="485973D3"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19 (</w:t>
            </w:r>
            <w:r w:rsidR="006B36ED">
              <w:rPr>
                <w:rFonts w:ascii="Times New Roman" w:hAnsi="Times New Roman" w:cs="Times New Roman"/>
                <w:sz w:val="15"/>
                <w:szCs w:val="15"/>
              </w:rPr>
              <w:t>35.8</w:t>
            </w:r>
            <w:r w:rsidRPr="00CC3961">
              <w:rPr>
                <w:rFonts w:ascii="Times New Roman" w:hAnsi="Times New Roman" w:cs="Times New Roman"/>
                <w:sz w:val="15"/>
                <w:szCs w:val="15"/>
              </w:rPr>
              <w:t>%)</w:t>
            </w:r>
          </w:p>
        </w:tc>
      </w:tr>
      <w:tr w:rsidR="0097376C" w:rsidRPr="00CC3961" w14:paraId="1D057CFE" w14:textId="77777777" w:rsidTr="003D56D1">
        <w:tc>
          <w:tcPr>
            <w:tcW w:w="3114" w:type="dxa"/>
          </w:tcPr>
          <w:p w14:paraId="7E54D4DC"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FC</w:t>
            </w:r>
          </w:p>
        </w:tc>
        <w:tc>
          <w:tcPr>
            <w:tcW w:w="2693" w:type="dxa"/>
          </w:tcPr>
          <w:p w14:paraId="47C20B41" w14:textId="158236AD" w:rsidR="0097376C"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7A36A283" w14:textId="01201EDA"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2 (</w:t>
            </w:r>
            <w:r w:rsidR="006B36ED">
              <w:rPr>
                <w:rFonts w:ascii="Times New Roman" w:hAnsi="Times New Roman" w:cs="Times New Roman"/>
                <w:sz w:val="15"/>
                <w:szCs w:val="15"/>
              </w:rPr>
              <w:t>3.8</w:t>
            </w:r>
            <w:r w:rsidRPr="00CC3961">
              <w:rPr>
                <w:rFonts w:ascii="Times New Roman" w:hAnsi="Times New Roman" w:cs="Times New Roman"/>
                <w:sz w:val="15"/>
                <w:szCs w:val="15"/>
              </w:rPr>
              <w:t>%)</w:t>
            </w:r>
          </w:p>
        </w:tc>
      </w:tr>
      <w:tr w:rsidR="00EB639D" w:rsidRPr="00CC3961" w14:paraId="21759E8C" w14:textId="77777777" w:rsidTr="003D56D1">
        <w:tc>
          <w:tcPr>
            <w:tcW w:w="3114" w:type="dxa"/>
          </w:tcPr>
          <w:p w14:paraId="12F3DE50" w14:textId="0EA87187" w:rsidR="00EB639D" w:rsidRPr="00765624" w:rsidRDefault="00EB639D"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F</w:t>
            </w:r>
          </w:p>
        </w:tc>
        <w:tc>
          <w:tcPr>
            <w:tcW w:w="2693" w:type="dxa"/>
          </w:tcPr>
          <w:p w14:paraId="30A4545E" w14:textId="36264307" w:rsidR="00EB639D" w:rsidRDefault="00EB639D" w:rsidP="001F57B6">
            <w:pPr>
              <w:spacing w:after="0" w:line="360" w:lineRule="auto"/>
              <w:jc w:val="center"/>
              <w:rPr>
                <w:rFonts w:ascii="Times New Roman" w:hAnsi="Times New Roman" w:cs="Times New Roman"/>
                <w:sz w:val="15"/>
                <w:szCs w:val="15"/>
              </w:rPr>
            </w:pPr>
            <w:r>
              <w:rPr>
                <w:rFonts w:ascii="Times New Roman" w:hAnsi="Times New Roman" w:cs="Times New Roman"/>
                <w:sz w:val="15"/>
                <w:szCs w:val="15"/>
              </w:rPr>
              <w:t>1 (</w:t>
            </w:r>
            <w:r w:rsidR="00043CB7">
              <w:rPr>
                <w:rFonts w:ascii="Times New Roman" w:hAnsi="Times New Roman" w:cs="Times New Roman"/>
                <w:sz w:val="15"/>
                <w:szCs w:val="15"/>
              </w:rPr>
              <w:t>3.4</w:t>
            </w:r>
            <w:r>
              <w:rPr>
                <w:rFonts w:ascii="Times New Roman" w:hAnsi="Times New Roman" w:cs="Times New Roman"/>
                <w:sz w:val="15"/>
                <w:szCs w:val="15"/>
              </w:rPr>
              <w:t>%)</w:t>
            </w:r>
          </w:p>
        </w:tc>
        <w:tc>
          <w:tcPr>
            <w:tcW w:w="3119" w:type="dxa"/>
          </w:tcPr>
          <w:p w14:paraId="2B456D0F" w14:textId="4F93BD3B" w:rsidR="00EB639D"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r>
      <w:tr w:rsidR="0097376C" w:rsidRPr="00CC3961" w14:paraId="7E57A9CF" w14:textId="77777777" w:rsidTr="003D56D1">
        <w:tc>
          <w:tcPr>
            <w:tcW w:w="3114" w:type="dxa"/>
          </w:tcPr>
          <w:p w14:paraId="7698EA6C" w14:textId="6A425AF6"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BR</w:t>
            </w:r>
          </w:p>
        </w:tc>
        <w:tc>
          <w:tcPr>
            <w:tcW w:w="2693" w:type="dxa"/>
          </w:tcPr>
          <w:p w14:paraId="5F5BABB3" w14:textId="7FCAC8BF"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4 (</w:t>
            </w:r>
            <w:r w:rsidR="00043CB7">
              <w:rPr>
                <w:rFonts w:ascii="Times New Roman" w:hAnsi="Times New Roman" w:cs="Times New Roman"/>
                <w:sz w:val="15"/>
                <w:szCs w:val="15"/>
              </w:rPr>
              <w:t>13.8</w:t>
            </w:r>
            <w:r w:rsidRPr="00CC3961">
              <w:rPr>
                <w:rFonts w:ascii="Times New Roman" w:hAnsi="Times New Roman" w:cs="Times New Roman"/>
                <w:sz w:val="15"/>
                <w:szCs w:val="15"/>
              </w:rPr>
              <w:t>%)</w:t>
            </w:r>
          </w:p>
        </w:tc>
        <w:tc>
          <w:tcPr>
            <w:tcW w:w="3119" w:type="dxa"/>
          </w:tcPr>
          <w:p w14:paraId="5AD6D289" w14:textId="3812A20D"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7 (</w:t>
            </w:r>
            <w:r w:rsidR="006B36ED">
              <w:rPr>
                <w:rFonts w:ascii="Times New Roman" w:hAnsi="Times New Roman" w:cs="Times New Roman"/>
                <w:sz w:val="15"/>
                <w:szCs w:val="15"/>
              </w:rPr>
              <w:t>13.2</w:t>
            </w:r>
            <w:r w:rsidRPr="00CC3961">
              <w:rPr>
                <w:rFonts w:ascii="Times New Roman" w:hAnsi="Times New Roman" w:cs="Times New Roman"/>
                <w:sz w:val="15"/>
                <w:szCs w:val="15"/>
              </w:rPr>
              <w:t>%)</w:t>
            </w:r>
          </w:p>
        </w:tc>
      </w:tr>
      <w:tr w:rsidR="0097376C" w:rsidRPr="00CC3961" w14:paraId="2CFE2A23" w14:textId="77777777" w:rsidTr="003D56D1">
        <w:tc>
          <w:tcPr>
            <w:tcW w:w="3114" w:type="dxa"/>
          </w:tcPr>
          <w:p w14:paraId="041A5474"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Rituximab + Chlorambucil</w:t>
            </w:r>
          </w:p>
        </w:tc>
        <w:tc>
          <w:tcPr>
            <w:tcW w:w="2693" w:type="dxa"/>
          </w:tcPr>
          <w:p w14:paraId="3E61F0C8" w14:textId="589510EC"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3 (</w:t>
            </w:r>
            <w:r w:rsidR="00043CB7">
              <w:rPr>
                <w:rFonts w:ascii="Times New Roman" w:hAnsi="Times New Roman" w:cs="Times New Roman"/>
                <w:sz w:val="15"/>
                <w:szCs w:val="15"/>
              </w:rPr>
              <w:t>10.3</w:t>
            </w:r>
            <w:r w:rsidRPr="00CC3961">
              <w:rPr>
                <w:rFonts w:ascii="Times New Roman" w:hAnsi="Times New Roman" w:cs="Times New Roman"/>
                <w:sz w:val="15"/>
                <w:szCs w:val="15"/>
              </w:rPr>
              <w:t>%)</w:t>
            </w:r>
          </w:p>
        </w:tc>
        <w:tc>
          <w:tcPr>
            <w:tcW w:w="3119" w:type="dxa"/>
          </w:tcPr>
          <w:p w14:paraId="4E5EFC34" w14:textId="0E5DC7FD"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2 (</w:t>
            </w:r>
            <w:r w:rsidR="006B36ED">
              <w:rPr>
                <w:rFonts w:ascii="Times New Roman" w:hAnsi="Times New Roman" w:cs="Times New Roman"/>
                <w:sz w:val="15"/>
                <w:szCs w:val="15"/>
              </w:rPr>
              <w:t>3.8</w:t>
            </w:r>
            <w:r w:rsidRPr="00CC3961">
              <w:rPr>
                <w:rFonts w:ascii="Times New Roman" w:hAnsi="Times New Roman" w:cs="Times New Roman"/>
                <w:sz w:val="15"/>
                <w:szCs w:val="15"/>
              </w:rPr>
              <w:t>%)</w:t>
            </w:r>
          </w:p>
        </w:tc>
      </w:tr>
      <w:tr w:rsidR="0097376C" w:rsidRPr="00CC3961" w14:paraId="676B665B" w14:textId="77777777" w:rsidTr="003D56D1">
        <w:tc>
          <w:tcPr>
            <w:tcW w:w="3114" w:type="dxa"/>
          </w:tcPr>
          <w:p w14:paraId="2DA352FD"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Chlorambucil + Prednisolone</w:t>
            </w:r>
          </w:p>
        </w:tc>
        <w:tc>
          <w:tcPr>
            <w:tcW w:w="2693" w:type="dxa"/>
          </w:tcPr>
          <w:p w14:paraId="191BB569" w14:textId="1D5FCC18"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043CB7">
              <w:rPr>
                <w:rFonts w:ascii="Times New Roman" w:hAnsi="Times New Roman" w:cs="Times New Roman"/>
                <w:sz w:val="15"/>
                <w:szCs w:val="15"/>
              </w:rPr>
              <w:t>3.4</w:t>
            </w:r>
            <w:r w:rsidRPr="00CC3961">
              <w:rPr>
                <w:rFonts w:ascii="Times New Roman" w:hAnsi="Times New Roman" w:cs="Times New Roman"/>
                <w:sz w:val="15"/>
                <w:szCs w:val="15"/>
              </w:rPr>
              <w:t>%)</w:t>
            </w:r>
          </w:p>
        </w:tc>
        <w:tc>
          <w:tcPr>
            <w:tcW w:w="3119" w:type="dxa"/>
          </w:tcPr>
          <w:p w14:paraId="570B4BE5" w14:textId="3F71198D" w:rsidR="0097376C" w:rsidRPr="00CC3961" w:rsidRDefault="00EB639D" w:rsidP="001F57B6">
            <w:pPr>
              <w:spacing w:after="0" w:line="360" w:lineRule="auto"/>
              <w:jc w:val="center"/>
              <w:rPr>
                <w:rFonts w:ascii="Times New Roman" w:hAnsi="Times New Roman" w:cs="Times New Roman"/>
                <w:sz w:val="15"/>
                <w:szCs w:val="15"/>
              </w:rPr>
            </w:pPr>
            <w:r>
              <w:rPr>
                <w:rFonts w:ascii="Times New Roman" w:hAnsi="Times New Roman" w:cs="Times New Roman"/>
                <w:sz w:val="15"/>
                <w:szCs w:val="15"/>
              </w:rPr>
              <w:t>1</w:t>
            </w:r>
            <w:r w:rsidR="0097376C" w:rsidRPr="00CC3961">
              <w:rPr>
                <w:rFonts w:ascii="Times New Roman" w:hAnsi="Times New Roman" w:cs="Times New Roman"/>
                <w:sz w:val="15"/>
                <w:szCs w:val="15"/>
              </w:rPr>
              <w:t xml:space="preserve"> (</w:t>
            </w:r>
            <w:r w:rsidR="006B36ED">
              <w:rPr>
                <w:rFonts w:ascii="Times New Roman" w:hAnsi="Times New Roman" w:cs="Times New Roman"/>
                <w:sz w:val="15"/>
                <w:szCs w:val="15"/>
              </w:rPr>
              <w:t>1.9</w:t>
            </w:r>
            <w:r w:rsidR="0097376C" w:rsidRPr="00CC3961">
              <w:rPr>
                <w:rFonts w:ascii="Times New Roman" w:hAnsi="Times New Roman" w:cs="Times New Roman"/>
                <w:sz w:val="15"/>
                <w:szCs w:val="15"/>
              </w:rPr>
              <w:t>%)</w:t>
            </w:r>
          </w:p>
        </w:tc>
      </w:tr>
      <w:tr w:rsidR="00EB639D" w:rsidRPr="00CC3961" w14:paraId="14FAC3F8" w14:textId="77777777" w:rsidTr="003D56D1">
        <w:tc>
          <w:tcPr>
            <w:tcW w:w="3114" w:type="dxa"/>
          </w:tcPr>
          <w:p w14:paraId="227489E7" w14:textId="31012E6E" w:rsidR="00EB639D" w:rsidRPr="00765624" w:rsidRDefault="00EB639D"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Chlorambucil</w:t>
            </w:r>
          </w:p>
        </w:tc>
        <w:tc>
          <w:tcPr>
            <w:tcW w:w="2693" w:type="dxa"/>
          </w:tcPr>
          <w:p w14:paraId="6BDB32F1" w14:textId="39992EAE" w:rsidR="00EB639D"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533E3818" w14:textId="7516B5F6" w:rsidR="00EB639D" w:rsidRPr="00CC3961" w:rsidRDefault="00EB639D" w:rsidP="001F57B6">
            <w:pPr>
              <w:spacing w:after="0" w:line="360" w:lineRule="auto"/>
              <w:jc w:val="center"/>
              <w:rPr>
                <w:rFonts w:ascii="Times New Roman" w:hAnsi="Times New Roman" w:cs="Times New Roman"/>
                <w:sz w:val="15"/>
                <w:szCs w:val="15"/>
              </w:rPr>
            </w:pPr>
            <w:r>
              <w:rPr>
                <w:rFonts w:ascii="Times New Roman" w:hAnsi="Times New Roman" w:cs="Times New Roman"/>
                <w:sz w:val="15"/>
                <w:szCs w:val="15"/>
              </w:rPr>
              <w:t>1 (</w:t>
            </w:r>
            <w:r w:rsidR="006B36ED">
              <w:rPr>
                <w:rFonts w:ascii="Times New Roman" w:hAnsi="Times New Roman" w:cs="Times New Roman"/>
                <w:sz w:val="15"/>
                <w:szCs w:val="15"/>
              </w:rPr>
              <w:t>1.9</w:t>
            </w:r>
            <w:r>
              <w:rPr>
                <w:rFonts w:ascii="Times New Roman" w:hAnsi="Times New Roman" w:cs="Times New Roman"/>
                <w:sz w:val="15"/>
                <w:szCs w:val="15"/>
              </w:rPr>
              <w:t>%)</w:t>
            </w:r>
          </w:p>
        </w:tc>
      </w:tr>
      <w:tr w:rsidR="0097376C" w:rsidRPr="00CC3961" w14:paraId="3B8B0FDE" w14:textId="77777777" w:rsidTr="003D56D1">
        <w:tc>
          <w:tcPr>
            <w:tcW w:w="3114" w:type="dxa"/>
          </w:tcPr>
          <w:p w14:paraId="1E42ACEB"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R-CHOP</w:t>
            </w:r>
          </w:p>
        </w:tc>
        <w:tc>
          <w:tcPr>
            <w:tcW w:w="2693" w:type="dxa"/>
          </w:tcPr>
          <w:p w14:paraId="691933D2" w14:textId="6328A98C" w:rsidR="0097376C"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06E5DE3A" w14:textId="178D7AE2" w:rsidR="0097376C" w:rsidRPr="00CC3961" w:rsidRDefault="00EB639D" w:rsidP="001F57B6">
            <w:pPr>
              <w:spacing w:after="0" w:line="360" w:lineRule="auto"/>
              <w:jc w:val="center"/>
              <w:rPr>
                <w:rFonts w:ascii="Times New Roman" w:hAnsi="Times New Roman" w:cs="Times New Roman"/>
                <w:sz w:val="15"/>
                <w:szCs w:val="15"/>
              </w:rPr>
            </w:pPr>
            <w:r>
              <w:rPr>
                <w:rFonts w:ascii="Times New Roman" w:hAnsi="Times New Roman" w:cs="Times New Roman"/>
                <w:sz w:val="15"/>
                <w:szCs w:val="15"/>
              </w:rPr>
              <w:t>1</w:t>
            </w:r>
            <w:r w:rsidR="0097376C" w:rsidRPr="00CC3961">
              <w:rPr>
                <w:rFonts w:ascii="Times New Roman" w:hAnsi="Times New Roman" w:cs="Times New Roman"/>
                <w:sz w:val="15"/>
                <w:szCs w:val="15"/>
              </w:rPr>
              <w:t xml:space="preserve"> (</w:t>
            </w:r>
            <w:r w:rsidR="006B36ED">
              <w:rPr>
                <w:rFonts w:ascii="Times New Roman" w:hAnsi="Times New Roman" w:cs="Times New Roman"/>
                <w:sz w:val="15"/>
                <w:szCs w:val="15"/>
              </w:rPr>
              <w:t>1.9</w:t>
            </w:r>
            <w:r w:rsidR="0097376C" w:rsidRPr="00CC3961">
              <w:rPr>
                <w:rFonts w:ascii="Times New Roman" w:hAnsi="Times New Roman" w:cs="Times New Roman"/>
                <w:sz w:val="15"/>
                <w:szCs w:val="15"/>
              </w:rPr>
              <w:t>%)</w:t>
            </w:r>
          </w:p>
        </w:tc>
      </w:tr>
      <w:tr w:rsidR="0097376C" w:rsidRPr="00CC3961" w14:paraId="645AF6D7" w14:textId="77777777" w:rsidTr="003D56D1">
        <w:tc>
          <w:tcPr>
            <w:tcW w:w="3114" w:type="dxa"/>
          </w:tcPr>
          <w:p w14:paraId="60EC8559"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R-CVP</w:t>
            </w:r>
          </w:p>
        </w:tc>
        <w:tc>
          <w:tcPr>
            <w:tcW w:w="2693" w:type="dxa"/>
          </w:tcPr>
          <w:p w14:paraId="4BB00EBB" w14:textId="738CCED5" w:rsidR="0097376C"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3C31FA45" w14:textId="780A70F6"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2 (</w:t>
            </w:r>
            <w:r w:rsidR="006B36ED">
              <w:rPr>
                <w:rFonts w:ascii="Times New Roman" w:hAnsi="Times New Roman" w:cs="Times New Roman"/>
                <w:sz w:val="15"/>
                <w:szCs w:val="15"/>
              </w:rPr>
              <w:t>3.8</w:t>
            </w:r>
            <w:r w:rsidRPr="00CC3961">
              <w:rPr>
                <w:rFonts w:ascii="Times New Roman" w:hAnsi="Times New Roman" w:cs="Times New Roman"/>
                <w:sz w:val="15"/>
                <w:szCs w:val="15"/>
              </w:rPr>
              <w:t>%)</w:t>
            </w:r>
          </w:p>
        </w:tc>
      </w:tr>
      <w:tr w:rsidR="0097376C" w:rsidRPr="00CC3961" w14:paraId="751FF1D9" w14:textId="77777777" w:rsidTr="003D56D1">
        <w:tc>
          <w:tcPr>
            <w:tcW w:w="3114" w:type="dxa"/>
          </w:tcPr>
          <w:p w14:paraId="10BC84C7" w14:textId="77777777" w:rsidR="0097376C" w:rsidRPr="00765624" w:rsidRDefault="0097376C" w:rsidP="001F57B6">
            <w:pPr>
              <w:spacing w:after="0" w:line="360" w:lineRule="auto"/>
              <w:rPr>
                <w:rFonts w:ascii="Times New Roman" w:hAnsi="Times New Roman" w:cs="Times New Roman"/>
                <w:b/>
                <w:bCs/>
                <w:sz w:val="18"/>
                <w:szCs w:val="18"/>
              </w:rPr>
            </w:pPr>
            <w:r w:rsidRPr="00765624">
              <w:rPr>
                <w:rFonts w:ascii="Times New Roman" w:hAnsi="Times New Roman" w:cs="Times New Roman"/>
                <w:b/>
                <w:bCs/>
                <w:sz w:val="18"/>
                <w:szCs w:val="18"/>
              </w:rPr>
              <w:t>Targeted therapy</w:t>
            </w:r>
          </w:p>
        </w:tc>
        <w:tc>
          <w:tcPr>
            <w:tcW w:w="2693" w:type="dxa"/>
          </w:tcPr>
          <w:p w14:paraId="1873197D" w14:textId="222D1A6C"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w:t>
            </w:r>
            <w:r w:rsidR="003505E1">
              <w:rPr>
                <w:rFonts w:ascii="Times New Roman" w:hAnsi="Times New Roman" w:cs="Times New Roman"/>
                <w:sz w:val="15"/>
                <w:szCs w:val="15"/>
              </w:rPr>
              <w:t>0</w:t>
            </w:r>
            <w:r w:rsidRPr="00CC3961">
              <w:rPr>
                <w:rFonts w:ascii="Times New Roman" w:hAnsi="Times New Roman" w:cs="Times New Roman"/>
                <w:sz w:val="15"/>
                <w:szCs w:val="15"/>
              </w:rPr>
              <w:t xml:space="preserve"> (</w:t>
            </w:r>
            <w:r w:rsidR="00043CB7">
              <w:rPr>
                <w:rFonts w:ascii="Times New Roman" w:hAnsi="Times New Roman" w:cs="Times New Roman"/>
                <w:sz w:val="15"/>
                <w:szCs w:val="15"/>
              </w:rPr>
              <w:t>34.5</w:t>
            </w:r>
            <w:r w:rsidRPr="00CC3961">
              <w:rPr>
                <w:rFonts w:ascii="Times New Roman" w:hAnsi="Times New Roman" w:cs="Times New Roman"/>
                <w:sz w:val="15"/>
                <w:szCs w:val="15"/>
              </w:rPr>
              <w:t>%)</w:t>
            </w:r>
          </w:p>
        </w:tc>
        <w:tc>
          <w:tcPr>
            <w:tcW w:w="3119" w:type="dxa"/>
          </w:tcPr>
          <w:p w14:paraId="12A593B3" w14:textId="08ABCB18"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w:t>
            </w:r>
            <w:r w:rsidR="003505E1">
              <w:rPr>
                <w:rFonts w:ascii="Times New Roman" w:hAnsi="Times New Roman" w:cs="Times New Roman"/>
                <w:sz w:val="15"/>
                <w:szCs w:val="15"/>
              </w:rPr>
              <w:t>6</w:t>
            </w:r>
            <w:r w:rsidRPr="00CC3961">
              <w:rPr>
                <w:rFonts w:ascii="Times New Roman" w:hAnsi="Times New Roman" w:cs="Times New Roman"/>
                <w:sz w:val="15"/>
                <w:szCs w:val="15"/>
              </w:rPr>
              <w:t xml:space="preserve"> (</w:t>
            </w:r>
            <w:r w:rsidR="006B36ED">
              <w:rPr>
                <w:rFonts w:ascii="Times New Roman" w:hAnsi="Times New Roman" w:cs="Times New Roman"/>
                <w:sz w:val="15"/>
                <w:szCs w:val="15"/>
              </w:rPr>
              <w:t>30.2</w:t>
            </w:r>
            <w:r w:rsidRPr="00CC3961">
              <w:rPr>
                <w:rFonts w:ascii="Times New Roman" w:hAnsi="Times New Roman" w:cs="Times New Roman"/>
                <w:sz w:val="15"/>
                <w:szCs w:val="15"/>
              </w:rPr>
              <w:t>%)</w:t>
            </w:r>
          </w:p>
        </w:tc>
      </w:tr>
      <w:tr w:rsidR="0097376C" w:rsidRPr="00CC3961" w14:paraId="542EBA01" w14:textId="77777777" w:rsidTr="003D56D1">
        <w:tc>
          <w:tcPr>
            <w:tcW w:w="3114" w:type="dxa"/>
          </w:tcPr>
          <w:p w14:paraId="658DF808"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Ibrutinib</w:t>
            </w:r>
          </w:p>
        </w:tc>
        <w:tc>
          <w:tcPr>
            <w:tcW w:w="2693" w:type="dxa"/>
          </w:tcPr>
          <w:p w14:paraId="1DF6D2E2" w14:textId="6C4959C7" w:rsidR="0097376C" w:rsidRPr="00CC3961" w:rsidRDefault="00346247" w:rsidP="001F57B6">
            <w:pPr>
              <w:spacing w:after="0" w:line="360" w:lineRule="auto"/>
              <w:jc w:val="center"/>
              <w:rPr>
                <w:rFonts w:ascii="Times New Roman" w:hAnsi="Times New Roman" w:cs="Times New Roman"/>
                <w:sz w:val="15"/>
                <w:szCs w:val="15"/>
              </w:rPr>
            </w:pPr>
            <w:r>
              <w:rPr>
                <w:rFonts w:ascii="Times New Roman" w:hAnsi="Times New Roman" w:cs="Times New Roman"/>
                <w:sz w:val="15"/>
                <w:szCs w:val="15"/>
              </w:rPr>
              <w:t>3</w:t>
            </w:r>
            <w:r w:rsidR="0097376C" w:rsidRPr="00CC3961">
              <w:rPr>
                <w:rFonts w:ascii="Times New Roman" w:hAnsi="Times New Roman" w:cs="Times New Roman"/>
                <w:sz w:val="15"/>
                <w:szCs w:val="15"/>
              </w:rPr>
              <w:t xml:space="preserve"> (</w:t>
            </w:r>
            <w:r w:rsidR="00043CB7">
              <w:rPr>
                <w:rFonts w:ascii="Times New Roman" w:hAnsi="Times New Roman" w:cs="Times New Roman"/>
                <w:sz w:val="15"/>
                <w:szCs w:val="15"/>
              </w:rPr>
              <w:t>10.4</w:t>
            </w:r>
            <w:r w:rsidR="0097376C" w:rsidRPr="00CC3961">
              <w:rPr>
                <w:rFonts w:ascii="Times New Roman" w:hAnsi="Times New Roman" w:cs="Times New Roman"/>
                <w:sz w:val="15"/>
                <w:szCs w:val="15"/>
              </w:rPr>
              <w:t>%)</w:t>
            </w:r>
          </w:p>
        </w:tc>
        <w:tc>
          <w:tcPr>
            <w:tcW w:w="3119" w:type="dxa"/>
          </w:tcPr>
          <w:p w14:paraId="2104E76B" w14:textId="028A24EF"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8 (</w:t>
            </w:r>
            <w:r w:rsidR="006B36ED">
              <w:rPr>
                <w:rFonts w:ascii="Times New Roman" w:hAnsi="Times New Roman" w:cs="Times New Roman"/>
                <w:sz w:val="15"/>
                <w:szCs w:val="15"/>
              </w:rPr>
              <w:t>15</w:t>
            </w:r>
            <w:r w:rsidRPr="00CC3961">
              <w:rPr>
                <w:rFonts w:ascii="Times New Roman" w:hAnsi="Times New Roman" w:cs="Times New Roman"/>
                <w:sz w:val="15"/>
                <w:szCs w:val="15"/>
              </w:rPr>
              <w:t>%)</w:t>
            </w:r>
          </w:p>
        </w:tc>
      </w:tr>
      <w:tr w:rsidR="0097376C" w:rsidRPr="00CC3961" w14:paraId="5267521A" w14:textId="77777777" w:rsidTr="003D56D1">
        <w:tc>
          <w:tcPr>
            <w:tcW w:w="3114" w:type="dxa"/>
          </w:tcPr>
          <w:p w14:paraId="1FA292CE"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Ibrutinib + Venetoclax</w:t>
            </w:r>
          </w:p>
        </w:tc>
        <w:tc>
          <w:tcPr>
            <w:tcW w:w="2693" w:type="dxa"/>
          </w:tcPr>
          <w:p w14:paraId="3D690AD4" w14:textId="7A0F893C"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043CB7">
              <w:rPr>
                <w:rFonts w:ascii="Times New Roman" w:hAnsi="Times New Roman" w:cs="Times New Roman"/>
                <w:sz w:val="15"/>
                <w:szCs w:val="15"/>
              </w:rPr>
              <w:t>3.4</w:t>
            </w:r>
            <w:r w:rsidRPr="00CC3961">
              <w:rPr>
                <w:rFonts w:ascii="Times New Roman" w:hAnsi="Times New Roman" w:cs="Times New Roman"/>
                <w:sz w:val="15"/>
                <w:szCs w:val="15"/>
              </w:rPr>
              <w:t>%)</w:t>
            </w:r>
          </w:p>
        </w:tc>
        <w:tc>
          <w:tcPr>
            <w:tcW w:w="3119" w:type="dxa"/>
          </w:tcPr>
          <w:p w14:paraId="01D1383E" w14:textId="41FFDE44"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6B36ED">
              <w:rPr>
                <w:rFonts w:ascii="Times New Roman" w:hAnsi="Times New Roman" w:cs="Times New Roman"/>
                <w:sz w:val="15"/>
                <w:szCs w:val="15"/>
              </w:rPr>
              <w:t>1.9</w:t>
            </w:r>
            <w:r w:rsidRPr="00CC3961">
              <w:rPr>
                <w:rFonts w:ascii="Times New Roman" w:hAnsi="Times New Roman" w:cs="Times New Roman"/>
                <w:sz w:val="15"/>
                <w:szCs w:val="15"/>
              </w:rPr>
              <w:t>%)</w:t>
            </w:r>
          </w:p>
        </w:tc>
      </w:tr>
      <w:tr w:rsidR="0097376C" w:rsidRPr="00CC3961" w14:paraId="3DED2A1F" w14:textId="77777777" w:rsidTr="003D56D1">
        <w:tc>
          <w:tcPr>
            <w:tcW w:w="3114" w:type="dxa"/>
          </w:tcPr>
          <w:p w14:paraId="60C59666"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Obinutuzumab + Venetoclax</w:t>
            </w:r>
          </w:p>
        </w:tc>
        <w:tc>
          <w:tcPr>
            <w:tcW w:w="2693" w:type="dxa"/>
          </w:tcPr>
          <w:p w14:paraId="6754175A" w14:textId="10471E83" w:rsidR="0097376C" w:rsidRPr="00CC3961" w:rsidRDefault="00E929DD" w:rsidP="001F57B6">
            <w:pPr>
              <w:spacing w:after="0" w:line="360" w:lineRule="auto"/>
              <w:jc w:val="center"/>
              <w:rPr>
                <w:rFonts w:ascii="Times New Roman" w:hAnsi="Times New Roman" w:cs="Times New Roman"/>
                <w:sz w:val="15"/>
                <w:szCs w:val="15"/>
              </w:rPr>
            </w:pPr>
            <w:r>
              <w:rPr>
                <w:rFonts w:ascii="Times New Roman" w:hAnsi="Times New Roman" w:cs="Times New Roman"/>
                <w:sz w:val="15"/>
                <w:szCs w:val="15"/>
              </w:rPr>
              <w:t>2</w:t>
            </w:r>
            <w:r w:rsidR="0097376C" w:rsidRPr="00CC3961">
              <w:rPr>
                <w:rFonts w:ascii="Times New Roman" w:hAnsi="Times New Roman" w:cs="Times New Roman"/>
                <w:sz w:val="15"/>
                <w:szCs w:val="15"/>
              </w:rPr>
              <w:t xml:space="preserve"> (</w:t>
            </w:r>
            <w:r w:rsidR="00043CB7">
              <w:rPr>
                <w:rFonts w:ascii="Times New Roman" w:hAnsi="Times New Roman" w:cs="Times New Roman"/>
                <w:sz w:val="15"/>
                <w:szCs w:val="15"/>
              </w:rPr>
              <w:t>6.9</w:t>
            </w:r>
            <w:r w:rsidR="0097376C" w:rsidRPr="00CC3961">
              <w:rPr>
                <w:rFonts w:ascii="Times New Roman" w:hAnsi="Times New Roman" w:cs="Times New Roman"/>
                <w:sz w:val="15"/>
                <w:szCs w:val="15"/>
              </w:rPr>
              <w:t>%)</w:t>
            </w:r>
          </w:p>
        </w:tc>
        <w:tc>
          <w:tcPr>
            <w:tcW w:w="3119" w:type="dxa"/>
          </w:tcPr>
          <w:p w14:paraId="2010C1F2" w14:textId="22BF2173"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2 (</w:t>
            </w:r>
            <w:r w:rsidR="006B36ED">
              <w:rPr>
                <w:rFonts w:ascii="Times New Roman" w:hAnsi="Times New Roman" w:cs="Times New Roman"/>
                <w:sz w:val="15"/>
                <w:szCs w:val="15"/>
              </w:rPr>
              <w:t>3.8</w:t>
            </w:r>
            <w:r w:rsidRPr="00CC3961">
              <w:rPr>
                <w:rFonts w:ascii="Times New Roman" w:hAnsi="Times New Roman" w:cs="Times New Roman"/>
                <w:sz w:val="15"/>
                <w:szCs w:val="15"/>
              </w:rPr>
              <w:t>%)</w:t>
            </w:r>
          </w:p>
        </w:tc>
      </w:tr>
      <w:tr w:rsidR="0097376C" w:rsidRPr="00CC3961" w14:paraId="10A11087" w14:textId="77777777" w:rsidTr="003D56D1">
        <w:tc>
          <w:tcPr>
            <w:tcW w:w="3114" w:type="dxa"/>
          </w:tcPr>
          <w:p w14:paraId="4E75AC7F" w14:textId="486B3D26"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w:t>
            </w:r>
            <w:r w:rsidRPr="00FD62A8">
              <w:rPr>
                <w:rFonts w:ascii="Times New Roman" w:hAnsi="Times New Roman" w:cs="Times New Roman"/>
                <w:sz w:val="18"/>
                <w:szCs w:val="18"/>
              </w:rPr>
              <w:t>Obinutuzumab +</w:t>
            </w:r>
            <w:r w:rsidR="003D56D1">
              <w:rPr>
                <w:rFonts w:ascii="Times New Roman" w:hAnsi="Times New Roman" w:cs="Times New Roman"/>
                <w:sz w:val="18"/>
                <w:szCs w:val="18"/>
              </w:rPr>
              <w:t xml:space="preserve"> C</w:t>
            </w:r>
            <w:r w:rsidRPr="00FD62A8">
              <w:rPr>
                <w:rFonts w:ascii="Times New Roman" w:hAnsi="Times New Roman" w:cs="Times New Roman"/>
                <w:sz w:val="18"/>
                <w:szCs w:val="18"/>
              </w:rPr>
              <w:t>hlorambucil</w:t>
            </w:r>
          </w:p>
        </w:tc>
        <w:tc>
          <w:tcPr>
            <w:tcW w:w="2693" w:type="dxa"/>
          </w:tcPr>
          <w:p w14:paraId="7E9B9C5A" w14:textId="04C68535" w:rsidR="0097376C"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32CA2959" w14:textId="5DAC6E10"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2 (</w:t>
            </w:r>
            <w:r w:rsidR="006B36ED">
              <w:rPr>
                <w:rFonts w:ascii="Times New Roman" w:hAnsi="Times New Roman" w:cs="Times New Roman"/>
                <w:sz w:val="15"/>
                <w:szCs w:val="15"/>
              </w:rPr>
              <w:t>3.8</w:t>
            </w:r>
            <w:r w:rsidRPr="00CC3961">
              <w:rPr>
                <w:rFonts w:ascii="Times New Roman" w:hAnsi="Times New Roman" w:cs="Times New Roman"/>
                <w:sz w:val="15"/>
                <w:szCs w:val="15"/>
              </w:rPr>
              <w:t>%)</w:t>
            </w:r>
          </w:p>
        </w:tc>
      </w:tr>
      <w:tr w:rsidR="0097376C" w:rsidRPr="00CC3961" w14:paraId="152CAA8B" w14:textId="77777777" w:rsidTr="003D56D1">
        <w:tc>
          <w:tcPr>
            <w:tcW w:w="3114" w:type="dxa"/>
          </w:tcPr>
          <w:p w14:paraId="0E03D2AE"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Acalabrutinib</w:t>
            </w:r>
          </w:p>
        </w:tc>
        <w:tc>
          <w:tcPr>
            <w:tcW w:w="2693" w:type="dxa"/>
          </w:tcPr>
          <w:p w14:paraId="38A598E4" w14:textId="3AEA8A9D"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043CB7">
              <w:rPr>
                <w:rFonts w:ascii="Times New Roman" w:hAnsi="Times New Roman" w:cs="Times New Roman"/>
                <w:sz w:val="15"/>
                <w:szCs w:val="15"/>
              </w:rPr>
              <w:t>3.4</w:t>
            </w:r>
            <w:r w:rsidRPr="00CC3961">
              <w:rPr>
                <w:rFonts w:ascii="Times New Roman" w:hAnsi="Times New Roman" w:cs="Times New Roman"/>
                <w:sz w:val="15"/>
                <w:szCs w:val="15"/>
              </w:rPr>
              <w:t>%)</w:t>
            </w:r>
          </w:p>
        </w:tc>
        <w:tc>
          <w:tcPr>
            <w:tcW w:w="3119" w:type="dxa"/>
          </w:tcPr>
          <w:p w14:paraId="43E722BE" w14:textId="1299506F"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6B36ED">
              <w:rPr>
                <w:rFonts w:ascii="Times New Roman" w:hAnsi="Times New Roman" w:cs="Times New Roman"/>
                <w:sz w:val="15"/>
                <w:szCs w:val="15"/>
              </w:rPr>
              <w:t>1.9</w:t>
            </w:r>
            <w:r w:rsidRPr="00CC3961">
              <w:rPr>
                <w:rFonts w:ascii="Times New Roman" w:hAnsi="Times New Roman" w:cs="Times New Roman"/>
                <w:sz w:val="15"/>
                <w:szCs w:val="15"/>
              </w:rPr>
              <w:t>%)</w:t>
            </w:r>
          </w:p>
        </w:tc>
      </w:tr>
      <w:tr w:rsidR="0097376C" w:rsidRPr="00CC3961" w14:paraId="1D7E2F81" w14:textId="77777777" w:rsidTr="003D56D1">
        <w:tc>
          <w:tcPr>
            <w:tcW w:w="3114" w:type="dxa"/>
          </w:tcPr>
          <w:p w14:paraId="6D974FF7"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Acalabrutinib + Venetoclax</w:t>
            </w:r>
          </w:p>
        </w:tc>
        <w:tc>
          <w:tcPr>
            <w:tcW w:w="2693" w:type="dxa"/>
          </w:tcPr>
          <w:p w14:paraId="17028DA2" w14:textId="3B60578F"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043CB7">
              <w:rPr>
                <w:rFonts w:ascii="Times New Roman" w:hAnsi="Times New Roman" w:cs="Times New Roman"/>
                <w:sz w:val="15"/>
                <w:szCs w:val="15"/>
              </w:rPr>
              <w:t>3.4</w:t>
            </w:r>
            <w:r w:rsidRPr="00CC3961">
              <w:rPr>
                <w:rFonts w:ascii="Times New Roman" w:hAnsi="Times New Roman" w:cs="Times New Roman"/>
                <w:sz w:val="15"/>
                <w:szCs w:val="15"/>
              </w:rPr>
              <w:t>%)</w:t>
            </w:r>
          </w:p>
        </w:tc>
        <w:tc>
          <w:tcPr>
            <w:tcW w:w="3119" w:type="dxa"/>
          </w:tcPr>
          <w:p w14:paraId="580045AF" w14:textId="0DAB11A0" w:rsidR="0097376C"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r>
      <w:tr w:rsidR="0066061A" w:rsidRPr="00CC3961" w14:paraId="7FC68FD4" w14:textId="77777777" w:rsidTr="003D56D1">
        <w:tc>
          <w:tcPr>
            <w:tcW w:w="3114" w:type="dxa"/>
          </w:tcPr>
          <w:p w14:paraId="59D76128" w14:textId="0ACCC219" w:rsidR="0066061A" w:rsidRPr="00765624" w:rsidRDefault="0066061A"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Rituximab + Venetoclax</w:t>
            </w:r>
          </w:p>
        </w:tc>
        <w:tc>
          <w:tcPr>
            <w:tcW w:w="2693" w:type="dxa"/>
          </w:tcPr>
          <w:p w14:paraId="36B729AD" w14:textId="35169069" w:rsidR="0066061A" w:rsidRPr="00CC3961" w:rsidRDefault="0066061A" w:rsidP="001F57B6">
            <w:pPr>
              <w:spacing w:after="0" w:line="360" w:lineRule="auto"/>
              <w:jc w:val="center"/>
              <w:rPr>
                <w:rFonts w:ascii="Times New Roman" w:hAnsi="Times New Roman" w:cs="Times New Roman"/>
                <w:sz w:val="15"/>
                <w:szCs w:val="15"/>
              </w:rPr>
            </w:pPr>
            <w:r>
              <w:rPr>
                <w:rFonts w:ascii="Times New Roman" w:hAnsi="Times New Roman" w:cs="Times New Roman"/>
                <w:sz w:val="15"/>
                <w:szCs w:val="15"/>
              </w:rPr>
              <w:t>1 (</w:t>
            </w:r>
            <w:r w:rsidR="00043CB7">
              <w:rPr>
                <w:rFonts w:ascii="Times New Roman" w:hAnsi="Times New Roman" w:cs="Times New Roman"/>
                <w:sz w:val="15"/>
                <w:szCs w:val="15"/>
              </w:rPr>
              <w:t>3.4</w:t>
            </w:r>
            <w:r>
              <w:rPr>
                <w:rFonts w:ascii="Times New Roman" w:hAnsi="Times New Roman" w:cs="Times New Roman"/>
                <w:sz w:val="15"/>
                <w:szCs w:val="15"/>
              </w:rPr>
              <w:t>%)</w:t>
            </w:r>
          </w:p>
        </w:tc>
        <w:tc>
          <w:tcPr>
            <w:tcW w:w="3119" w:type="dxa"/>
          </w:tcPr>
          <w:p w14:paraId="2BC6AC23" w14:textId="20160B34" w:rsidR="0066061A"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r>
      <w:tr w:rsidR="0097376C" w:rsidRPr="00CC3961" w14:paraId="530C314A" w14:textId="77777777" w:rsidTr="003D56D1">
        <w:tc>
          <w:tcPr>
            <w:tcW w:w="3114" w:type="dxa"/>
          </w:tcPr>
          <w:p w14:paraId="0CF1350B"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Venetoclax</w:t>
            </w:r>
          </w:p>
        </w:tc>
        <w:tc>
          <w:tcPr>
            <w:tcW w:w="2693" w:type="dxa"/>
          </w:tcPr>
          <w:p w14:paraId="59931FAE" w14:textId="2C90E413" w:rsidR="0097376C"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7C3331D8" w14:textId="0B5838FD"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6B36ED">
              <w:rPr>
                <w:rFonts w:ascii="Times New Roman" w:hAnsi="Times New Roman" w:cs="Times New Roman"/>
                <w:sz w:val="15"/>
                <w:szCs w:val="15"/>
              </w:rPr>
              <w:t>1.9</w:t>
            </w:r>
            <w:r w:rsidRPr="00CC3961">
              <w:rPr>
                <w:rFonts w:ascii="Times New Roman" w:hAnsi="Times New Roman" w:cs="Times New Roman"/>
                <w:sz w:val="15"/>
                <w:szCs w:val="15"/>
              </w:rPr>
              <w:t>%)</w:t>
            </w:r>
          </w:p>
        </w:tc>
      </w:tr>
      <w:tr w:rsidR="0097376C" w:rsidRPr="00CC3961" w14:paraId="40904D39" w14:textId="77777777" w:rsidTr="003D56D1">
        <w:tc>
          <w:tcPr>
            <w:tcW w:w="3114" w:type="dxa"/>
          </w:tcPr>
          <w:p w14:paraId="15CBCD76"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w:t>
            </w:r>
            <w:proofErr w:type="spellStart"/>
            <w:r w:rsidRPr="00765624">
              <w:rPr>
                <w:rFonts w:ascii="Times New Roman" w:hAnsi="Times New Roman" w:cs="Times New Roman"/>
                <w:sz w:val="18"/>
                <w:szCs w:val="18"/>
              </w:rPr>
              <w:t>Pirtobrutinib</w:t>
            </w:r>
            <w:proofErr w:type="spellEnd"/>
          </w:p>
        </w:tc>
        <w:tc>
          <w:tcPr>
            <w:tcW w:w="2693" w:type="dxa"/>
          </w:tcPr>
          <w:p w14:paraId="7DA7F52A" w14:textId="55578498" w:rsidR="0097376C"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2F7542CC" w14:textId="2173D343"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6B36ED">
              <w:rPr>
                <w:rFonts w:ascii="Times New Roman" w:hAnsi="Times New Roman" w:cs="Times New Roman"/>
                <w:sz w:val="15"/>
                <w:szCs w:val="15"/>
              </w:rPr>
              <w:t>1.9</w:t>
            </w:r>
            <w:r w:rsidRPr="00CC3961">
              <w:rPr>
                <w:rFonts w:ascii="Times New Roman" w:hAnsi="Times New Roman" w:cs="Times New Roman"/>
                <w:sz w:val="15"/>
                <w:szCs w:val="15"/>
              </w:rPr>
              <w:t>%)</w:t>
            </w:r>
          </w:p>
        </w:tc>
      </w:tr>
      <w:tr w:rsidR="0097376C" w:rsidRPr="00CC3961" w14:paraId="4686F5BC" w14:textId="77777777" w:rsidTr="003D56D1">
        <w:tc>
          <w:tcPr>
            <w:tcW w:w="3114" w:type="dxa"/>
          </w:tcPr>
          <w:p w14:paraId="7AEF57A0"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w:t>
            </w:r>
            <w:proofErr w:type="spellStart"/>
            <w:r w:rsidRPr="00765624">
              <w:rPr>
                <w:rFonts w:ascii="Times New Roman" w:hAnsi="Times New Roman" w:cs="Times New Roman"/>
                <w:sz w:val="18"/>
                <w:szCs w:val="18"/>
              </w:rPr>
              <w:t>Nemtabrutinib</w:t>
            </w:r>
            <w:proofErr w:type="spellEnd"/>
          </w:p>
        </w:tc>
        <w:tc>
          <w:tcPr>
            <w:tcW w:w="2693" w:type="dxa"/>
          </w:tcPr>
          <w:p w14:paraId="138EAE83" w14:textId="7694EA6D"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043CB7">
              <w:rPr>
                <w:rFonts w:ascii="Times New Roman" w:hAnsi="Times New Roman" w:cs="Times New Roman"/>
                <w:sz w:val="15"/>
                <w:szCs w:val="15"/>
              </w:rPr>
              <w:t>3.4</w:t>
            </w:r>
            <w:r w:rsidRPr="00CC3961">
              <w:rPr>
                <w:rFonts w:ascii="Times New Roman" w:hAnsi="Times New Roman" w:cs="Times New Roman"/>
                <w:sz w:val="15"/>
                <w:szCs w:val="15"/>
              </w:rPr>
              <w:t>%)</w:t>
            </w:r>
          </w:p>
        </w:tc>
        <w:tc>
          <w:tcPr>
            <w:tcW w:w="3119" w:type="dxa"/>
          </w:tcPr>
          <w:p w14:paraId="63C98F2F" w14:textId="493FB811" w:rsidR="0097376C"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r>
      <w:tr w:rsidR="0097376C" w:rsidRPr="00CC3961" w14:paraId="68C9B566" w14:textId="77777777" w:rsidTr="003D56D1">
        <w:tc>
          <w:tcPr>
            <w:tcW w:w="3114" w:type="dxa"/>
          </w:tcPr>
          <w:p w14:paraId="428E0A35" w14:textId="77777777" w:rsidR="0097376C" w:rsidRPr="00765624" w:rsidRDefault="0097376C" w:rsidP="001F57B6">
            <w:pPr>
              <w:spacing w:after="0" w:line="360" w:lineRule="auto"/>
              <w:rPr>
                <w:rFonts w:ascii="Times New Roman" w:hAnsi="Times New Roman" w:cs="Times New Roman"/>
                <w:b/>
                <w:bCs/>
                <w:sz w:val="18"/>
                <w:szCs w:val="18"/>
              </w:rPr>
            </w:pPr>
            <w:r w:rsidRPr="00765624">
              <w:rPr>
                <w:rFonts w:ascii="Times New Roman" w:hAnsi="Times New Roman" w:cs="Times New Roman"/>
                <w:b/>
                <w:bCs/>
                <w:sz w:val="18"/>
                <w:szCs w:val="18"/>
              </w:rPr>
              <w:t>Other</w:t>
            </w:r>
          </w:p>
        </w:tc>
        <w:tc>
          <w:tcPr>
            <w:tcW w:w="2693" w:type="dxa"/>
          </w:tcPr>
          <w:p w14:paraId="1E00F3E0" w14:textId="5A537AA8" w:rsidR="0097376C"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25988F99" w14:textId="27C2A9E6" w:rsidR="0097376C" w:rsidRPr="00CC3961" w:rsidRDefault="006B36ED" w:rsidP="001F57B6">
            <w:pPr>
              <w:spacing w:after="0" w:line="360" w:lineRule="auto"/>
              <w:jc w:val="center"/>
              <w:rPr>
                <w:rFonts w:ascii="Times New Roman" w:hAnsi="Times New Roman" w:cs="Times New Roman"/>
                <w:sz w:val="15"/>
                <w:szCs w:val="15"/>
              </w:rPr>
            </w:pPr>
            <w:r>
              <w:rPr>
                <w:rFonts w:ascii="Times New Roman" w:hAnsi="Times New Roman" w:cs="Times New Roman"/>
                <w:sz w:val="15"/>
                <w:szCs w:val="15"/>
              </w:rPr>
              <w:t>2</w:t>
            </w:r>
            <w:r w:rsidR="0097376C" w:rsidRPr="00CC3961">
              <w:rPr>
                <w:rFonts w:ascii="Times New Roman" w:hAnsi="Times New Roman" w:cs="Times New Roman"/>
                <w:sz w:val="15"/>
                <w:szCs w:val="15"/>
              </w:rPr>
              <w:t xml:space="preserve"> (</w:t>
            </w:r>
            <w:r>
              <w:rPr>
                <w:rFonts w:ascii="Times New Roman" w:hAnsi="Times New Roman" w:cs="Times New Roman"/>
                <w:sz w:val="15"/>
                <w:szCs w:val="15"/>
              </w:rPr>
              <w:t>3.8</w:t>
            </w:r>
            <w:r w:rsidR="0097376C" w:rsidRPr="00CC3961">
              <w:rPr>
                <w:rFonts w:ascii="Times New Roman" w:hAnsi="Times New Roman" w:cs="Times New Roman"/>
                <w:sz w:val="15"/>
                <w:szCs w:val="15"/>
              </w:rPr>
              <w:t>%)</w:t>
            </w:r>
          </w:p>
        </w:tc>
      </w:tr>
      <w:tr w:rsidR="0097376C" w:rsidRPr="00CC3961" w14:paraId="33A95842" w14:textId="77777777" w:rsidTr="003D56D1">
        <w:tc>
          <w:tcPr>
            <w:tcW w:w="3114" w:type="dxa"/>
          </w:tcPr>
          <w:p w14:paraId="1D40FB93" w14:textId="77777777" w:rsidR="0097376C" w:rsidRPr="00765624" w:rsidRDefault="0097376C"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Allogeneic SCT</w:t>
            </w:r>
          </w:p>
        </w:tc>
        <w:tc>
          <w:tcPr>
            <w:tcW w:w="2693" w:type="dxa"/>
          </w:tcPr>
          <w:p w14:paraId="55CD4220" w14:textId="2FF22F83" w:rsidR="0097376C"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3E6E9726" w14:textId="3688A41B" w:rsidR="0097376C" w:rsidRPr="00CC3961" w:rsidRDefault="0097376C"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6B36ED">
              <w:rPr>
                <w:rFonts w:ascii="Times New Roman" w:hAnsi="Times New Roman" w:cs="Times New Roman"/>
                <w:sz w:val="15"/>
                <w:szCs w:val="15"/>
              </w:rPr>
              <w:t>1.9</w:t>
            </w:r>
            <w:r w:rsidRPr="00CC3961">
              <w:rPr>
                <w:rFonts w:ascii="Times New Roman" w:hAnsi="Times New Roman" w:cs="Times New Roman"/>
                <w:sz w:val="15"/>
                <w:szCs w:val="15"/>
              </w:rPr>
              <w:t>%)</w:t>
            </w:r>
          </w:p>
        </w:tc>
      </w:tr>
      <w:tr w:rsidR="00DC506A" w:rsidRPr="00CC3961" w14:paraId="78777204" w14:textId="77777777" w:rsidTr="003D56D1">
        <w:trPr>
          <w:trHeight w:val="250"/>
        </w:trPr>
        <w:tc>
          <w:tcPr>
            <w:tcW w:w="3114" w:type="dxa"/>
            <w:vMerge w:val="restart"/>
            <w:shd w:val="clear" w:color="auto" w:fill="EBF3FB"/>
          </w:tcPr>
          <w:p w14:paraId="345773A4" w14:textId="77777777" w:rsidR="00DC506A" w:rsidRPr="00765624" w:rsidRDefault="00DC506A" w:rsidP="00DC506A">
            <w:pPr>
              <w:spacing w:after="0"/>
              <w:rPr>
                <w:rFonts w:ascii="Times New Roman" w:hAnsi="Times New Roman" w:cs="Times New Roman"/>
                <w:sz w:val="18"/>
                <w:szCs w:val="18"/>
              </w:rPr>
            </w:pPr>
          </w:p>
          <w:p w14:paraId="02ABB273" w14:textId="19FC1819" w:rsidR="00DC506A" w:rsidRPr="00765624" w:rsidRDefault="00DC506A" w:rsidP="00DC506A">
            <w:pPr>
              <w:spacing w:after="0"/>
              <w:rPr>
                <w:rFonts w:ascii="Times New Roman" w:hAnsi="Times New Roman" w:cs="Times New Roman"/>
                <w:sz w:val="18"/>
                <w:szCs w:val="18"/>
              </w:rPr>
            </w:pPr>
            <w:r w:rsidRPr="00765624">
              <w:rPr>
                <w:rFonts w:ascii="Times New Roman" w:hAnsi="Times New Roman" w:cs="Times New Roman"/>
                <w:b/>
                <w:sz w:val="18"/>
                <w:szCs w:val="18"/>
              </w:rPr>
              <w:t>Treatment</w:t>
            </w:r>
          </w:p>
        </w:tc>
        <w:tc>
          <w:tcPr>
            <w:tcW w:w="5812" w:type="dxa"/>
            <w:gridSpan w:val="2"/>
            <w:shd w:val="clear" w:color="auto" w:fill="EBF3FB"/>
          </w:tcPr>
          <w:p w14:paraId="1C6C0E90" w14:textId="1F0C0555" w:rsidR="00DC506A" w:rsidRPr="00DC506A" w:rsidRDefault="0055171D" w:rsidP="00DC506A">
            <w:pPr>
              <w:spacing w:after="0" w:line="360" w:lineRule="auto"/>
              <w:jc w:val="center"/>
              <w:rPr>
                <w:rFonts w:ascii="Times New Roman" w:hAnsi="Times New Roman" w:cs="Times New Roman"/>
                <w:sz w:val="20"/>
                <w:szCs w:val="20"/>
              </w:rPr>
            </w:pPr>
            <w:r>
              <w:rPr>
                <w:rFonts w:ascii="Times New Roman" w:hAnsi="Times New Roman" w:cs="Times New Roman"/>
                <w:b/>
                <w:sz w:val="20"/>
                <w:szCs w:val="20"/>
              </w:rPr>
              <w:t>Patient</w:t>
            </w:r>
            <w:r w:rsidR="001808F1">
              <w:rPr>
                <w:rFonts w:ascii="Times New Roman" w:hAnsi="Times New Roman" w:cs="Times New Roman"/>
                <w:b/>
                <w:sz w:val="20"/>
                <w:szCs w:val="20"/>
              </w:rPr>
              <w:t xml:space="preserve">s </w:t>
            </w:r>
            <w:r>
              <w:rPr>
                <w:rFonts w:ascii="Times New Roman" w:hAnsi="Times New Roman" w:cs="Times New Roman"/>
                <w:b/>
                <w:sz w:val="20"/>
                <w:szCs w:val="20"/>
              </w:rPr>
              <w:t>who received s</w:t>
            </w:r>
            <w:r w:rsidR="00DC506A" w:rsidRPr="00DC506A">
              <w:rPr>
                <w:rFonts w:ascii="Times New Roman" w:hAnsi="Times New Roman" w:cs="Times New Roman"/>
                <w:b/>
                <w:sz w:val="20"/>
                <w:szCs w:val="20"/>
              </w:rPr>
              <w:t>econd-line therapy (n=29)</w:t>
            </w:r>
          </w:p>
        </w:tc>
      </w:tr>
      <w:tr w:rsidR="00DC506A" w:rsidRPr="00CC3961" w14:paraId="6FCDE085" w14:textId="77777777" w:rsidTr="003D56D1">
        <w:trPr>
          <w:trHeight w:val="250"/>
        </w:trPr>
        <w:tc>
          <w:tcPr>
            <w:tcW w:w="3114" w:type="dxa"/>
            <w:vMerge/>
            <w:shd w:val="clear" w:color="auto" w:fill="EBF3FB"/>
          </w:tcPr>
          <w:p w14:paraId="56CF6789" w14:textId="77777777" w:rsidR="00DC506A" w:rsidRPr="00765624" w:rsidRDefault="00DC506A" w:rsidP="00DC506A">
            <w:pPr>
              <w:spacing w:after="0"/>
              <w:rPr>
                <w:rFonts w:ascii="Times New Roman" w:hAnsi="Times New Roman" w:cs="Times New Roman"/>
                <w:b/>
                <w:sz w:val="18"/>
                <w:szCs w:val="18"/>
              </w:rPr>
            </w:pPr>
          </w:p>
        </w:tc>
        <w:tc>
          <w:tcPr>
            <w:tcW w:w="2693" w:type="dxa"/>
            <w:shd w:val="clear" w:color="auto" w:fill="EBF3FB"/>
          </w:tcPr>
          <w:p w14:paraId="6DC3E329" w14:textId="7F55726E" w:rsidR="00DC506A" w:rsidRPr="00F12000" w:rsidRDefault="00DC506A" w:rsidP="00DC506A">
            <w:pPr>
              <w:spacing w:after="0" w:line="360" w:lineRule="auto"/>
              <w:jc w:val="center"/>
              <w:rPr>
                <w:rFonts w:ascii="Times New Roman" w:hAnsi="Times New Roman" w:cs="Times New Roman"/>
                <w:b/>
                <w:sz w:val="18"/>
                <w:szCs w:val="18"/>
              </w:rPr>
            </w:pPr>
            <w:r w:rsidRPr="00F12000">
              <w:rPr>
                <w:rFonts w:ascii="Times New Roman" w:hAnsi="Times New Roman" w:cs="Times New Roman"/>
                <w:b/>
                <w:sz w:val="18"/>
                <w:szCs w:val="18"/>
              </w:rPr>
              <w:t>IGHV mutated</w:t>
            </w:r>
            <w:r>
              <w:rPr>
                <w:rFonts w:ascii="Times New Roman" w:hAnsi="Times New Roman" w:cs="Times New Roman"/>
                <w:b/>
                <w:sz w:val="18"/>
                <w:szCs w:val="18"/>
              </w:rPr>
              <w:t xml:space="preserve"> </w:t>
            </w:r>
            <w:r w:rsidRPr="00F12000">
              <w:rPr>
                <w:rFonts w:ascii="Times New Roman" w:hAnsi="Times New Roman" w:cs="Times New Roman"/>
                <w:b/>
                <w:sz w:val="18"/>
                <w:szCs w:val="18"/>
              </w:rPr>
              <w:t>(n=</w:t>
            </w:r>
            <w:r>
              <w:rPr>
                <w:rFonts w:ascii="Times New Roman" w:hAnsi="Times New Roman" w:cs="Times New Roman"/>
                <w:b/>
                <w:sz w:val="18"/>
                <w:szCs w:val="18"/>
              </w:rPr>
              <w:t xml:space="preserve">6, </w:t>
            </w:r>
            <w:r w:rsidR="0055171D">
              <w:rPr>
                <w:rFonts w:ascii="Times New Roman" w:hAnsi="Times New Roman" w:cs="Times New Roman"/>
                <w:b/>
                <w:sz w:val="18"/>
                <w:szCs w:val="18"/>
              </w:rPr>
              <w:t>20.7</w:t>
            </w:r>
            <w:r w:rsidRPr="00F12000">
              <w:rPr>
                <w:rFonts w:ascii="Times New Roman" w:hAnsi="Times New Roman" w:cs="Times New Roman"/>
                <w:b/>
                <w:sz w:val="18"/>
                <w:szCs w:val="18"/>
              </w:rPr>
              <w:t>%)</w:t>
            </w:r>
          </w:p>
        </w:tc>
        <w:tc>
          <w:tcPr>
            <w:tcW w:w="3119" w:type="dxa"/>
            <w:shd w:val="clear" w:color="auto" w:fill="EBF3FB"/>
          </w:tcPr>
          <w:p w14:paraId="0EEE876C" w14:textId="56548E3A" w:rsidR="00DC506A" w:rsidRPr="00F12000" w:rsidRDefault="00DC506A" w:rsidP="00DC506A">
            <w:pPr>
              <w:spacing w:after="0" w:line="360" w:lineRule="auto"/>
              <w:jc w:val="center"/>
              <w:rPr>
                <w:rFonts w:ascii="Times New Roman" w:hAnsi="Times New Roman" w:cs="Times New Roman"/>
                <w:b/>
                <w:sz w:val="18"/>
                <w:szCs w:val="18"/>
              </w:rPr>
            </w:pPr>
            <w:r w:rsidRPr="00F12000">
              <w:rPr>
                <w:rFonts w:ascii="Times New Roman" w:hAnsi="Times New Roman" w:cs="Times New Roman"/>
                <w:b/>
                <w:sz w:val="18"/>
                <w:szCs w:val="18"/>
              </w:rPr>
              <w:t xml:space="preserve">IGHV </w:t>
            </w:r>
            <w:r>
              <w:rPr>
                <w:rFonts w:ascii="Times New Roman" w:hAnsi="Times New Roman" w:cs="Times New Roman"/>
                <w:b/>
                <w:sz w:val="18"/>
                <w:szCs w:val="18"/>
              </w:rPr>
              <w:t>un</w:t>
            </w:r>
            <w:r w:rsidRPr="00F12000">
              <w:rPr>
                <w:rFonts w:ascii="Times New Roman" w:hAnsi="Times New Roman" w:cs="Times New Roman"/>
                <w:b/>
                <w:sz w:val="18"/>
                <w:szCs w:val="18"/>
              </w:rPr>
              <w:t>mutated</w:t>
            </w:r>
            <w:r>
              <w:rPr>
                <w:rFonts w:ascii="Times New Roman" w:hAnsi="Times New Roman" w:cs="Times New Roman"/>
                <w:b/>
                <w:sz w:val="18"/>
                <w:szCs w:val="18"/>
              </w:rPr>
              <w:t xml:space="preserve"> </w:t>
            </w:r>
            <w:r w:rsidRPr="00F12000">
              <w:rPr>
                <w:rFonts w:ascii="Times New Roman" w:hAnsi="Times New Roman" w:cs="Times New Roman"/>
                <w:b/>
                <w:sz w:val="18"/>
                <w:szCs w:val="18"/>
              </w:rPr>
              <w:t>(n=</w:t>
            </w:r>
            <w:r>
              <w:rPr>
                <w:rFonts w:ascii="Times New Roman" w:hAnsi="Times New Roman" w:cs="Times New Roman"/>
                <w:b/>
                <w:sz w:val="18"/>
                <w:szCs w:val="18"/>
              </w:rPr>
              <w:t xml:space="preserve">23, </w:t>
            </w:r>
            <w:r w:rsidR="0055171D">
              <w:rPr>
                <w:rFonts w:ascii="Times New Roman" w:hAnsi="Times New Roman" w:cs="Times New Roman"/>
                <w:b/>
                <w:sz w:val="18"/>
                <w:szCs w:val="18"/>
              </w:rPr>
              <w:t>79.3</w:t>
            </w:r>
            <w:r w:rsidRPr="00F12000">
              <w:rPr>
                <w:rFonts w:ascii="Times New Roman" w:hAnsi="Times New Roman" w:cs="Times New Roman"/>
                <w:b/>
                <w:sz w:val="18"/>
                <w:szCs w:val="18"/>
              </w:rPr>
              <w:t>%)</w:t>
            </w:r>
          </w:p>
        </w:tc>
      </w:tr>
      <w:tr w:rsidR="00DC506A" w:rsidRPr="00CC3961" w14:paraId="71E4B1C0" w14:textId="77777777" w:rsidTr="003D56D1">
        <w:tc>
          <w:tcPr>
            <w:tcW w:w="3114" w:type="dxa"/>
          </w:tcPr>
          <w:p w14:paraId="195DFD24" w14:textId="77777777" w:rsidR="00DC506A" w:rsidRPr="00765624" w:rsidRDefault="00DC506A"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Ibrutinib</w:t>
            </w:r>
          </w:p>
        </w:tc>
        <w:tc>
          <w:tcPr>
            <w:tcW w:w="2693" w:type="dxa"/>
          </w:tcPr>
          <w:p w14:paraId="31C2774B" w14:textId="3428C26A" w:rsidR="00DC506A" w:rsidRPr="00CC3961" w:rsidRDefault="00DC506A"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3 (</w:t>
            </w:r>
            <w:r w:rsidR="00CB6933">
              <w:rPr>
                <w:rFonts w:ascii="Times New Roman" w:hAnsi="Times New Roman" w:cs="Times New Roman"/>
                <w:sz w:val="15"/>
                <w:szCs w:val="15"/>
              </w:rPr>
              <w:t>50</w:t>
            </w:r>
            <w:r w:rsidR="004647CB">
              <w:rPr>
                <w:rFonts w:ascii="Times New Roman" w:hAnsi="Times New Roman" w:cs="Times New Roman"/>
                <w:sz w:val="15"/>
                <w:szCs w:val="15"/>
              </w:rPr>
              <w:t>.0</w:t>
            </w:r>
            <w:r w:rsidRPr="00CC3961">
              <w:rPr>
                <w:rFonts w:ascii="Times New Roman" w:hAnsi="Times New Roman" w:cs="Times New Roman"/>
                <w:sz w:val="15"/>
                <w:szCs w:val="15"/>
              </w:rPr>
              <w:t>%)</w:t>
            </w:r>
          </w:p>
        </w:tc>
        <w:tc>
          <w:tcPr>
            <w:tcW w:w="3119" w:type="dxa"/>
          </w:tcPr>
          <w:p w14:paraId="0C674C3F" w14:textId="091F92B0" w:rsidR="00DC506A" w:rsidRPr="00CC3961" w:rsidRDefault="00DC506A"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w:t>
            </w:r>
            <w:r w:rsidR="002C7428">
              <w:rPr>
                <w:rFonts w:ascii="Times New Roman" w:hAnsi="Times New Roman" w:cs="Times New Roman"/>
                <w:sz w:val="15"/>
                <w:szCs w:val="15"/>
              </w:rPr>
              <w:t>1</w:t>
            </w:r>
            <w:r w:rsidRPr="00CC3961">
              <w:rPr>
                <w:rFonts w:ascii="Times New Roman" w:hAnsi="Times New Roman" w:cs="Times New Roman"/>
                <w:sz w:val="15"/>
                <w:szCs w:val="15"/>
              </w:rPr>
              <w:t xml:space="preserve"> (</w:t>
            </w:r>
            <w:r w:rsidR="00CB6933">
              <w:rPr>
                <w:rFonts w:ascii="Times New Roman" w:hAnsi="Times New Roman" w:cs="Times New Roman"/>
                <w:sz w:val="15"/>
                <w:szCs w:val="15"/>
              </w:rPr>
              <w:t>47.8</w:t>
            </w:r>
            <w:r w:rsidRPr="00CC3961">
              <w:rPr>
                <w:rFonts w:ascii="Times New Roman" w:hAnsi="Times New Roman" w:cs="Times New Roman"/>
                <w:sz w:val="15"/>
                <w:szCs w:val="15"/>
              </w:rPr>
              <w:t>%)</w:t>
            </w:r>
          </w:p>
        </w:tc>
      </w:tr>
      <w:tr w:rsidR="00DC506A" w:rsidRPr="00CC3961" w14:paraId="734CFA4F" w14:textId="77777777" w:rsidTr="003D56D1">
        <w:tc>
          <w:tcPr>
            <w:tcW w:w="3114" w:type="dxa"/>
          </w:tcPr>
          <w:p w14:paraId="6D83FAAC" w14:textId="77777777" w:rsidR="00DC506A" w:rsidRPr="00765624" w:rsidRDefault="00DC506A"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BR</w:t>
            </w:r>
          </w:p>
        </w:tc>
        <w:tc>
          <w:tcPr>
            <w:tcW w:w="2693" w:type="dxa"/>
          </w:tcPr>
          <w:p w14:paraId="2B766DD3" w14:textId="0056B566" w:rsidR="00DC506A" w:rsidRPr="00CC3961" w:rsidRDefault="002C7428" w:rsidP="001F57B6">
            <w:pPr>
              <w:spacing w:after="0" w:line="360" w:lineRule="auto"/>
              <w:jc w:val="center"/>
              <w:rPr>
                <w:rFonts w:ascii="Times New Roman" w:hAnsi="Times New Roman" w:cs="Times New Roman"/>
                <w:sz w:val="15"/>
                <w:szCs w:val="15"/>
              </w:rPr>
            </w:pPr>
            <w:r>
              <w:rPr>
                <w:rFonts w:ascii="Times New Roman" w:hAnsi="Times New Roman" w:cs="Times New Roman"/>
                <w:sz w:val="15"/>
                <w:szCs w:val="15"/>
              </w:rPr>
              <w:t>3</w:t>
            </w:r>
            <w:r w:rsidR="00DC506A" w:rsidRPr="00CC3961">
              <w:rPr>
                <w:rFonts w:ascii="Times New Roman" w:hAnsi="Times New Roman" w:cs="Times New Roman"/>
                <w:sz w:val="15"/>
                <w:szCs w:val="15"/>
              </w:rPr>
              <w:t xml:space="preserve"> (</w:t>
            </w:r>
            <w:r w:rsidR="00CB6933">
              <w:rPr>
                <w:rFonts w:ascii="Times New Roman" w:hAnsi="Times New Roman" w:cs="Times New Roman"/>
                <w:sz w:val="15"/>
                <w:szCs w:val="15"/>
              </w:rPr>
              <w:t>50</w:t>
            </w:r>
            <w:r w:rsidR="004647CB">
              <w:rPr>
                <w:rFonts w:ascii="Times New Roman" w:hAnsi="Times New Roman" w:cs="Times New Roman"/>
                <w:sz w:val="15"/>
                <w:szCs w:val="15"/>
              </w:rPr>
              <w:t>.0</w:t>
            </w:r>
            <w:r w:rsidR="00DC506A" w:rsidRPr="00CC3961">
              <w:rPr>
                <w:rFonts w:ascii="Times New Roman" w:hAnsi="Times New Roman" w:cs="Times New Roman"/>
                <w:sz w:val="15"/>
                <w:szCs w:val="15"/>
              </w:rPr>
              <w:t>%)</w:t>
            </w:r>
          </w:p>
        </w:tc>
        <w:tc>
          <w:tcPr>
            <w:tcW w:w="3119" w:type="dxa"/>
          </w:tcPr>
          <w:p w14:paraId="79600281" w14:textId="01DC21F5" w:rsidR="00DC506A" w:rsidRPr="00CC3961" w:rsidRDefault="00DC506A"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4 (</w:t>
            </w:r>
            <w:r w:rsidR="00CB6933">
              <w:rPr>
                <w:rFonts w:ascii="Times New Roman" w:hAnsi="Times New Roman" w:cs="Times New Roman"/>
                <w:sz w:val="15"/>
                <w:szCs w:val="15"/>
              </w:rPr>
              <w:t>17.4</w:t>
            </w:r>
            <w:r w:rsidRPr="00CC3961">
              <w:rPr>
                <w:rFonts w:ascii="Times New Roman" w:hAnsi="Times New Roman" w:cs="Times New Roman"/>
                <w:sz w:val="15"/>
                <w:szCs w:val="15"/>
              </w:rPr>
              <w:t>%)</w:t>
            </w:r>
          </w:p>
        </w:tc>
      </w:tr>
      <w:tr w:rsidR="00DC506A" w:rsidRPr="00CC3961" w14:paraId="5C3DCFAE" w14:textId="77777777" w:rsidTr="003D56D1">
        <w:tc>
          <w:tcPr>
            <w:tcW w:w="3114" w:type="dxa"/>
          </w:tcPr>
          <w:p w14:paraId="6B2B94AB" w14:textId="4B7355A9" w:rsidR="00DC506A" w:rsidRPr="00765624" w:rsidRDefault="00DC506A"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w:t>
            </w:r>
            <w:r w:rsidR="002C7428" w:rsidRPr="00765624">
              <w:rPr>
                <w:rFonts w:ascii="Times New Roman" w:hAnsi="Times New Roman" w:cs="Times New Roman"/>
                <w:sz w:val="18"/>
                <w:szCs w:val="18"/>
              </w:rPr>
              <w:t xml:space="preserve">Ibrutinib + </w:t>
            </w:r>
            <w:r w:rsidRPr="00765624">
              <w:rPr>
                <w:rFonts w:ascii="Times New Roman" w:hAnsi="Times New Roman" w:cs="Times New Roman"/>
                <w:sz w:val="18"/>
                <w:szCs w:val="18"/>
              </w:rPr>
              <w:t>Venetoclax</w:t>
            </w:r>
          </w:p>
        </w:tc>
        <w:tc>
          <w:tcPr>
            <w:tcW w:w="2693" w:type="dxa"/>
          </w:tcPr>
          <w:p w14:paraId="6FE6E6B5" w14:textId="0E6F73B7" w:rsidR="00DC506A"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082DB322" w14:textId="463BB98D" w:rsidR="00DC506A" w:rsidRPr="00CC3961" w:rsidRDefault="002C7428" w:rsidP="001F57B6">
            <w:pPr>
              <w:spacing w:after="0" w:line="360" w:lineRule="auto"/>
              <w:jc w:val="center"/>
              <w:rPr>
                <w:rFonts w:ascii="Times New Roman" w:hAnsi="Times New Roman" w:cs="Times New Roman"/>
                <w:sz w:val="15"/>
                <w:szCs w:val="15"/>
              </w:rPr>
            </w:pPr>
            <w:r>
              <w:rPr>
                <w:rFonts w:ascii="Times New Roman" w:hAnsi="Times New Roman" w:cs="Times New Roman"/>
                <w:sz w:val="15"/>
                <w:szCs w:val="15"/>
              </w:rPr>
              <w:t>1</w:t>
            </w:r>
            <w:r w:rsidR="00DC506A" w:rsidRPr="00CC3961">
              <w:rPr>
                <w:rFonts w:ascii="Times New Roman" w:hAnsi="Times New Roman" w:cs="Times New Roman"/>
                <w:sz w:val="15"/>
                <w:szCs w:val="15"/>
              </w:rPr>
              <w:t xml:space="preserve"> (</w:t>
            </w:r>
            <w:r w:rsidR="00CB6933">
              <w:rPr>
                <w:rFonts w:ascii="Times New Roman" w:hAnsi="Times New Roman" w:cs="Times New Roman"/>
                <w:sz w:val="15"/>
                <w:szCs w:val="15"/>
              </w:rPr>
              <w:t>4.3</w:t>
            </w:r>
            <w:r w:rsidR="00DC506A" w:rsidRPr="00CC3961">
              <w:rPr>
                <w:rFonts w:ascii="Times New Roman" w:hAnsi="Times New Roman" w:cs="Times New Roman"/>
                <w:sz w:val="15"/>
                <w:szCs w:val="15"/>
              </w:rPr>
              <w:t>%)</w:t>
            </w:r>
          </w:p>
        </w:tc>
      </w:tr>
      <w:tr w:rsidR="002C7428" w:rsidRPr="00CC3961" w14:paraId="56C6D349" w14:textId="77777777" w:rsidTr="003D56D1">
        <w:tc>
          <w:tcPr>
            <w:tcW w:w="3114" w:type="dxa"/>
          </w:tcPr>
          <w:p w14:paraId="5C451AD7" w14:textId="7406055A" w:rsidR="002C7428" w:rsidRPr="00765624" w:rsidRDefault="002C7428"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Rituximab + Venetoclax</w:t>
            </w:r>
          </w:p>
        </w:tc>
        <w:tc>
          <w:tcPr>
            <w:tcW w:w="2693" w:type="dxa"/>
          </w:tcPr>
          <w:p w14:paraId="62239E64" w14:textId="58904D9F" w:rsidR="002C7428"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0B805EF0" w14:textId="662BBCBF" w:rsidR="002C7428" w:rsidRPr="00CC3961" w:rsidRDefault="002C7428" w:rsidP="001F57B6">
            <w:pPr>
              <w:spacing w:after="0" w:line="360" w:lineRule="auto"/>
              <w:jc w:val="center"/>
              <w:rPr>
                <w:rFonts w:ascii="Times New Roman" w:hAnsi="Times New Roman" w:cs="Times New Roman"/>
                <w:sz w:val="15"/>
                <w:szCs w:val="15"/>
              </w:rPr>
            </w:pPr>
            <w:r>
              <w:rPr>
                <w:rFonts w:ascii="Times New Roman" w:hAnsi="Times New Roman" w:cs="Times New Roman"/>
                <w:sz w:val="15"/>
                <w:szCs w:val="15"/>
              </w:rPr>
              <w:t>2 (</w:t>
            </w:r>
            <w:r w:rsidR="00CB6933">
              <w:rPr>
                <w:rFonts w:ascii="Times New Roman" w:hAnsi="Times New Roman" w:cs="Times New Roman"/>
                <w:sz w:val="15"/>
                <w:szCs w:val="15"/>
              </w:rPr>
              <w:t>8.7</w:t>
            </w:r>
            <w:r>
              <w:rPr>
                <w:rFonts w:ascii="Times New Roman" w:hAnsi="Times New Roman" w:cs="Times New Roman"/>
                <w:sz w:val="15"/>
                <w:szCs w:val="15"/>
              </w:rPr>
              <w:t>%)</w:t>
            </w:r>
          </w:p>
        </w:tc>
      </w:tr>
      <w:tr w:rsidR="00DC506A" w:rsidRPr="00CC3961" w14:paraId="68BCD933" w14:textId="77777777" w:rsidTr="003D56D1">
        <w:tc>
          <w:tcPr>
            <w:tcW w:w="3114" w:type="dxa"/>
          </w:tcPr>
          <w:p w14:paraId="4A55261E" w14:textId="77777777" w:rsidR="00DC506A" w:rsidRPr="00765624" w:rsidRDefault="00DC506A"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R-CHOP</w:t>
            </w:r>
          </w:p>
        </w:tc>
        <w:tc>
          <w:tcPr>
            <w:tcW w:w="2693" w:type="dxa"/>
          </w:tcPr>
          <w:p w14:paraId="1A4ED13A" w14:textId="70FC1494" w:rsidR="00DC506A"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5CBD6447" w14:textId="5F861AAE" w:rsidR="00DC506A" w:rsidRPr="00CC3961" w:rsidRDefault="00DC506A"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CB6933">
              <w:rPr>
                <w:rFonts w:ascii="Times New Roman" w:hAnsi="Times New Roman" w:cs="Times New Roman"/>
                <w:sz w:val="15"/>
                <w:szCs w:val="15"/>
              </w:rPr>
              <w:t>4.3</w:t>
            </w:r>
            <w:r w:rsidRPr="00CC3961">
              <w:rPr>
                <w:rFonts w:ascii="Times New Roman" w:hAnsi="Times New Roman" w:cs="Times New Roman"/>
                <w:sz w:val="15"/>
                <w:szCs w:val="15"/>
              </w:rPr>
              <w:t>%)</w:t>
            </w:r>
          </w:p>
        </w:tc>
      </w:tr>
      <w:tr w:rsidR="00582D33" w:rsidRPr="00CC3961" w14:paraId="7BA6E9AA" w14:textId="77777777" w:rsidTr="003D56D1">
        <w:tc>
          <w:tcPr>
            <w:tcW w:w="3114" w:type="dxa"/>
          </w:tcPr>
          <w:p w14:paraId="6F5EE2E5" w14:textId="7DD05C09" w:rsidR="00582D33" w:rsidRPr="00765624" w:rsidRDefault="00582D33"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R-CHOP + Ibrutinib</w:t>
            </w:r>
          </w:p>
        </w:tc>
        <w:tc>
          <w:tcPr>
            <w:tcW w:w="2693" w:type="dxa"/>
          </w:tcPr>
          <w:p w14:paraId="263364CD" w14:textId="67C7FD58" w:rsidR="00582D33"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1CAEDED2" w14:textId="73ECEFBB" w:rsidR="00582D33" w:rsidRPr="00CC3961" w:rsidRDefault="00582D33" w:rsidP="001F57B6">
            <w:pPr>
              <w:spacing w:after="0" w:line="360" w:lineRule="auto"/>
              <w:jc w:val="center"/>
              <w:rPr>
                <w:rFonts w:ascii="Times New Roman" w:hAnsi="Times New Roman" w:cs="Times New Roman"/>
                <w:sz w:val="15"/>
                <w:szCs w:val="15"/>
              </w:rPr>
            </w:pPr>
            <w:r>
              <w:rPr>
                <w:rFonts w:ascii="Times New Roman" w:hAnsi="Times New Roman" w:cs="Times New Roman"/>
                <w:sz w:val="15"/>
                <w:szCs w:val="15"/>
              </w:rPr>
              <w:t>1 (</w:t>
            </w:r>
            <w:r w:rsidR="00CB6933">
              <w:rPr>
                <w:rFonts w:ascii="Times New Roman" w:hAnsi="Times New Roman" w:cs="Times New Roman"/>
                <w:sz w:val="15"/>
                <w:szCs w:val="15"/>
              </w:rPr>
              <w:t>4.3</w:t>
            </w:r>
            <w:r>
              <w:rPr>
                <w:rFonts w:ascii="Times New Roman" w:hAnsi="Times New Roman" w:cs="Times New Roman"/>
                <w:sz w:val="15"/>
                <w:szCs w:val="15"/>
              </w:rPr>
              <w:t>%)</w:t>
            </w:r>
          </w:p>
        </w:tc>
      </w:tr>
      <w:tr w:rsidR="00DC506A" w:rsidRPr="00CC3961" w14:paraId="2C916589" w14:textId="77777777" w:rsidTr="003D56D1">
        <w:tc>
          <w:tcPr>
            <w:tcW w:w="3114" w:type="dxa"/>
          </w:tcPr>
          <w:p w14:paraId="2FE55876" w14:textId="77777777" w:rsidR="00DC506A" w:rsidRPr="00765624" w:rsidRDefault="00DC506A"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Chlorambucil + Prednisolone</w:t>
            </w:r>
          </w:p>
        </w:tc>
        <w:tc>
          <w:tcPr>
            <w:tcW w:w="2693" w:type="dxa"/>
          </w:tcPr>
          <w:p w14:paraId="1345883F" w14:textId="3A466D03" w:rsidR="00DC506A"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6D889A39" w14:textId="0F621661" w:rsidR="00DC506A" w:rsidRPr="00CC3961" w:rsidRDefault="00DC506A"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CB6933">
              <w:rPr>
                <w:rFonts w:ascii="Times New Roman" w:hAnsi="Times New Roman" w:cs="Times New Roman"/>
                <w:sz w:val="15"/>
                <w:szCs w:val="15"/>
              </w:rPr>
              <w:t>4.3</w:t>
            </w:r>
            <w:r w:rsidRPr="00CC3961">
              <w:rPr>
                <w:rFonts w:ascii="Times New Roman" w:hAnsi="Times New Roman" w:cs="Times New Roman"/>
                <w:sz w:val="15"/>
                <w:szCs w:val="15"/>
              </w:rPr>
              <w:t>%)</w:t>
            </w:r>
          </w:p>
        </w:tc>
      </w:tr>
      <w:tr w:rsidR="00DC506A" w:rsidRPr="00CC3961" w14:paraId="51250145" w14:textId="77777777" w:rsidTr="003D56D1">
        <w:tc>
          <w:tcPr>
            <w:tcW w:w="3114" w:type="dxa"/>
          </w:tcPr>
          <w:p w14:paraId="60F0F0BD" w14:textId="77777777" w:rsidR="00DC506A" w:rsidRPr="00765624" w:rsidRDefault="00DC506A"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Rituximab</w:t>
            </w:r>
          </w:p>
        </w:tc>
        <w:tc>
          <w:tcPr>
            <w:tcW w:w="2693" w:type="dxa"/>
          </w:tcPr>
          <w:p w14:paraId="27EA5EC8" w14:textId="7A9332D2" w:rsidR="00DC506A"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6542DCFF" w14:textId="4547234F" w:rsidR="00DC506A" w:rsidRPr="00CC3961" w:rsidRDefault="00DC506A"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CB6933">
              <w:rPr>
                <w:rFonts w:ascii="Times New Roman" w:hAnsi="Times New Roman" w:cs="Times New Roman"/>
                <w:sz w:val="15"/>
                <w:szCs w:val="15"/>
              </w:rPr>
              <w:t>4.3</w:t>
            </w:r>
            <w:r w:rsidRPr="00CC3961">
              <w:rPr>
                <w:rFonts w:ascii="Times New Roman" w:hAnsi="Times New Roman" w:cs="Times New Roman"/>
                <w:sz w:val="15"/>
                <w:szCs w:val="15"/>
              </w:rPr>
              <w:t>%)</w:t>
            </w:r>
          </w:p>
        </w:tc>
      </w:tr>
      <w:tr w:rsidR="00DC506A" w:rsidRPr="00CC3961" w14:paraId="54800409" w14:textId="77777777" w:rsidTr="003D56D1">
        <w:tc>
          <w:tcPr>
            <w:tcW w:w="3114" w:type="dxa"/>
          </w:tcPr>
          <w:p w14:paraId="13AE9DB8" w14:textId="77777777" w:rsidR="00DC506A" w:rsidRPr="00765624" w:rsidRDefault="00DC506A" w:rsidP="001F57B6">
            <w:pPr>
              <w:spacing w:after="0" w:line="360" w:lineRule="auto"/>
              <w:rPr>
                <w:rFonts w:ascii="Times New Roman" w:hAnsi="Times New Roman" w:cs="Times New Roman"/>
                <w:sz w:val="18"/>
                <w:szCs w:val="18"/>
              </w:rPr>
            </w:pPr>
            <w:r w:rsidRPr="00765624">
              <w:rPr>
                <w:rFonts w:ascii="Times New Roman" w:hAnsi="Times New Roman" w:cs="Times New Roman"/>
                <w:sz w:val="18"/>
                <w:szCs w:val="18"/>
              </w:rPr>
              <w:t xml:space="preserve">     </w:t>
            </w:r>
            <w:proofErr w:type="spellStart"/>
            <w:r w:rsidRPr="00765624">
              <w:rPr>
                <w:rFonts w:ascii="Times New Roman" w:hAnsi="Times New Roman" w:cs="Times New Roman"/>
                <w:sz w:val="18"/>
                <w:szCs w:val="18"/>
              </w:rPr>
              <w:t>Idelalisib</w:t>
            </w:r>
            <w:proofErr w:type="spellEnd"/>
            <w:r w:rsidRPr="00765624">
              <w:rPr>
                <w:rFonts w:ascii="Times New Roman" w:hAnsi="Times New Roman" w:cs="Times New Roman"/>
                <w:sz w:val="18"/>
                <w:szCs w:val="18"/>
              </w:rPr>
              <w:t xml:space="preserve"> + Rituximab</w:t>
            </w:r>
          </w:p>
        </w:tc>
        <w:tc>
          <w:tcPr>
            <w:tcW w:w="2693" w:type="dxa"/>
          </w:tcPr>
          <w:p w14:paraId="74C786F5" w14:textId="49EFE067" w:rsidR="00DC506A" w:rsidRPr="00CC3961" w:rsidRDefault="00FD62A8" w:rsidP="001F57B6">
            <w:pPr>
              <w:spacing w:after="0" w:line="360" w:lineRule="auto"/>
              <w:jc w:val="center"/>
              <w:rPr>
                <w:rFonts w:ascii="Times New Roman" w:hAnsi="Times New Roman" w:cs="Times New Roman"/>
                <w:sz w:val="15"/>
                <w:szCs w:val="15"/>
              </w:rPr>
            </w:pPr>
            <w:r w:rsidRPr="00FD62A8">
              <w:rPr>
                <w:rFonts w:ascii="Times New Roman" w:hAnsi="Times New Roman" w:cs="Times New Roman"/>
                <w:sz w:val="15"/>
                <w:szCs w:val="15"/>
              </w:rPr>
              <w:t>0 (0%)</w:t>
            </w:r>
          </w:p>
        </w:tc>
        <w:tc>
          <w:tcPr>
            <w:tcW w:w="3119" w:type="dxa"/>
          </w:tcPr>
          <w:p w14:paraId="25915BEB" w14:textId="4B9B85EB" w:rsidR="00DC506A" w:rsidRPr="00CC3961" w:rsidRDefault="00DC506A" w:rsidP="001F57B6">
            <w:pPr>
              <w:spacing w:after="0" w:line="360" w:lineRule="auto"/>
              <w:jc w:val="center"/>
              <w:rPr>
                <w:rFonts w:ascii="Times New Roman" w:hAnsi="Times New Roman" w:cs="Times New Roman"/>
                <w:sz w:val="15"/>
                <w:szCs w:val="15"/>
              </w:rPr>
            </w:pPr>
            <w:r w:rsidRPr="00CC3961">
              <w:rPr>
                <w:rFonts w:ascii="Times New Roman" w:hAnsi="Times New Roman" w:cs="Times New Roman"/>
                <w:sz w:val="15"/>
                <w:szCs w:val="15"/>
              </w:rPr>
              <w:t>1 (</w:t>
            </w:r>
            <w:r w:rsidR="00CB6933">
              <w:rPr>
                <w:rFonts w:ascii="Times New Roman" w:hAnsi="Times New Roman" w:cs="Times New Roman"/>
                <w:sz w:val="15"/>
                <w:szCs w:val="15"/>
              </w:rPr>
              <w:t>4.3</w:t>
            </w:r>
            <w:r w:rsidRPr="00CC3961">
              <w:rPr>
                <w:rFonts w:ascii="Times New Roman" w:hAnsi="Times New Roman" w:cs="Times New Roman"/>
                <w:sz w:val="15"/>
                <w:szCs w:val="15"/>
              </w:rPr>
              <w:t>%)</w:t>
            </w:r>
          </w:p>
        </w:tc>
      </w:tr>
    </w:tbl>
    <w:p w14:paraId="577DB61D" w14:textId="77777777" w:rsidR="003A3023" w:rsidRPr="00765624" w:rsidRDefault="003A3023" w:rsidP="003A3023">
      <w:pPr>
        <w:rPr>
          <w:sz w:val="21"/>
          <w:szCs w:val="21"/>
        </w:rPr>
      </w:pPr>
      <w:r w:rsidRPr="00765624">
        <w:rPr>
          <w:rFonts w:ascii="Times New Roman" w:hAnsi="Times New Roman"/>
          <w:i/>
          <w:sz w:val="18"/>
          <w:szCs w:val="18"/>
        </w:rPr>
        <w:t xml:space="preserve">Abbreviations: FCR, fludarabine-cyclophosphamide-rituximab; FC, fludarabine-cyclophosphamide; BR, </w:t>
      </w:r>
      <w:proofErr w:type="spellStart"/>
      <w:r w:rsidRPr="00765624">
        <w:rPr>
          <w:rFonts w:ascii="Times New Roman" w:hAnsi="Times New Roman"/>
          <w:i/>
          <w:sz w:val="18"/>
          <w:szCs w:val="18"/>
        </w:rPr>
        <w:t>bendamustine</w:t>
      </w:r>
      <w:proofErr w:type="spellEnd"/>
      <w:r w:rsidRPr="00765624">
        <w:rPr>
          <w:rFonts w:ascii="Times New Roman" w:hAnsi="Times New Roman"/>
          <w:i/>
          <w:sz w:val="18"/>
          <w:szCs w:val="18"/>
        </w:rPr>
        <w:t>-rituximab; R-CHOP, rituximab-cyclophosphamide-doxorubicin-vincristine-prednisone; R-CVP, rituximab-cyclophosphamide-vincristine-prednisone; SCT, stem cell transplantation. Percentages for first-line therapy are calculated out of all treated patients (n=82). Percentages for chemoimmunotherapy and targeted therapy subgroups are row-level. Second-line percentages are based on relapsed patients (n=29).</w:t>
      </w:r>
    </w:p>
    <w:p w14:paraId="6537E909" w14:textId="77777777" w:rsidR="00E4017C" w:rsidRPr="00B83325" w:rsidRDefault="00E4017C" w:rsidP="00B83325"/>
    <w:sectPr w:rsidR="00E4017C" w:rsidRPr="00B833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F6D8" w14:textId="77777777" w:rsidR="00703A05" w:rsidRDefault="00703A05" w:rsidP="003A3023">
      <w:pPr>
        <w:spacing w:after="0" w:line="240" w:lineRule="auto"/>
      </w:pPr>
      <w:r>
        <w:separator/>
      </w:r>
    </w:p>
  </w:endnote>
  <w:endnote w:type="continuationSeparator" w:id="0">
    <w:p w14:paraId="3CBB0323" w14:textId="77777777" w:rsidR="00703A05" w:rsidRDefault="00703A05" w:rsidP="003A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1F80" w14:textId="77777777" w:rsidR="00703A05" w:rsidRDefault="00703A05" w:rsidP="003A3023">
      <w:pPr>
        <w:spacing w:after="0" w:line="240" w:lineRule="auto"/>
      </w:pPr>
      <w:r>
        <w:separator/>
      </w:r>
    </w:p>
  </w:footnote>
  <w:footnote w:type="continuationSeparator" w:id="0">
    <w:p w14:paraId="73923C6B" w14:textId="77777777" w:rsidR="00703A05" w:rsidRDefault="00703A05" w:rsidP="003A3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25"/>
    <w:rsid w:val="00001D75"/>
    <w:rsid w:val="00005E9F"/>
    <w:rsid w:val="00007449"/>
    <w:rsid w:val="00022559"/>
    <w:rsid w:val="00025437"/>
    <w:rsid w:val="00032D5C"/>
    <w:rsid w:val="000337EA"/>
    <w:rsid w:val="00041626"/>
    <w:rsid w:val="00043CB7"/>
    <w:rsid w:val="000459D9"/>
    <w:rsid w:val="00055FEB"/>
    <w:rsid w:val="00056228"/>
    <w:rsid w:val="00075001"/>
    <w:rsid w:val="000820BC"/>
    <w:rsid w:val="000855B3"/>
    <w:rsid w:val="000A1FDD"/>
    <w:rsid w:val="000A3173"/>
    <w:rsid w:val="000B0609"/>
    <w:rsid w:val="000B296C"/>
    <w:rsid w:val="000B564A"/>
    <w:rsid w:val="000D0546"/>
    <w:rsid w:val="000D0AF3"/>
    <w:rsid w:val="000D403D"/>
    <w:rsid w:val="000D7B86"/>
    <w:rsid w:val="000E4CEC"/>
    <w:rsid w:val="000E6FBA"/>
    <w:rsid w:val="000F2663"/>
    <w:rsid w:val="000F2CD5"/>
    <w:rsid w:val="000F7FFB"/>
    <w:rsid w:val="001010A0"/>
    <w:rsid w:val="00103D96"/>
    <w:rsid w:val="0011015F"/>
    <w:rsid w:val="00110B3F"/>
    <w:rsid w:val="001143FF"/>
    <w:rsid w:val="00115120"/>
    <w:rsid w:val="00116301"/>
    <w:rsid w:val="00132B59"/>
    <w:rsid w:val="00141C2B"/>
    <w:rsid w:val="00146E06"/>
    <w:rsid w:val="00161A2F"/>
    <w:rsid w:val="00161DAE"/>
    <w:rsid w:val="001808F1"/>
    <w:rsid w:val="001A075E"/>
    <w:rsid w:val="001A5839"/>
    <w:rsid w:val="001A781F"/>
    <w:rsid w:val="001B23D1"/>
    <w:rsid w:val="001B3786"/>
    <w:rsid w:val="001B5B8A"/>
    <w:rsid w:val="001C553C"/>
    <w:rsid w:val="001D3337"/>
    <w:rsid w:val="001D3C40"/>
    <w:rsid w:val="001D4A1B"/>
    <w:rsid w:val="001E532C"/>
    <w:rsid w:val="001E5FF4"/>
    <w:rsid w:val="001F1B00"/>
    <w:rsid w:val="001F515D"/>
    <w:rsid w:val="001F57B6"/>
    <w:rsid w:val="00203018"/>
    <w:rsid w:val="00207507"/>
    <w:rsid w:val="00207874"/>
    <w:rsid w:val="00211942"/>
    <w:rsid w:val="00220D63"/>
    <w:rsid w:val="0022110B"/>
    <w:rsid w:val="00231422"/>
    <w:rsid w:val="00232D02"/>
    <w:rsid w:val="00237A70"/>
    <w:rsid w:val="00253458"/>
    <w:rsid w:val="0025430E"/>
    <w:rsid w:val="0026039B"/>
    <w:rsid w:val="00260E4A"/>
    <w:rsid w:val="002715AF"/>
    <w:rsid w:val="0027192F"/>
    <w:rsid w:val="00273D00"/>
    <w:rsid w:val="00274CF9"/>
    <w:rsid w:val="0029478E"/>
    <w:rsid w:val="002A3014"/>
    <w:rsid w:val="002A5268"/>
    <w:rsid w:val="002B4048"/>
    <w:rsid w:val="002C59ED"/>
    <w:rsid w:val="002C7428"/>
    <w:rsid w:val="002D23C8"/>
    <w:rsid w:val="002E2C80"/>
    <w:rsid w:val="002E3858"/>
    <w:rsid w:val="002F0F6A"/>
    <w:rsid w:val="002F2AA0"/>
    <w:rsid w:val="002F5F12"/>
    <w:rsid w:val="002F65B7"/>
    <w:rsid w:val="002F677D"/>
    <w:rsid w:val="00315CF8"/>
    <w:rsid w:val="0032072C"/>
    <w:rsid w:val="00322CEF"/>
    <w:rsid w:val="00332538"/>
    <w:rsid w:val="00332E0B"/>
    <w:rsid w:val="0033796E"/>
    <w:rsid w:val="00340E56"/>
    <w:rsid w:val="00340E94"/>
    <w:rsid w:val="00346247"/>
    <w:rsid w:val="003505E1"/>
    <w:rsid w:val="00352D71"/>
    <w:rsid w:val="00362CC8"/>
    <w:rsid w:val="00372C75"/>
    <w:rsid w:val="00382A96"/>
    <w:rsid w:val="00382F25"/>
    <w:rsid w:val="003955EB"/>
    <w:rsid w:val="00397FF0"/>
    <w:rsid w:val="003A0510"/>
    <w:rsid w:val="003A3023"/>
    <w:rsid w:val="003A42A0"/>
    <w:rsid w:val="003A457D"/>
    <w:rsid w:val="003C6AAE"/>
    <w:rsid w:val="003C7A55"/>
    <w:rsid w:val="003D0260"/>
    <w:rsid w:val="003D56D1"/>
    <w:rsid w:val="003E1A05"/>
    <w:rsid w:val="003E44AA"/>
    <w:rsid w:val="003E6BC3"/>
    <w:rsid w:val="003E6FD2"/>
    <w:rsid w:val="003F256B"/>
    <w:rsid w:val="003F3C3A"/>
    <w:rsid w:val="00402E38"/>
    <w:rsid w:val="0040520D"/>
    <w:rsid w:val="00406A4A"/>
    <w:rsid w:val="00410EA4"/>
    <w:rsid w:val="00411EA8"/>
    <w:rsid w:val="004231C2"/>
    <w:rsid w:val="0042765E"/>
    <w:rsid w:val="00430476"/>
    <w:rsid w:val="00431796"/>
    <w:rsid w:val="0043318E"/>
    <w:rsid w:val="00436642"/>
    <w:rsid w:val="0044608A"/>
    <w:rsid w:val="00450218"/>
    <w:rsid w:val="00451702"/>
    <w:rsid w:val="00457EB3"/>
    <w:rsid w:val="004647CB"/>
    <w:rsid w:val="004666B5"/>
    <w:rsid w:val="004772B2"/>
    <w:rsid w:val="004848AD"/>
    <w:rsid w:val="00487B3E"/>
    <w:rsid w:val="00494D29"/>
    <w:rsid w:val="004A0056"/>
    <w:rsid w:val="004A61C6"/>
    <w:rsid w:val="004C3C9E"/>
    <w:rsid w:val="004C511A"/>
    <w:rsid w:val="004C7D44"/>
    <w:rsid w:val="004D799E"/>
    <w:rsid w:val="004E3559"/>
    <w:rsid w:val="004F6CDB"/>
    <w:rsid w:val="004F7E37"/>
    <w:rsid w:val="0051237F"/>
    <w:rsid w:val="00524CA0"/>
    <w:rsid w:val="00525A03"/>
    <w:rsid w:val="00527201"/>
    <w:rsid w:val="00530F31"/>
    <w:rsid w:val="00532154"/>
    <w:rsid w:val="00533FBF"/>
    <w:rsid w:val="00547798"/>
    <w:rsid w:val="0055171D"/>
    <w:rsid w:val="00562BD4"/>
    <w:rsid w:val="00563B5D"/>
    <w:rsid w:val="00582D33"/>
    <w:rsid w:val="00584AF6"/>
    <w:rsid w:val="005851E3"/>
    <w:rsid w:val="005935BB"/>
    <w:rsid w:val="005950ED"/>
    <w:rsid w:val="005A0EC7"/>
    <w:rsid w:val="005A1740"/>
    <w:rsid w:val="005A2328"/>
    <w:rsid w:val="005A28E2"/>
    <w:rsid w:val="005A65BE"/>
    <w:rsid w:val="005A785C"/>
    <w:rsid w:val="005C16F2"/>
    <w:rsid w:val="005C27A3"/>
    <w:rsid w:val="005D06FA"/>
    <w:rsid w:val="005E1BE6"/>
    <w:rsid w:val="005E3971"/>
    <w:rsid w:val="005E759D"/>
    <w:rsid w:val="005F0A78"/>
    <w:rsid w:val="005F2AD6"/>
    <w:rsid w:val="006054B8"/>
    <w:rsid w:val="0061255B"/>
    <w:rsid w:val="0061276C"/>
    <w:rsid w:val="0061460D"/>
    <w:rsid w:val="006149B0"/>
    <w:rsid w:val="00616612"/>
    <w:rsid w:val="00621969"/>
    <w:rsid w:val="00626318"/>
    <w:rsid w:val="006327FC"/>
    <w:rsid w:val="0063555C"/>
    <w:rsid w:val="006370A1"/>
    <w:rsid w:val="00637C24"/>
    <w:rsid w:val="00640064"/>
    <w:rsid w:val="00641BBE"/>
    <w:rsid w:val="00642D03"/>
    <w:rsid w:val="006523AB"/>
    <w:rsid w:val="00655018"/>
    <w:rsid w:val="0066061A"/>
    <w:rsid w:val="006610B9"/>
    <w:rsid w:val="00661F8F"/>
    <w:rsid w:val="006620B4"/>
    <w:rsid w:val="00666707"/>
    <w:rsid w:val="006708BA"/>
    <w:rsid w:val="00671115"/>
    <w:rsid w:val="00671BE4"/>
    <w:rsid w:val="0068318B"/>
    <w:rsid w:val="00690FE3"/>
    <w:rsid w:val="00694117"/>
    <w:rsid w:val="006A0FFB"/>
    <w:rsid w:val="006A11A2"/>
    <w:rsid w:val="006A66F9"/>
    <w:rsid w:val="006B36ED"/>
    <w:rsid w:val="006B3A0E"/>
    <w:rsid w:val="006B3F6B"/>
    <w:rsid w:val="006B72D4"/>
    <w:rsid w:val="006C05A1"/>
    <w:rsid w:val="006C43CE"/>
    <w:rsid w:val="006D0B8A"/>
    <w:rsid w:val="006D39C8"/>
    <w:rsid w:val="006D731D"/>
    <w:rsid w:val="006D767F"/>
    <w:rsid w:val="006F108B"/>
    <w:rsid w:val="00703A05"/>
    <w:rsid w:val="007117D8"/>
    <w:rsid w:val="00716D3D"/>
    <w:rsid w:val="00726CC9"/>
    <w:rsid w:val="00730582"/>
    <w:rsid w:val="00736DA8"/>
    <w:rsid w:val="00745A65"/>
    <w:rsid w:val="00751DA9"/>
    <w:rsid w:val="00752651"/>
    <w:rsid w:val="00762AAB"/>
    <w:rsid w:val="00765624"/>
    <w:rsid w:val="00770B52"/>
    <w:rsid w:val="007855E1"/>
    <w:rsid w:val="007878BD"/>
    <w:rsid w:val="007A1768"/>
    <w:rsid w:val="007B621A"/>
    <w:rsid w:val="007C449F"/>
    <w:rsid w:val="007E15F0"/>
    <w:rsid w:val="007E2219"/>
    <w:rsid w:val="007F028B"/>
    <w:rsid w:val="007F2AD0"/>
    <w:rsid w:val="007F548D"/>
    <w:rsid w:val="007F648C"/>
    <w:rsid w:val="007F6749"/>
    <w:rsid w:val="00801364"/>
    <w:rsid w:val="008043BB"/>
    <w:rsid w:val="00813CE2"/>
    <w:rsid w:val="008232B8"/>
    <w:rsid w:val="00826945"/>
    <w:rsid w:val="008278EB"/>
    <w:rsid w:val="0083582A"/>
    <w:rsid w:val="00835E6D"/>
    <w:rsid w:val="0083726C"/>
    <w:rsid w:val="008435D4"/>
    <w:rsid w:val="00855424"/>
    <w:rsid w:val="00856CAD"/>
    <w:rsid w:val="008620F2"/>
    <w:rsid w:val="00864373"/>
    <w:rsid w:val="008726B6"/>
    <w:rsid w:val="00872AB9"/>
    <w:rsid w:val="00892652"/>
    <w:rsid w:val="008938A7"/>
    <w:rsid w:val="00894069"/>
    <w:rsid w:val="008A1100"/>
    <w:rsid w:val="008A1BFC"/>
    <w:rsid w:val="008B129E"/>
    <w:rsid w:val="008B66FC"/>
    <w:rsid w:val="008C0ABD"/>
    <w:rsid w:val="008C67E1"/>
    <w:rsid w:val="008E21F5"/>
    <w:rsid w:val="00904F90"/>
    <w:rsid w:val="00905107"/>
    <w:rsid w:val="009163E7"/>
    <w:rsid w:val="00926743"/>
    <w:rsid w:val="00927093"/>
    <w:rsid w:val="009526C7"/>
    <w:rsid w:val="009529F7"/>
    <w:rsid w:val="00960308"/>
    <w:rsid w:val="0097376C"/>
    <w:rsid w:val="00987FCC"/>
    <w:rsid w:val="009918C9"/>
    <w:rsid w:val="009A0F53"/>
    <w:rsid w:val="009A16E3"/>
    <w:rsid w:val="009A247B"/>
    <w:rsid w:val="009A7B2D"/>
    <w:rsid w:val="009B18C0"/>
    <w:rsid w:val="009B48FC"/>
    <w:rsid w:val="009B6FFC"/>
    <w:rsid w:val="009C1904"/>
    <w:rsid w:val="009C3B89"/>
    <w:rsid w:val="009D1A20"/>
    <w:rsid w:val="009D27FE"/>
    <w:rsid w:val="009D4B79"/>
    <w:rsid w:val="009D60C4"/>
    <w:rsid w:val="009E5E9A"/>
    <w:rsid w:val="009E5F30"/>
    <w:rsid w:val="009F56B5"/>
    <w:rsid w:val="00A053C1"/>
    <w:rsid w:val="00A1301B"/>
    <w:rsid w:val="00A20515"/>
    <w:rsid w:val="00A25D2C"/>
    <w:rsid w:val="00A2744F"/>
    <w:rsid w:val="00A354A3"/>
    <w:rsid w:val="00A37619"/>
    <w:rsid w:val="00A46B2F"/>
    <w:rsid w:val="00A54543"/>
    <w:rsid w:val="00A5772A"/>
    <w:rsid w:val="00A70B6A"/>
    <w:rsid w:val="00A72AD2"/>
    <w:rsid w:val="00A7657F"/>
    <w:rsid w:val="00A81A2D"/>
    <w:rsid w:val="00A8531E"/>
    <w:rsid w:val="00A907BE"/>
    <w:rsid w:val="00AA4A7B"/>
    <w:rsid w:val="00AB20C1"/>
    <w:rsid w:val="00AB663B"/>
    <w:rsid w:val="00AB67AF"/>
    <w:rsid w:val="00AB7FF6"/>
    <w:rsid w:val="00AC0533"/>
    <w:rsid w:val="00AD78C0"/>
    <w:rsid w:val="00AE028C"/>
    <w:rsid w:val="00AE7CDD"/>
    <w:rsid w:val="00AF2E81"/>
    <w:rsid w:val="00B00BF8"/>
    <w:rsid w:val="00B034F3"/>
    <w:rsid w:val="00B053E5"/>
    <w:rsid w:val="00B148D0"/>
    <w:rsid w:val="00B15B59"/>
    <w:rsid w:val="00B3121B"/>
    <w:rsid w:val="00B322BC"/>
    <w:rsid w:val="00B32FCD"/>
    <w:rsid w:val="00B331FB"/>
    <w:rsid w:val="00B55DDA"/>
    <w:rsid w:val="00B56AD0"/>
    <w:rsid w:val="00B6573B"/>
    <w:rsid w:val="00B659D0"/>
    <w:rsid w:val="00B83325"/>
    <w:rsid w:val="00B919D5"/>
    <w:rsid w:val="00B92084"/>
    <w:rsid w:val="00B92F0A"/>
    <w:rsid w:val="00B935E4"/>
    <w:rsid w:val="00B965F8"/>
    <w:rsid w:val="00B9766B"/>
    <w:rsid w:val="00BA6E15"/>
    <w:rsid w:val="00BB1226"/>
    <w:rsid w:val="00BB68C5"/>
    <w:rsid w:val="00BC3B98"/>
    <w:rsid w:val="00BD7983"/>
    <w:rsid w:val="00BE0537"/>
    <w:rsid w:val="00BE2346"/>
    <w:rsid w:val="00BE5D1D"/>
    <w:rsid w:val="00BF3CB8"/>
    <w:rsid w:val="00C1487C"/>
    <w:rsid w:val="00C14FAD"/>
    <w:rsid w:val="00C17A6A"/>
    <w:rsid w:val="00C224D9"/>
    <w:rsid w:val="00C2764B"/>
    <w:rsid w:val="00C31B04"/>
    <w:rsid w:val="00C3245E"/>
    <w:rsid w:val="00C37C3A"/>
    <w:rsid w:val="00C4695B"/>
    <w:rsid w:val="00C5292C"/>
    <w:rsid w:val="00C55604"/>
    <w:rsid w:val="00C71F59"/>
    <w:rsid w:val="00C76DD6"/>
    <w:rsid w:val="00C84340"/>
    <w:rsid w:val="00C85879"/>
    <w:rsid w:val="00C86717"/>
    <w:rsid w:val="00C9645B"/>
    <w:rsid w:val="00C964C2"/>
    <w:rsid w:val="00CB1375"/>
    <w:rsid w:val="00CB55FC"/>
    <w:rsid w:val="00CB6933"/>
    <w:rsid w:val="00CC0433"/>
    <w:rsid w:val="00CC35AD"/>
    <w:rsid w:val="00CC3961"/>
    <w:rsid w:val="00CC6ECB"/>
    <w:rsid w:val="00CD7AE2"/>
    <w:rsid w:val="00CE1F5A"/>
    <w:rsid w:val="00CE4A47"/>
    <w:rsid w:val="00CF0692"/>
    <w:rsid w:val="00D11866"/>
    <w:rsid w:val="00D17054"/>
    <w:rsid w:val="00D2089D"/>
    <w:rsid w:val="00D260BE"/>
    <w:rsid w:val="00D34A3E"/>
    <w:rsid w:val="00D44E43"/>
    <w:rsid w:val="00D46959"/>
    <w:rsid w:val="00D562BB"/>
    <w:rsid w:val="00D570D2"/>
    <w:rsid w:val="00D61BA3"/>
    <w:rsid w:val="00D66770"/>
    <w:rsid w:val="00DB2762"/>
    <w:rsid w:val="00DB3726"/>
    <w:rsid w:val="00DB3C9D"/>
    <w:rsid w:val="00DC0ACF"/>
    <w:rsid w:val="00DC506A"/>
    <w:rsid w:val="00DD0A7C"/>
    <w:rsid w:val="00DD5942"/>
    <w:rsid w:val="00DE0F6E"/>
    <w:rsid w:val="00DE12FA"/>
    <w:rsid w:val="00DF3B13"/>
    <w:rsid w:val="00DF4C73"/>
    <w:rsid w:val="00E01FB8"/>
    <w:rsid w:val="00E03C55"/>
    <w:rsid w:val="00E10B67"/>
    <w:rsid w:val="00E4017C"/>
    <w:rsid w:val="00E41166"/>
    <w:rsid w:val="00E4466B"/>
    <w:rsid w:val="00E469AE"/>
    <w:rsid w:val="00E54A4C"/>
    <w:rsid w:val="00E832EB"/>
    <w:rsid w:val="00E908F5"/>
    <w:rsid w:val="00E915A3"/>
    <w:rsid w:val="00E929DD"/>
    <w:rsid w:val="00E96598"/>
    <w:rsid w:val="00E9702A"/>
    <w:rsid w:val="00EA0250"/>
    <w:rsid w:val="00EA52D2"/>
    <w:rsid w:val="00EB639D"/>
    <w:rsid w:val="00EB66A7"/>
    <w:rsid w:val="00EB7934"/>
    <w:rsid w:val="00EE7C05"/>
    <w:rsid w:val="00EF6511"/>
    <w:rsid w:val="00F02433"/>
    <w:rsid w:val="00F061CF"/>
    <w:rsid w:val="00F11D91"/>
    <w:rsid w:val="00F12000"/>
    <w:rsid w:val="00F1432A"/>
    <w:rsid w:val="00F24764"/>
    <w:rsid w:val="00F24CD4"/>
    <w:rsid w:val="00F27CBE"/>
    <w:rsid w:val="00F441E4"/>
    <w:rsid w:val="00F44586"/>
    <w:rsid w:val="00F63331"/>
    <w:rsid w:val="00F7210C"/>
    <w:rsid w:val="00F865FD"/>
    <w:rsid w:val="00F879E6"/>
    <w:rsid w:val="00F926F2"/>
    <w:rsid w:val="00F959DC"/>
    <w:rsid w:val="00F97F5A"/>
    <w:rsid w:val="00FA029B"/>
    <w:rsid w:val="00FA588E"/>
    <w:rsid w:val="00FA60C4"/>
    <w:rsid w:val="00FA6725"/>
    <w:rsid w:val="00FB3DE6"/>
    <w:rsid w:val="00FB5783"/>
    <w:rsid w:val="00FB6EEF"/>
    <w:rsid w:val="00FC1948"/>
    <w:rsid w:val="00FC1D5C"/>
    <w:rsid w:val="00FC37D6"/>
    <w:rsid w:val="00FD0C7B"/>
    <w:rsid w:val="00FD3050"/>
    <w:rsid w:val="00FD62A8"/>
    <w:rsid w:val="00FE30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FDDF"/>
  <w15:chartTrackingRefBased/>
  <w15:docId w15:val="{9C3E3314-2A77-5748-94E6-A6C3C7B2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25"/>
    <w:pPr>
      <w:spacing w:after="200" w:line="276" w:lineRule="auto"/>
    </w:pPr>
    <w:rPr>
      <w:rFonts w:eastAsiaTheme="minorEastAsia"/>
      <w:kern w:val="0"/>
      <w:sz w:val="22"/>
      <w:szCs w:val="22"/>
      <w:lang w:val="en-US"/>
      <w14:ligatures w14:val="none"/>
    </w:rPr>
  </w:style>
  <w:style w:type="paragraph" w:styleId="Balk1">
    <w:name w:val="heading 1"/>
    <w:basedOn w:val="Normal"/>
    <w:next w:val="Normal"/>
    <w:link w:val="Balk1Char"/>
    <w:uiPriority w:val="9"/>
    <w:qFormat/>
    <w:rsid w:val="00B83325"/>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tr-TR"/>
      <w14:ligatures w14:val="standardContextual"/>
    </w:rPr>
  </w:style>
  <w:style w:type="paragraph" w:styleId="Balk2">
    <w:name w:val="heading 2"/>
    <w:basedOn w:val="Normal"/>
    <w:next w:val="Normal"/>
    <w:link w:val="Balk2Char"/>
    <w:uiPriority w:val="9"/>
    <w:semiHidden/>
    <w:unhideWhenUsed/>
    <w:qFormat/>
    <w:rsid w:val="00B83325"/>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tr-TR"/>
      <w14:ligatures w14:val="standardContextual"/>
    </w:rPr>
  </w:style>
  <w:style w:type="paragraph" w:styleId="Balk3">
    <w:name w:val="heading 3"/>
    <w:basedOn w:val="Normal"/>
    <w:next w:val="Normal"/>
    <w:link w:val="Balk3Char"/>
    <w:uiPriority w:val="9"/>
    <w:semiHidden/>
    <w:unhideWhenUsed/>
    <w:qFormat/>
    <w:rsid w:val="00B83325"/>
    <w:pPr>
      <w:keepNext/>
      <w:keepLines/>
      <w:spacing w:before="160" w:after="80" w:line="240" w:lineRule="auto"/>
      <w:outlineLvl w:val="2"/>
    </w:pPr>
    <w:rPr>
      <w:rFonts w:eastAsiaTheme="majorEastAsia" w:cstheme="majorBidi"/>
      <w:color w:val="2F5496" w:themeColor="accent1" w:themeShade="BF"/>
      <w:kern w:val="2"/>
      <w:sz w:val="28"/>
      <w:szCs w:val="28"/>
      <w:lang w:val="tr-TR"/>
      <w14:ligatures w14:val="standardContextual"/>
    </w:rPr>
  </w:style>
  <w:style w:type="paragraph" w:styleId="Balk4">
    <w:name w:val="heading 4"/>
    <w:basedOn w:val="Normal"/>
    <w:next w:val="Normal"/>
    <w:link w:val="Balk4Char"/>
    <w:uiPriority w:val="9"/>
    <w:semiHidden/>
    <w:unhideWhenUsed/>
    <w:qFormat/>
    <w:rsid w:val="00B83325"/>
    <w:pPr>
      <w:keepNext/>
      <w:keepLines/>
      <w:spacing w:before="80" w:after="40" w:line="240" w:lineRule="auto"/>
      <w:outlineLvl w:val="3"/>
    </w:pPr>
    <w:rPr>
      <w:rFonts w:eastAsiaTheme="majorEastAsia" w:cstheme="majorBidi"/>
      <w:i/>
      <w:iCs/>
      <w:color w:val="2F5496" w:themeColor="accent1" w:themeShade="BF"/>
      <w:kern w:val="2"/>
      <w:sz w:val="24"/>
      <w:szCs w:val="24"/>
      <w:lang w:val="tr-TR"/>
      <w14:ligatures w14:val="standardContextual"/>
    </w:rPr>
  </w:style>
  <w:style w:type="paragraph" w:styleId="Balk5">
    <w:name w:val="heading 5"/>
    <w:basedOn w:val="Normal"/>
    <w:next w:val="Normal"/>
    <w:link w:val="Balk5Char"/>
    <w:uiPriority w:val="9"/>
    <w:semiHidden/>
    <w:unhideWhenUsed/>
    <w:qFormat/>
    <w:rsid w:val="00B83325"/>
    <w:pPr>
      <w:keepNext/>
      <w:keepLines/>
      <w:spacing w:before="80" w:after="40" w:line="240" w:lineRule="auto"/>
      <w:outlineLvl w:val="4"/>
    </w:pPr>
    <w:rPr>
      <w:rFonts w:eastAsiaTheme="majorEastAsia" w:cstheme="majorBidi"/>
      <w:color w:val="2F5496" w:themeColor="accent1" w:themeShade="BF"/>
      <w:kern w:val="2"/>
      <w:sz w:val="24"/>
      <w:szCs w:val="24"/>
      <w:lang w:val="tr-TR"/>
      <w14:ligatures w14:val="standardContextual"/>
    </w:rPr>
  </w:style>
  <w:style w:type="paragraph" w:styleId="Balk6">
    <w:name w:val="heading 6"/>
    <w:basedOn w:val="Normal"/>
    <w:next w:val="Normal"/>
    <w:link w:val="Balk6Char"/>
    <w:uiPriority w:val="9"/>
    <w:semiHidden/>
    <w:unhideWhenUsed/>
    <w:qFormat/>
    <w:rsid w:val="00B83325"/>
    <w:pPr>
      <w:keepNext/>
      <w:keepLines/>
      <w:spacing w:before="40" w:after="0" w:line="240" w:lineRule="auto"/>
      <w:outlineLvl w:val="5"/>
    </w:pPr>
    <w:rPr>
      <w:rFonts w:eastAsiaTheme="majorEastAsia" w:cstheme="majorBidi"/>
      <w:i/>
      <w:iCs/>
      <w:color w:val="595959" w:themeColor="text1" w:themeTint="A6"/>
      <w:kern w:val="2"/>
      <w:sz w:val="24"/>
      <w:szCs w:val="24"/>
      <w:lang w:val="tr-TR"/>
      <w14:ligatures w14:val="standardContextual"/>
    </w:rPr>
  </w:style>
  <w:style w:type="paragraph" w:styleId="Balk7">
    <w:name w:val="heading 7"/>
    <w:basedOn w:val="Normal"/>
    <w:next w:val="Normal"/>
    <w:link w:val="Balk7Char"/>
    <w:uiPriority w:val="9"/>
    <w:semiHidden/>
    <w:unhideWhenUsed/>
    <w:qFormat/>
    <w:rsid w:val="00B83325"/>
    <w:pPr>
      <w:keepNext/>
      <w:keepLines/>
      <w:spacing w:before="40" w:after="0" w:line="240" w:lineRule="auto"/>
      <w:outlineLvl w:val="6"/>
    </w:pPr>
    <w:rPr>
      <w:rFonts w:eastAsiaTheme="majorEastAsia" w:cstheme="majorBidi"/>
      <w:color w:val="595959" w:themeColor="text1" w:themeTint="A6"/>
      <w:kern w:val="2"/>
      <w:sz w:val="24"/>
      <w:szCs w:val="24"/>
      <w:lang w:val="tr-TR"/>
      <w14:ligatures w14:val="standardContextual"/>
    </w:rPr>
  </w:style>
  <w:style w:type="paragraph" w:styleId="Balk8">
    <w:name w:val="heading 8"/>
    <w:basedOn w:val="Normal"/>
    <w:next w:val="Normal"/>
    <w:link w:val="Balk8Char"/>
    <w:uiPriority w:val="9"/>
    <w:semiHidden/>
    <w:unhideWhenUsed/>
    <w:qFormat/>
    <w:rsid w:val="00B83325"/>
    <w:pPr>
      <w:keepNext/>
      <w:keepLines/>
      <w:spacing w:after="0" w:line="240" w:lineRule="auto"/>
      <w:outlineLvl w:val="7"/>
    </w:pPr>
    <w:rPr>
      <w:rFonts w:eastAsiaTheme="majorEastAsia" w:cstheme="majorBidi"/>
      <w:i/>
      <w:iCs/>
      <w:color w:val="272727" w:themeColor="text1" w:themeTint="D8"/>
      <w:kern w:val="2"/>
      <w:sz w:val="24"/>
      <w:szCs w:val="24"/>
      <w:lang w:val="tr-TR"/>
      <w14:ligatures w14:val="standardContextual"/>
    </w:rPr>
  </w:style>
  <w:style w:type="paragraph" w:styleId="Balk9">
    <w:name w:val="heading 9"/>
    <w:basedOn w:val="Normal"/>
    <w:next w:val="Normal"/>
    <w:link w:val="Balk9Char"/>
    <w:uiPriority w:val="9"/>
    <w:semiHidden/>
    <w:unhideWhenUsed/>
    <w:qFormat/>
    <w:rsid w:val="00B83325"/>
    <w:pPr>
      <w:keepNext/>
      <w:keepLines/>
      <w:spacing w:after="0" w:line="240" w:lineRule="auto"/>
      <w:outlineLvl w:val="8"/>
    </w:pPr>
    <w:rPr>
      <w:rFonts w:eastAsiaTheme="majorEastAsia" w:cstheme="majorBidi"/>
      <w:color w:val="272727" w:themeColor="text1" w:themeTint="D8"/>
      <w:kern w:val="2"/>
      <w:sz w:val="24"/>
      <w:szCs w:val="24"/>
      <w:lang w:val="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8332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8332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8332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8332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8332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833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833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833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83325"/>
    <w:rPr>
      <w:rFonts w:eastAsiaTheme="majorEastAsia" w:cstheme="majorBidi"/>
      <w:color w:val="272727" w:themeColor="text1" w:themeTint="D8"/>
    </w:rPr>
  </w:style>
  <w:style w:type="paragraph" w:styleId="KonuBal">
    <w:name w:val="Title"/>
    <w:basedOn w:val="Normal"/>
    <w:next w:val="Normal"/>
    <w:link w:val="KonuBalChar"/>
    <w:uiPriority w:val="10"/>
    <w:qFormat/>
    <w:rsid w:val="00B83325"/>
    <w:pPr>
      <w:spacing w:after="80" w:line="240" w:lineRule="auto"/>
      <w:contextualSpacing/>
    </w:pPr>
    <w:rPr>
      <w:rFonts w:asciiTheme="majorHAnsi" w:eastAsiaTheme="majorEastAsia" w:hAnsiTheme="majorHAnsi" w:cstheme="majorBidi"/>
      <w:spacing w:val="-10"/>
      <w:kern w:val="28"/>
      <w:sz w:val="56"/>
      <w:szCs w:val="56"/>
      <w:lang w:val="tr-TR"/>
      <w14:ligatures w14:val="standardContextual"/>
    </w:rPr>
  </w:style>
  <w:style w:type="character" w:customStyle="1" w:styleId="KonuBalChar">
    <w:name w:val="Konu Başlığı Char"/>
    <w:basedOn w:val="VarsaylanParagrafYazTipi"/>
    <w:link w:val="KonuBal"/>
    <w:uiPriority w:val="10"/>
    <w:rsid w:val="00B833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83325"/>
    <w:pPr>
      <w:numPr>
        <w:ilvl w:val="1"/>
      </w:numPr>
      <w:spacing w:after="160" w:line="240" w:lineRule="auto"/>
    </w:pPr>
    <w:rPr>
      <w:rFonts w:eastAsiaTheme="majorEastAsia" w:cstheme="majorBidi"/>
      <w:color w:val="595959" w:themeColor="text1" w:themeTint="A6"/>
      <w:spacing w:val="15"/>
      <w:kern w:val="2"/>
      <w:sz w:val="28"/>
      <w:szCs w:val="28"/>
      <w:lang w:val="tr-TR"/>
      <w14:ligatures w14:val="standardContextual"/>
    </w:rPr>
  </w:style>
  <w:style w:type="character" w:customStyle="1" w:styleId="AltyazChar">
    <w:name w:val="Altyazı Char"/>
    <w:basedOn w:val="VarsaylanParagrafYazTipi"/>
    <w:link w:val="Altyaz"/>
    <w:uiPriority w:val="11"/>
    <w:rsid w:val="00B833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83325"/>
    <w:pPr>
      <w:spacing w:before="160" w:after="160" w:line="240" w:lineRule="auto"/>
      <w:jc w:val="center"/>
    </w:pPr>
    <w:rPr>
      <w:rFonts w:eastAsiaTheme="minorHAnsi"/>
      <w:i/>
      <w:iCs/>
      <w:color w:val="404040" w:themeColor="text1" w:themeTint="BF"/>
      <w:kern w:val="2"/>
      <w:sz w:val="24"/>
      <w:szCs w:val="24"/>
      <w:lang w:val="tr-TR"/>
      <w14:ligatures w14:val="standardContextual"/>
    </w:rPr>
  </w:style>
  <w:style w:type="character" w:customStyle="1" w:styleId="AlntChar">
    <w:name w:val="Alıntı Char"/>
    <w:basedOn w:val="VarsaylanParagrafYazTipi"/>
    <w:link w:val="Alnt"/>
    <w:uiPriority w:val="29"/>
    <w:rsid w:val="00B83325"/>
    <w:rPr>
      <w:i/>
      <w:iCs/>
      <w:color w:val="404040" w:themeColor="text1" w:themeTint="BF"/>
    </w:rPr>
  </w:style>
  <w:style w:type="paragraph" w:styleId="ListeParagraf">
    <w:name w:val="List Paragraph"/>
    <w:basedOn w:val="Normal"/>
    <w:uiPriority w:val="34"/>
    <w:qFormat/>
    <w:rsid w:val="00B83325"/>
    <w:pPr>
      <w:spacing w:after="0" w:line="240" w:lineRule="auto"/>
      <w:ind w:left="720"/>
      <w:contextualSpacing/>
    </w:pPr>
    <w:rPr>
      <w:rFonts w:eastAsiaTheme="minorHAnsi"/>
      <w:kern w:val="2"/>
      <w:sz w:val="24"/>
      <w:szCs w:val="24"/>
      <w:lang w:val="tr-TR"/>
      <w14:ligatures w14:val="standardContextual"/>
    </w:rPr>
  </w:style>
  <w:style w:type="character" w:styleId="GlVurgulama">
    <w:name w:val="Intense Emphasis"/>
    <w:basedOn w:val="VarsaylanParagrafYazTipi"/>
    <w:uiPriority w:val="21"/>
    <w:qFormat/>
    <w:rsid w:val="00B83325"/>
    <w:rPr>
      <w:i/>
      <w:iCs/>
      <w:color w:val="2F5496" w:themeColor="accent1" w:themeShade="BF"/>
    </w:rPr>
  </w:style>
  <w:style w:type="paragraph" w:styleId="GlAlnt">
    <w:name w:val="Intense Quote"/>
    <w:basedOn w:val="Normal"/>
    <w:next w:val="Normal"/>
    <w:link w:val="GlAlntChar"/>
    <w:uiPriority w:val="30"/>
    <w:qFormat/>
    <w:rsid w:val="00B8332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 w:val="24"/>
      <w:szCs w:val="24"/>
      <w:lang w:val="tr-TR"/>
      <w14:ligatures w14:val="standardContextual"/>
    </w:rPr>
  </w:style>
  <w:style w:type="character" w:customStyle="1" w:styleId="GlAlntChar">
    <w:name w:val="Güçlü Alıntı Char"/>
    <w:basedOn w:val="VarsaylanParagrafYazTipi"/>
    <w:link w:val="GlAlnt"/>
    <w:uiPriority w:val="30"/>
    <w:rsid w:val="00B83325"/>
    <w:rPr>
      <w:i/>
      <w:iCs/>
      <w:color w:val="2F5496" w:themeColor="accent1" w:themeShade="BF"/>
    </w:rPr>
  </w:style>
  <w:style w:type="character" w:styleId="GlBavuru">
    <w:name w:val="Intense Reference"/>
    <w:basedOn w:val="VarsaylanParagrafYazTipi"/>
    <w:uiPriority w:val="32"/>
    <w:qFormat/>
    <w:rsid w:val="00B83325"/>
    <w:rPr>
      <w:b/>
      <w:bCs/>
      <w:smallCaps/>
      <w:color w:val="2F5496" w:themeColor="accent1" w:themeShade="BF"/>
      <w:spacing w:val="5"/>
    </w:rPr>
  </w:style>
  <w:style w:type="table" w:styleId="TabloKlavuzu">
    <w:name w:val="Table Grid"/>
    <w:basedOn w:val="NormalTablo"/>
    <w:uiPriority w:val="59"/>
    <w:rsid w:val="00B83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017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stBilgi">
    <w:name w:val="header"/>
    <w:basedOn w:val="Normal"/>
    <w:link w:val="stBilgiChar"/>
    <w:uiPriority w:val="99"/>
    <w:unhideWhenUsed/>
    <w:rsid w:val="003A30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3023"/>
    <w:rPr>
      <w:rFonts w:eastAsiaTheme="minorEastAsia"/>
      <w:kern w:val="0"/>
      <w:sz w:val="22"/>
      <w:szCs w:val="22"/>
      <w:lang w:val="en-US"/>
      <w14:ligatures w14:val="none"/>
    </w:rPr>
  </w:style>
  <w:style w:type="paragraph" w:styleId="AltBilgi">
    <w:name w:val="footer"/>
    <w:basedOn w:val="Normal"/>
    <w:link w:val="AltBilgiChar"/>
    <w:uiPriority w:val="99"/>
    <w:unhideWhenUsed/>
    <w:rsid w:val="003A30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3023"/>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754</Words>
  <Characters>4180</Characters>
  <Application>Microsoft Office Word</Application>
  <DocSecurity>0</DocSecurity>
  <Lines>348</Lines>
  <Paragraphs>328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Seher.Yuksel</dc:creator>
  <cp:keywords/>
  <dc:description/>
  <cp:lastModifiedBy>Seher.Yuksel</cp:lastModifiedBy>
  <cp:revision>12</cp:revision>
  <dcterms:created xsi:type="dcterms:W3CDTF">2026-04-09T13:56:00Z</dcterms:created>
  <dcterms:modified xsi:type="dcterms:W3CDTF">2026-04-09T14:15:00Z</dcterms:modified>
</cp:coreProperties>
</file>