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9D09" w14:textId="77777777" w:rsidR="00674323" w:rsidRPr="00674323" w:rsidRDefault="00674323" w:rsidP="00674323">
      <w:pPr>
        <w:spacing w:line="480" w:lineRule="auto"/>
        <w:jc w:val="both"/>
        <w:rPr>
          <w:rFonts w:cs="Times New Roman"/>
          <w:b/>
          <w:bCs/>
          <w:szCs w:val="22"/>
        </w:rPr>
      </w:pPr>
      <w:r w:rsidRPr="00674323">
        <w:rPr>
          <w:rFonts w:cs="Times New Roman" w:hint="eastAsia"/>
          <w:b/>
          <w:bCs/>
          <w:szCs w:val="22"/>
        </w:rPr>
        <w:t>Supplementary Tables and Figures</w:t>
      </w:r>
    </w:p>
    <w:p w14:paraId="5BE576B5" w14:textId="3C58DFAF" w:rsidR="00674323" w:rsidRDefault="00674323" w:rsidP="00CB4CE5">
      <w:pPr>
        <w:spacing w:line="480" w:lineRule="auto"/>
        <w:jc w:val="both"/>
        <w:rPr>
          <w:rFonts w:cs="Times New Roman" w:hint="eastAsia"/>
          <w:szCs w:val="22"/>
        </w:rPr>
      </w:pPr>
      <w:r w:rsidRPr="00CB4CE5">
        <w:rPr>
          <w:rFonts w:cs="Times New Roman" w:hint="eastAsia"/>
          <w:b/>
          <w:bCs/>
          <w:szCs w:val="22"/>
        </w:rPr>
        <w:t>Suppl. Table 1.</w:t>
      </w:r>
      <w:r w:rsidR="008573EE" w:rsidRPr="00CB4CE5">
        <w:rPr>
          <w:rFonts w:cs="Times New Roman" w:hint="eastAsia"/>
          <w:b/>
          <w:bCs/>
          <w:szCs w:val="22"/>
        </w:rPr>
        <w:t xml:space="preserve"> </w:t>
      </w:r>
      <w:r w:rsidR="008573EE" w:rsidRPr="00CB4CE5">
        <w:rPr>
          <w:rFonts w:cs="Times New Roman"/>
          <w:b/>
          <w:bCs/>
          <w:szCs w:val="22"/>
        </w:rPr>
        <w:t>Design of Experiments (DoE) parameters for generating the Ambr® 250 calibration dataset.</w:t>
      </w:r>
      <w:r w:rsidR="008573EE">
        <w:rPr>
          <w:rFonts w:cs="Times New Roman" w:hint="eastAsia"/>
          <w:szCs w:val="22"/>
        </w:rPr>
        <w:t xml:space="preserve"> </w:t>
      </w:r>
      <w:r w:rsidR="00CB4CE5" w:rsidRPr="00CB4CE5">
        <w:rPr>
          <w:rFonts w:cs="Times New Roman"/>
          <w:szCs w:val="22"/>
        </w:rPr>
        <w:t>Summary of the systematically varied key process parameters used in the Design of Experiments (DoE) for the Ambr® 250 high-throughput mini-bioreactor batches. The implementation of DoE across temperature, pH, and dissolved oxygen (DO) ensured a highly diverse and comprehensive single-scale calibration dataset for building robust multivariate Raman models.</w:t>
      </w:r>
    </w:p>
    <w:tbl>
      <w:tblPr>
        <w:tblStyle w:val="10"/>
        <w:tblW w:w="13745" w:type="dxa"/>
        <w:tblLayout w:type="fixed"/>
        <w:tblLook w:val="04A0" w:firstRow="1" w:lastRow="0" w:firstColumn="1" w:lastColumn="0" w:noHBand="0" w:noVBand="1"/>
      </w:tblPr>
      <w:tblGrid>
        <w:gridCol w:w="1413"/>
        <w:gridCol w:w="770"/>
        <w:gridCol w:w="771"/>
        <w:gridCol w:w="771"/>
        <w:gridCol w:w="771"/>
        <w:gridCol w:w="770"/>
        <w:gridCol w:w="771"/>
        <w:gridCol w:w="771"/>
        <w:gridCol w:w="771"/>
        <w:gridCol w:w="770"/>
        <w:gridCol w:w="771"/>
        <w:gridCol w:w="771"/>
        <w:gridCol w:w="771"/>
        <w:gridCol w:w="770"/>
        <w:gridCol w:w="771"/>
        <w:gridCol w:w="771"/>
        <w:gridCol w:w="771"/>
      </w:tblGrid>
      <w:tr w:rsidR="00674323" w:rsidRPr="002F3D57" w14:paraId="091F4A44" w14:textId="77777777" w:rsidTr="00674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76E9808E" w14:textId="77777777" w:rsidR="00674323" w:rsidRPr="002F3D57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noWrap/>
            <w:vAlign w:val="center"/>
          </w:tcPr>
          <w:p w14:paraId="76F5C46A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AM01</w:t>
            </w:r>
          </w:p>
        </w:tc>
        <w:tc>
          <w:tcPr>
            <w:tcW w:w="771" w:type="dxa"/>
            <w:tcBorders>
              <w:bottom w:val="single" w:sz="2" w:space="0" w:color="auto"/>
            </w:tcBorders>
            <w:noWrap/>
            <w:vAlign w:val="center"/>
          </w:tcPr>
          <w:p w14:paraId="4D7D0806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AM02</w:t>
            </w:r>
          </w:p>
        </w:tc>
        <w:tc>
          <w:tcPr>
            <w:tcW w:w="771" w:type="dxa"/>
            <w:tcBorders>
              <w:bottom w:val="single" w:sz="2" w:space="0" w:color="auto"/>
            </w:tcBorders>
            <w:noWrap/>
            <w:vAlign w:val="center"/>
          </w:tcPr>
          <w:p w14:paraId="50A9AF36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AM03</w:t>
            </w:r>
          </w:p>
        </w:tc>
        <w:tc>
          <w:tcPr>
            <w:tcW w:w="771" w:type="dxa"/>
            <w:tcBorders>
              <w:bottom w:val="single" w:sz="2" w:space="0" w:color="auto"/>
            </w:tcBorders>
            <w:noWrap/>
            <w:vAlign w:val="center"/>
          </w:tcPr>
          <w:p w14:paraId="18B38D13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AM04</w:t>
            </w:r>
          </w:p>
        </w:tc>
        <w:tc>
          <w:tcPr>
            <w:tcW w:w="770" w:type="dxa"/>
            <w:tcBorders>
              <w:bottom w:val="single" w:sz="2" w:space="0" w:color="auto"/>
            </w:tcBorders>
            <w:noWrap/>
            <w:vAlign w:val="center"/>
          </w:tcPr>
          <w:p w14:paraId="3B37DF4E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AM05</w:t>
            </w:r>
          </w:p>
        </w:tc>
        <w:tc>
          <w:tcPr>
            <w:tcW w:w="771" w:type="dxa"/>
            <w:tcBorders>
              <w:bottom w:val="single" w:sz="2" w:space="0" w:color="auto"/>
            </w:tcBorders>
            <w:noWrap/>
            <w:vAlign w:val="center"/>
          </w:tcPr>
          <w:p w14:paraId="697E7F29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AM06</w:t>
            </w:r>
          </w:p>
        </w:tc>
        <w:tc>
          <w:tcPr>
            <w:tcW w:w="771" w:type="dxa"/>
            <w:tcBorders>
              <w:bottom w:val="single" w:sz="2" w:space="0" w:color="auto"/>
            </w:tcBorders>
            <w:vAlign w:val="center"/>
          </w:tcPr>
          <w:p w14:paraId="34E14134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AM07</w:t>
            </w:r>
          </w:p>
        </w:tc>
        <w:tc>
          <w:tcPr>
            <w:tcW w:w="771" w:type="dxa"/>
            <w:tcBorders>
              <w:bottom w:val="single" w:sz="2" w:space="0" w:color="auto"/>
            </w:tcBorders>
            <w:vAlign w:val="center"/>
          </w:tcPr>
          <w:p w14:paraId="408F44A7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AM08</w:t>
            </w: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14:paraId="53498F90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AM11</w:t>
            </w:r>
          </w:p>
        </w:tc>
        <w:tc>
          <w:tcPr>
            <w:tcW w:w="771" w:type="dxa"/>
            <w:tcBorders>
              <w:bottom w:val="single" w:sz="2" w:space="0" w:color="auto"/>
            </w:tcBorders>
            <w:vAlign w:val="center"/>
          </w:tcPr>
          <w:p w14:paraId="4815596F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AM12</w:t>
            </w:r>
          </w:p>
        </w:tc>
        <w:tc>
          <w:tcPr>
            <w:tcW w:w="771" w:type="dxa"/>
            <w:tcBorders>
              <w:bottom w:val="single" w:sz="2" w:space="0" w:color="auto"/>
            </w:tcBorders>
            <w:vAlign w:val="center"/>
          </w:tcPr>
          <w:p w14:paraId="7614D428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AM13</w:t>
            </w:r>
          </w:p>
        </w:tc>
        <w:tc>
          <w:tcPr>
            <w:tcW w:w="771" w:type="dxa"/>
            <w:tcBorders>
              <w:bottom w:val="single" w:sz="2" w:space="0" w:color="auto"/>
            </w:tcBorders>
            <w:vAlign w:val="center"/>
          </w:tcPr>
          <w:p w14:paraId="181C04C2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AM14</w:t>
            </w: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14:paraId="05EF54A1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AM15</w:t>
            </w:r>
          </w:p>
        </w:tc>
        <w:tc>
          <w:tcPr>
            <w:tcW w:w="771" w:type="dxa"/>
            <w:tcBorders>
              <w:bottom w:val="single" w:sz="2" w:space="0" w:color="auto"/>
            </w:tcBorders>
            <w:vAlign w:val="center"/>
          </w:tcPr>
          <w:p w14:paraId="498E6946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AM16</w:t>
            </w:r>
          </w:p>
        </w:tc>
        <w:tc>
          <w:tcPr>
            <w:tcW w:w="771" w:type="dxa"/>
            <w:tcBorders>
              <w:bottom w:val="single" w:sz="2" w:space="0" w:color="auto"/>
            </w:tcBorders>
            <w:vAlign w:val="center"/>
          </w:tcPr>
          <w:p w14:paraId="77697286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AM17</w:t>
            </w:r>
          </w:p>
        </w:tc>
        <w:tc>
          <w:tcPr>
            <w:tcW w:w="771" w:type="dxa"/>
            <w:tcBorders>
              <w:bottom w:val="single" w:sz="2" w:space="0" w:color="auto"/>
            </w:tcBorders>
            <w:vAlign w:val="center"/>
          </w:tcPr>
          <w:p w14:paraId="235B858D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AM18</w:t>
            </w:r>
          </w:p>
        </w:tc>
      </w:tr>
      <w:tr w:rsidR="00674323" w:rsidRPr="0051481A" w14:paraId="3D3F620D" w14:textId="77777777" w:rsidTr="0067432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2" w:space="0" w:color="auto"/>
            </w:tcBorders>
            <w:noWrap/>
            <w:vAlign w:val="center"/>
            <w:hideMark/>
          </w:tcPr>
          <w:p w14:paraId="1070D697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Prod. Temp.</w:t>
            </w:r>
          </w:p>
        </w:tc>
        <w:tc>
          <w:tcPr>
            <w:tcW w:w="770" w:type="dxa"/>
            <w:tcBorders>
              <w:top w:val="single" w:sz="2" w:space="0" w:color="auto"/>
            </w:tcBorders>
            <w:noWrap/>
            <w:vAlign w:val="center"/>
          </w:tcPr>
          <w:p w14:paraId="53E5280F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771" w:type="dxa"/>
            <w:tcBorders>
              <w:top w:val="single" w:sz="2" w:space="0" w:color="auto"/>
            </w:tcBorders>
            <w:noWrap/>
            <w:vAlign w:val="center"/>
          </w:tcPr>
          <w:p w14:paraId="193EB30D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771" w:type="dxa"/>
            <w:tcBorders>
              <w:top w:val="single" w:sz="2" w:space="0" w:color="auto"/>
            </w:tcBorders>
            <w:noWrap/>
            <w:vAlign w:val="center"/>
          </w:tcPr>
          <w:p w14:paraId="1567A6E8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771" w:type="dxa"/>
            <w:tcBorders>
              <w:top w:val="single" w:sz="2" w:space="0" w:color="auto"/>
            </w:tcBorders>
            <w:noWrap/>
            <w:vAlign w:val="center"/>
          </w:tcPr>
          <w:p w14:paraId="447ADA10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2" w:space="0" w:color="auto"/>
            </w:tcBorders>
            <w:noWrap/>
            <w:vAlign w:val="center"/>
          </w:tcPr>
          <w:p w14:paraId="380C721A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2" w:space="0" w:color="auto"/>
            </w:tcBorders>
            <w:noWrap/>
            <w:vAlign w:val="center"/>
          </w:tcPr>
          <w:p w14:paraId="50822490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+1</w:t>
            </w:r>
          </w:p>
        </w:tc>
        <w:tc>
          <w:tcPr>
            <w:tcW w:w="771" w:type="dxa"/>
            <w:tcBorders>
              <w:top w:val="single" w:sz="2" w:space="0" w:color="auto"/>
            </w:tcBorders>
            <w:vAlign w:val="center"/>
          </w:tcPr>
          <w:p w14:paraId="2BC18F57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+1</w:t>
            </w:r>
          </w:p>
        </w:tc>
        <w:tc>
          <w:tcPr>
            <w:tcW w:w="771" w:type="dxa"/>
            <w:tcBorders>
              <w:top w:val="single" w:sz="2" w:space="0" w:color="auto"/>
            </w:tcBorders>
            <w:vAlign w:val="center"/>
          </w:tcPr>
          <w:p w14:paraId="3BA4CD14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+1</w:t>
            </w:r>
          </w:p>
        </w:tc>
        <w:tc>
          <w:tcPr>
            <w:tcW w:w="6166" w:type="dxa"/>
            <w:gridSpan w:val="8"/>
            <w:vMerge w:val="restart"/>
            <w:tcBorders>
              <w:top w:val="single" w:sz="2" w:space="0" w:color="auto"/>
            </w:tcBorders>
            <w:vAlign w:val="center"/>
          </w:tcPr>
          <w:p w14:paraId="3C5C5541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674323" w:rsidRPr="0051481A" w14:paraId="2A839CF0" w14:textId="77777777" w:rsidTr="00547AB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43A1527B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Prod. pH</w:t>
            </w:r>
          </w:p>
        </w:tc>
        <w:tc>
          <w:tcPr>
            <w:tcW w:w="770" w:type="dxa"/>
            <w:noWrap/>
            <w:vAlign w:val="center"/>
          </w:tcPr>
          <w:p w14:paraId="1EE616A5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771" w:type="dxa"/>
            <w:noWrap/>
            <w:vAlign w:val="center"/>
          </w:tcPr>
          <w:p w14:paraId="7BFF893C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71" w:type="dxa"/>
            <w:noWrap/>
            <w:vAlign w:val="center"/>
          </w:tcPr>
          <w:p w14:paraId="1540C613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+1</w:t>
            </w:r>
          </w:p>
        </w:tc>
        <w:tc>
          <w:tcPr>
            <w:tcW w:w="771" w:type="dxa"/>
            <w:noWrap/>
            <w:vAlign w:val="center"/>
          </w:tcPr>
          <w:p w14:paraId="70FB835E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770" w:type="dxa"/>
            <w:noWrap/>
            <w:vAlign w:val="center"/>
          </w:tcPr>
          <w:p w14:paraId="7BEB9D63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+1</w:t>
            </w:r>
          </w:p>
        </w:tc>
        <w:tc>
          <w:tcPr>
            <w:tcW w:w="771" w:type="dxa"/>
            <w:noWrap/>
            <w:vAlign w:val="center"/>
          </w:tcPr>
          <w:p w14:paraId="1901E311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771" w:type="dxa"/>
            <w:vAlign w:val="center"/>
          </w:tcPr>
          <w:p w14:paraId="7870BFA4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71" w:type="dxa"/>
            <w:vAlign w:val="center"/>
          </w:tcPr>
          <w:p w14:paraId="1874E6D3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+1</w:t>
            </w:r>
          </w:p>
        </w:tc>
        <w:tc>
          <w:tcPr>
            <w:tcW w:w="6166" w:type="dxa"/>
            <w:gridSpan w:val="8"/>
            <w:vMerge/>
            <w:vAlign w:val="center"/>
          </w:tcPr>
          <w:p w14:paraId="57C7E406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74323" w:rsidRPr="0051481A" w14:paraId="43B3D3D4" w14:textId="77777777" w:rsidTr="00547AB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1628661A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Initial DO</w:t>
            </w:r>
          </w:p>
        </w:tc>
        <w:tc>
          <w:tcPr>
            <w:tcW w:w="6166" w:type="dxa"/>
            <w:gridSpan w:val="8"/>
            <w:vMerge w:val="restart"/>
            <w:noWrap/>
            <w:vAlign w:val="center"/>
          </w:tcPr>
          <w:p w14:paraId="26E1AECA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N/A</w:t>
            </w:r>
          </w:p>
        </w:tc>
        <w:tc>
          <w:tcPr>
            <w:tcW w:w="770" w:type="dxa"/>
            <w:vAlign w:val="center"/>
          </w:tcPr>
          <w:p w14:paraId="3AFB4FD4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771" w:type="dxa"/>
            <w:vAlign w:val="center"/>
          </w:tcPr>
          <w:p w14:paraId="563246B0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771" w:type="dxa"/>
            <w:vAlign w:val="center"/>
          </w:tcPr>
          <w:p w14:paraId="61CEC380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771" w:type="dxa"/>
            <w:vAlign w:val="center"/>
          </w:tcPr>
          <w:p w14:paraId="542EDF1D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14:paraId="25323EAB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71" w:type="dxa"/>
            <w:vAlign w:val="center"/>
          </w:tcPr>
          <w:p w14:paraId="139AE583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+1</w:t>
            </w:r>
          </w:p>
        </w:tc>
        <w:tc>
          <w:tcPr>
            <w:tcW w:w="771" w:type="dxa"/>
            <w:vAlign w:val="center"/>
          </w:tcPr>
          <w:p w14:paraId="38639FB1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+1</w:t>
            </w:r>
          </w:p>
        </w:tc>
        <w:tc>
          <w:tcPr>
            <w:tcW w:w="771" w:type="dxa"/>
            <w:vAlign w:val="center"/>
          </w:tcPr>
          <w:p w14:paraId="60F21F9E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+1</w:t>
            </w:r>
          </w:p>
        </w:tc>
      </w:tr>
      <w:tr w:rsidR="00674323" w:rsidRPr="0051481A" w14:paraId="3F086DC7" w14:textId="77777777" w:rsidTr="00547AB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64D24747" w14:textId="77777777" w:rsidR="00674323" w:rsidRPr="00674323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eastAsia="맑은 고딕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74323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Prod. DO</w:t>
            </w:r>
          </w:p>
        </w:tc>
        <w:tc>
          <w:tcPr>
            <w:tcW w:w="6166" w:type="dxa"/>
            <w:gridSpan w:val="8"/>
            <w:vMerge/>
            <w:noWrap/>
            <w:vAlign w:val="center"/>
          </w:tcPr>
          <w:p w14:paraId="720551C5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511EF0BF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771" w:type="dxa"/>
            <w:vAlign w:val="center"/>
          </w:tcPr>
          <w:p w14:paraId="2B06A4BB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71" w:type="dxa"/>
            <w:vAlign w:val="center"/>
          </w:tcPr>
          <w:p w14:paraId="38EA6F81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+1</w:t>
            </w:r>
          </w:p>
        </w:tc>
        <w:tc>
          <w:tcPr>
            <w:tcW w:w="771" w:type="dxa"/>
            <w:vAlign w:val="center"/>
          </w:tcPr>
          <w:p w14:paraId="14C46BFA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14:paraId="4E6F0D91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+1</w:t>
            </w:r>
          </w:p>
        </w:tc>
        <w:tc>
          <w:tcPr>
            <w:tcW w:w="771" w:type="dxa"/>
            <w:vAlign w:val="center"/>
          </w:tcPr>
          <w:p w14:paraId="156852EA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771" w:type="dxa"/>
            <w:vAlign w:val="center"/>
          </w:tcPr>
          <w:p w14:paraId="5E418950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71" w:type="dxa"/>
            <w:vAlign w:val="center"/>
          </w:tcPr>
          <w:p w14:paraId="133DA5A5" w14:textId="77777777" w:rsidR="00674323" w:rsidRPr="0051481A" w:rsidRDefault="00674323" w:rsidP="00674323">
            <w:pPr>
              <w:widowControl/>
              <w:wordWrap/>
              <w:autoSpaceDE/>
              <w:autoSpaceDN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20"/>
                <w:szCs w:val="20"/>
              </w:rPr>
              <w:t>+1</w:t>
            </w:r>
          </w:p>
        </w:tc>
      </w:tr>
    </w:tbl>
    <w:p w14:paraId="7216105B" w14:textId="77777777" w:rsidR="00674323" w:rsidRDefault="00674323" w:rsidP="00674323">
      <w:pPr>
        <w:spacing w:line="480" w:lineRule="auto"/>
      </w:pPr>
    </w:p>
    <w:p w14:paraId="75F8C46C" w14:textId="77777777" w:rsidR="00674323" w:rsidRDefault="00674323" w:rsidP="00674323">
      <w:pPr>
        <w:spacing w:line="480" w:lineRule="auto"/>
      </w:pPr>
    </w:p>
    <w:p w14:paraId="32E87EEE" w14:textId="77777777" w:rsidR="00674323" w:rsidRDefault="00674323" w:rsidP="00674323">
      <w:pPr>
        <w:spacing w:line="480" w:lineRule="auto"/>
      </w:pPr>
    </w:p>
    <w:p w14:paraId="1FDAE6E1" w14:textId="77777777" w:rsidR="00674323" w:rsidRDefault="00674323" w:rsidP="00674323">
      <w:pPr>
        <w:spacing w:line="480" w:lineRule="auto"/>
      </w:pPr>
    </w:p>
    <w:p w14:paraId="008FCC06" w14:textId="77777777" w:rsidR="00674323" w:rsidRDefault="00674323" w:rsidP="00674323">
      <w:pPr>
        <w:spacing w:line="480" w:lineRule="auto"/>
      </w:pPr>
    </w:p>
    <w:p w14:paraId="278BEC72" w14:textId="77777777" w:rsidR="00674323" w:rsidRDefault="00674323" w:rsidP="00674323">
      <w:pPr>
        <w:spacing w:line="480" w:lineRule="auto"/>
      </w:pPr>
    </w:p>
    <w:p w14:paraId="34162911" w14:textId="58F2EBC2" w:rsidR="00674323" w:rsidRDefault="00674323" w:rsidP="00B44D63">
      <w:pPr>
        <w:spacing w:line="480" w:lineRule="auto"/>
        <w:jc w:val="both"/>
      </w:pPr>
      <w:r w:rsidRPr="00B44D63">
        <w:rPr>
          <w:rFonts w:hint="eastAsia"/>
          <w:b/>
          <w:bCs/>
        </w:rPr>
        <w:lastRenderedPageBreak/>
        <w:t xml:space="preserve">Suppl. </w:t>
      </w:r>
      <w:r w:rsidRPr="00B44D63">
        <w:rPr>
          <w:b/>
          <w:bCs/>
        </w:rPr>
        <w:t>T</w:t>
      </w:r>
      <w:r w:rsidRPr="00B44D63">
        <w:rPr>
          <w:rFonts w:hint="eastAsia"/>
          <w:b/>
          <w:bCs/>
        </w:rPr>
        <w:t>able 2.</w:t>
      </w:r>
      <w:r w:rsidR="00884AC7" w:rsidRPr="00B44D63">
        <w:rPr>
          <w:rFonts w:hint="eastAsia"/>
          <w:b/>
          <w:bCs/>
        </w:rPr>
        <w:t xml:space="preserve"> </w:t>
      </w:r>
      <w:r w:rsidR="00884AC7" w:rsidRPr="00B44D63">
        <w:rPr>
          <w:b/>
          <w:bCs/>
        </w:rPr>
        <w:t>Detailed performance metrics for standard single-scale and combined-scale Raman models.</w:t>
      </w:r>
      <w:r w:rsidR="00884AC7">
        <w:rPr>
          <w:rFonts w:hint="eastAsia"/>
        </w:rPr>
        <w:t xml:space="preserve"> </w:t>
      </w:r>
      <w:r w:rsidR="00884AC7" w:rsidRPr="00884AC7">
        <w:t xml:space="preserve">Comprehensive overview of internal and external validation metrics, including latent variables (LV), R², Q², </w:t>
      </w:r>
      <w:proofErr w:type="spellStart"/>
      <w:r w:rsidR="00884AC7" w:rsidRPr="00884AC7">
        <w:t>RMSEcv</w:t>
      </w:r>
      <w:proofErr w:type="spellEnd"/>
      <w:r w:rsidR="00884AC7" w:rsidRPr="00884AC7">
        <w:t>, RMSEP, and mean bias error of prediction (MBEP). The table contrasts the standard single-scale models with the combined-scale models across eight target variables, quantifying the reduction in prediction errors and biases achieved through the combined modeling approach.</w:t>
      </w:r>
    </w:p>
    <w:tbl>
      <w:tblPr>
        <w:tblStyle w:val="10"/>
        <w:tblW w:w="13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 w:rsidR="00674323" w:rsidRPr="0077129B" w14:paraId="00EB84F0" w14:textId="77777777" w:rsidTr="00884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noWrap/>
            <w:vAlign w:val="center"/>
          </w:tcPr>
          <w:p w14:paraId="29DB1941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single" w:sz="8" w:space="0" w:color="auto"/>
            </w:tcBorders>
            <w:vAlign w:val="center"/>
          </w:tcPr>
          <w:p w14:paraId="5564A495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17"/>
                <w:szCs w:val="17"/>
              </w:rPr>
            </w:pPr>
            <w:proofErr w:type="spellStart"/>
            <w:r w:rsidRPr="0077129B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Std.single</w:t>
            </w:r>
            <w:proofErr w:type="spellEnd"/>
          </w:p>
        </w:tc>
        <w:tc>
          <w:tcPr>
            <w:tcW w:w="897" w:type="dxa"/>
            <w:tcBorders>
              <w:bottom w:val="single" w:sz="8" w:space="0" w:color="auto"/>
            </w:tcBorders>
            <w:vAlign w:val="center"/>
          </w:tcPr>
          <w:p w14:paraId="110ADD65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 w:val="0"/>
                <w:bCs w:val="0"/>
                <w:color w:val="000000"/>
                <w:kern w:val="0"/>
                <w:sz w:val="17"/>
                <w:szCs w:val="17"/>
              </w:rPr>
            </w:pPr>
            <w:r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c</w:t>
            </w:r>
            <w:r w:rsidRPr="0077129B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ombined</w:t>
            </w:r>
          </w:p>
        </w:tc>
        <w:tc>
          <w:tcPr>
            <w:tcW w:w="897" w:type="dxa"/>
            <w:tcBorders>
              <w:bottom w:val="single" w:sz="8" w:space="0" w:color="auto"/>
            </w:tcBorders>
            <w:noWrap/>
            <w:vAlign w:val="center"/>
          </w:tcPr>
          <w:p w14:paraId="68DC296E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 w:rsidRPr="0077129B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Std.single</w:t>
            </w:r>
            <w:proofErr w:type="spellEnd"/>
          </w:p>
        </w:tc>
        <w:tc>
          <w:tcPr>
            <w:tcW w:w="897" w:type="dxa"/>
            <w:tcBorders>
              <w:bottom w:val="single" w:sz="8" w:space="0" w:color="auto"/>
            </w:tcBorders>
            <w:vAlign w:val="center"/>
          </w:tcPr>
          <w:p w14:paraId="612E5493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c</w:t>
            </w:r>
            <w:r w:rsidRPr="0077129B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ombined</w:t>
            </w:r>
          </w:p>
        </w:tc>
        <w:tc>
          <w:tcPr>
            <w:tcW w:w="897" w:type="dxa"/>
            <w:tcBorders>
              <w:bottom w:val="single" w:sz="8" w:space="0" w:color="auto"/>
            </w:tcBorders>
            <w:noWrap/>
            <w:vAlign w:val="center"/>
          </w:tcPr>
          <w:p w14:paraId="496F6FA8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 w:rsidRPr="0077129B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Std.single</w:t>
            </w:r>
            <w:proofErr w:type="spellEnd"/>
          </w:p>
        </w:tc>
        <w:tc>
          <w:tcPr>
            <w:tcW w:w="897" w:type="dxa"/>
            <w:tcBorders>
              <w:bottom w:val="single" w:sz="8" w:space="0" w:color="auto"/>
            </w:tcBorders>
            <w:vAlign w:val="center"/>
          </w:tcPr>
          <w:p w14:paraId="531B5B38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c</w:t>
            </w:r>
            <w:r w:rsidRPr="0077129B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ombined</w:t>
            </w:r>
          </w:p>
        </w:tc>
        <w:tc>
          <w:tcPr>
            <w:tcW w:w="897" w:type="dxa"/>
            <w:tcBorders>
              <w:bottom w:val="single" w:sz="8" w:space="0" w:color="auto"/>
            </w:tcBorders>
            <w:noWrap/>
            <w:vAlign w:val="center"/>
          </w:tcPr>
          <w:p w14:paraId="5B874F5B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 w:rsidRPr="0077129B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Std.single</w:t>
            </w:r>
            <w:proofErr w:type="spellEnd"/>
          </w:p>
        </w:tc>
        <w:tc>
          <w:tcPr>
            <w:tcW w:w="897" w:type="dxa"/>
            <w:tcBorders>
              <w:bottom w:val="single" w:sz="8" w:space="0" w:color="auto"/>
            </w:tcBorders>
            <w:vAlign w:val="center"/>
          </w:tcPr>
          <w:p w14:paraId="70FC31FE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c</w:t>
            </w:r>
            <w:r w:rsidRPr="0077129B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ombined</w:t>
            </w:r>
          </w:p>
        </w:tc>
        <w:tc>
          <w:tcPr>
            <w:tcW w:w="897" w:type="dxa"/>
            <w:tcBorders>
              <w:bottom w:val="single" w:sz="8" w:space="0" w:color="auto"/>
            </w:tcBorders>
            <w:noWrap/>
            <w:vAlign w:val="center"/>
          </w:tcPr>
          <w:p w14:paraId="1616D89C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 w:rsidRPr="0077129B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Std.single</w:t>
            </w:r>
            <w:proofErr w:type="spellEnd"/>
          </w:p>
        </w:tc>
        <w:tc>
          <w:tcPr>
            <w:tcW w:w="897" w:type="dxa"/>
            <w:tcBorders>
              <w:bottom w:val="single" w:sz="8" w:space="0" w:color="auto"/>
            </w:tcBorders>
            <w:vAlign w:val="center"/>
          </w:tcPr>
          <w:p w14:paraId="05808B8D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c</w:t>
            </w:r>
            <w:r w:rsidRPr="0077129B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ombined</w:t>
            </w:r>
          </w:p>
        </w:tc>
        <w:tc>
          <w:tcPr>
            <w:tcW w:w="897" w:type="dxa"/>
            <w:tcBorders>
              <w:bottom w:val="single" w:sz="8" w:space="0" w:color="auto"/>
            </w:tcBorders>
            <w:noWrap/>
            <w:vAlign w:val="center"/>
          </w:tcPr>
          <w:p w14:paraId="2F766083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 w:rsidRPr="0077129B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Std.single</w:t>
            </w:r>
            <w:proofErr w:type="spellEnd"/>
          </w:p>
        </w:tc>
        <w:tc>
          <w:tcPr>
            <w:tcW w:w="897" w:type="dxa"/>
            <w:tcBorders>
              <w:bottom w:val="single" w:sz="8" w:space="0" w:color="auto"/>
            </w:tcBorders>
            <w:vAlign w:val="center"/>
          </w:tcPr>
          <w:p w14:paraId="6B615595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c</w:t>
            </w:r>
            <w:r w:rsidRPr="0077129B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ombined</w:t>
            </w:r>
          </w:p>
        </w:tc>
        <w:tc>
          <w:tcPr>
            <w:tcW w:w="897" w:type="dxa"/>
            <w:tcBorders>
              <w:bottom w:val="single" w:sz="8" w:space="0" w:color="auto"/>
            </w:tcBorders>
            <w:vAlign w:val="center"/>
          </w:tcPr>
          <w:p w14:paraId="101D26B9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 w:rsidRPr="0077129B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Std.single</w:t>
            </w:r>
            <w:proofErr w:type="spellEnd"/>
          </w:p>
        </w:tc>
        <w:tc>
          <w:tcPr>
            <w:tcW w:w="897" w:type="dxa"/>
            <w:tcBorders>
              <w:bottom w:val="single" w:sz="8" w:space="0" w:color="auto"/>
            </w:tcBorders>
            <w:vAlign w:val="center"/>
          </w:tcPr>
          <w:p w14:paraId="496348C5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c</w:t>
            </w:r>
            <w:r w:rsidRPr="0077129B">
              <w:rPr>
                <w:rFonts w:eastAsia="맑은 고딕" w:cs="Times New Roman" w:hint="eastAsia"/>
                <w:b w:val="0"/>
                <w:bCs w:val="0"/>
                <w:color w:val="000000"/>
                <w:kern w:val="0"/>
                <w:sz w:val="17"/>
                <w:szCs w:val="17"/>
              </w:rPr>
              <w:t>ombined</w:t>
            </w:r>
          </w:p>
        </w:tc>
      </w:tr>
      <w:tr w:rsidR="00674323" w:rsidRPr="0077129B" w14:paraId="710EAE66" w14:textId="77777777" w:rsidTr="00884A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noWrap/>
            <w:vAlign w:val="center"/>
            <w:hideMark/>
          </w:tcPr>
          <w:p w14:paraId="665796B8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auto"/>
            </w:tcBorders>
            <w:vAlign w:val="center"/>
          </w:tcPr>
          <w:p w14:paraId="493DFF24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</w:tcBorders>
            <w:noWrap/>
            <w:vAlign w:val="center"/>
            <w:hideMark/>
          </w:tcPr>
          <w:p w14:paraId="6A71D567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LV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</w:tcBorders>
            <w:noWrap/>
            <w:vAlign w:val="center"/>
            <w:hideMark/>
          </w:tcPr>
          <w:p w14:paraId="2C14BBA4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R</w:t>
            </w: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</w:tcBorders>
            <w:noWrap/>
            <w:vAlign w:val="center"/>
            <w:hideMark/>
          </w:tcPr>
          <w:p w14:paraId="326F59A5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Q</w:t>
            </w: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</w:tcBorders>
            <w:noWrap/>
            <w:vAlign w:val="center"/>
            <w:hideMark/>
          </w:tcPr>
          <w:p w14:paraId="74CEEB53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RMSEcv</w:t>
            </w:r>
            <w:proofErr w:type="spellEnd"/>
            <w:r>
              <w:rPr>
                <w:rFonts w:eastAsia="맑은 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(%)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</w:tcBorders>
            <w:noWrap/>
            <w:vAlign w:val="center"/>
            <w:hideMark/>
          </w:tcPr>
          <w:p w14:paraId="4126CDEE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RMSEP</w:t>
            </w:r>
            <w:r>
              <w:rPr>
                <w:rFonts w:eastAsia="맑은 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(%)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</w:tcBorders>
            <w:vAlign w:val="center"/>
          </w:tcPr>
          <w:p w14:paraId="08B70A31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 w:hint="eastAsia"/>
                <w:color w:val="000000"/>
                <w:kern w:val="0"/>
                <w:sz w:val="18"/>
                <w:szCs w:val="18"/>
              </w:rPr>
              <w:t>MBEP</w:t>
            </w:r>
          </w:p>
        </w:tc>
      </w:tr>
      <w:tr w:rsidR="00674323" w:rsidRPr="0077129B" w14:paraId="745CB844" w14:textId="77777777" w:rsidTr="00884A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14:paraId="5B456C86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VCD</w:t>
            </w:r>
          </w:p>
        </w:tc>
        <w:tc>
          <w:tcPr>
            <w:tcW w:w="897" w:type="dxa"/>
            <w:vAlign w:val="center"/>
          </w:tcPr>
          <w:p w14:paraId="1161390F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897" w:type="dxa"/>
            <w:vAlign w:val="center"/>
          </w:tcPr>
          <w:p w14:paraId="59D6A8E6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897" w:type="dxa"/>
            <w:noWrap/>
            <w:vAlign w:val="center"/>
            <w:hideMark/>
          </w:tcPr>
          <w:p w14:paraId="1B1A5F17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1+2+0</w:t>
            </w:r>
          </w:p>
        </w:tc>
        <w:tc>
          <w:tcPr>
            <w:tcW w:w="897" w:type="dxa"/>
            <w:vAlign w:val="center"/>
          </w:tcPr>
          <w:p w14:paraId="5DBEBF88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1+2+0</w:t>
            </w:r>
          </w:p>
        </w:tc>
        <w:tc>
          <w:tcPr>
            <w:tcW w:w="897" w:type="dxa"/>
            <w:noWrap/>
            <w:vAlign w:val="center"/>
            <w:hideMark/>
          </w:tcPr>
          <w:p w14:paraId="79C6BDDD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897" w:type="dxa"/>
            <w:vAlign w:val="center"/>
          </w:tcPr>
          <w:p w14:paraId="586EB1FB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0.95</w:t>
            </w:r>
          </w:p>
        </w:tc>
        <w:tc>
          <w:tcPr>
            <w:tcW w:w="897" w:type="dxa"/>
            <w:noWrap/>
            <w:vAlign w:val="center"/>
            <w:hideMark/>
          </w:tcPr>
          <w:p w14:paraId="29AEDD33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897" w:type="dxa"/>
            <w:vAlign w:val="center"/>
          </w:tcPr>
          <w:p w14:paraId="3468C066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0.94</w:t>
            </w:r>
          </w:p>
        </w:tc>
        <w:tc>
          <w:tcPr>
            <w:tcW w:w="897" w:type="dxa"/>
            <w:noWrap/>
            <w:vAlign w:val="center"/>
            <w:hideMark/>
          </w:tcPr>
          <w:p w14:paraId="31A9DED9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897" w:type="dxa"/>
            <w:vAlign w:val="center"/>
          </w:tcPr>
          <w:p w14:paraId="5CD703D8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5.9</w:t>
            </w:r>
          </w:p>
        </w:tc>
        <w:tc>
          <w:tcPr>
            <w:tcW w:w="897" w:type="dxa"/>
            <w:noWrap/>
            <w:vAlign w:val="center"/>
            <w:hideMark/>
          </w:tcPr>
          <w:p w14:paraId="3FBB6D94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6.6</w:t>
            </w:r>
          </w:p>
        </w:tc>
        <w:tc>
          <w:tcPr>
            <w:tcW w:w="897" w:type="dxa"/>
            <w:vAlign w:val="center"/>
          </w:tcPr>
          <w:p w14:paraId="1467A720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5.9</w:t>
            </w:r>
          </w:p>
        </w:tc>
        <w:tc>
          <w:tcPr>
            <w:tcW w:w="897" w:type="dxa"/>
            <w:vAlign w:val="center"/>
          </w:tcPr>
          <w:p w14:paraId="678340BA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4D7F90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-0.0245</w:t>
            </w:r>
          </w:p>
        </w:tc>
        <w:tc>
          <w:tcPr>
            <w:tcW w:w="897" w:type="dxa"/>
            <w:vAlign w:val="center"/>
          </w:tcPr>
          <w:p w14:paraId="31571210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18"/>
                <w:szCs w:val="18"/>
              </w:rPr>
              <w:t>N/A</w:t>
            </w:r>
          </w:p>
        </w:tc>
      </w:tr>
      <w:tr w:rsidR="00674323" w:rsidRPr="0077129B" w14:paraId="57E1C0CA" w14:textId="77777777" w:rsidTr="00884A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14:paraId="2415FB58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Viability</w:t>
            </w:r>
          </w:p>
        </w:tc>
        <w:tc>
          <w:tcPr>
            <w:tcW w:w="897" w:type="dxa"/>
            <w:vAlign w:val="center"/>
          </w:tcPr>
          <w:p w14:paraId="7A583582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897" w:type="dxa"/>
            <w:vAlign w:val="center"/>
          </w:tcPr>
          <w:p w14:paraId="2509B490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897" w:type="dxa"/>
            <w:noWrap/>
            <w:vAlign w:val="center"/>
            <w:hideMark/>
          </w:tcPr>
          <w:p w14:paraId="0060C75E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1+2+0</w:t>
            </w:r>
          </w:p>
        </w:tc>
        <w:tc>
          <w:tcPr>
            <w:tcW w:w="897" w:type="dxa"/>
            <w:vAlign w:val="center"/>
          </w:tcPr>
          <w:p w14:paraId="1BCD0677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1+3+0</w:t>
            </w:r>
          </w:p>
        </w:tc>
        <w:tc>
          <w:tcPr>
            <w:tcW w:w="897" w:type="dxa"/>
            <w:noWrap/>
            <w:vAlign w:val="center"/>
            <w:hideMark/>
          </w:tcPr>
          <w:p w14:paraId="237DC83E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897" w:type="dxa"/>
            <w:vAlign w:val="center"/>
          </w:tcPr>
          <w:p w14:paraId="2B77BF8D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0.80</w:t>
            </w:r>
          </w:p>
        </w:tc>
        <w:tc>
          <w:tcPr>
            <w:tcW w:w="897" w:type="dxa"/>
            <w:noWrap/>
            <w:vAlign w:val="center"/>
            <w:hideMark/>
          </w:tcPr>
          <w:p w14:paraId="2BFC5393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897" w:type="dxa"/>
            <w:vAlign w:val="center"/>
          </w:tcPr>
          <w:p w14:paraId="0A1EEF98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0.76</w:t>
            </w:r>
          </w:p>
        </w:tc>
        <w:tc>
          <w:tcPr>
            <w:tcW w:w="897" w:type="dxa"/>
            <w:noWrap/>
            <w:vAlign w:val="center"/>
            <w:hideMark/>
          </w:tcPr>
          <w:p w14:paraId="5FDA4EBE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6.6</w:t>
            </w:r>
          </w:p>
        </w:tc>
        <w:tc>
          <w:tcPr>
            <w:tcW w:w="897" w:type="dxa"/>
            <w:vAlign w:val="center"/>
          </w:tcPr>
          <w:p w14:paraId="550BB586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4.7</w:t>
            </w:r>
          </w:p>
        </w:tc>
        <w:tc>
          <w:tcPr>
            <w:tcW w:w="897" w:type="dxa"/>
            <w:noWrap/>
            <w:vAlign w:val="center"/>
            <w:hideMark/>
          </w:tcPr>
          <w:p w14:paraId="3D3FC21A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15.8</w:t>
            </w:r>
          </w:p>
        </w:tc>
        <w:tc>
          <w:tcPr>
            <w:tcW w:w="897" w:type="dxa"/>
            <w:vAlign w:val="center"/>
          </w:tcPr>
          <w:p w14:paraId="520632EA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4.4</w:t>
            </w:r>
          </w:p>
        </w:tc>
        <w:tc>
          <w:tcPr>
            <w:tcW w:w="897" w:type="dxa"/>
            <w:vAlign w:val="center"/>
          </w:tcPr>
          <w:p w14:paraId="52DC222F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4D7F90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-0.1330</w:t>
            </w:r>
          </w:p>
        </w:tc>
        <w:tc>
          <w:tcPr>
            <w:tcW w:w="897" w:type="dxa"/>
            <w:vAlign w:val="center"/>
          </w:tcPr>
          <w:p w14:paraId="6218437B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18"/>
                <w:szCs w:val="18"/>
              </w:rPr>
              <w:t>N/A</w:t>
            </w:r>
          </w:p>
        </w:tc>
      </w:tr>
      <w:tr w:rsidR="00674323" w:rsidRPr="0077129B" w14:paraId="4E1BD0CB" w14:textId="77777777" w:rsidTr="00884A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14:paraId="0AADEFEF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Glucose</w:t>
            </w:r>
          </w:p>
        </w:tc>
        <w:tc>
          <w:tcPr>
            <w:tcW w:w="897" w:type="dxa"/>
            <w:vAlign w:val="center"/>
          </w:tcPr>
          <w:p w14:paraId="4DDA628A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897" w:type="dxa"/>
            <w:vAlign w:val="center"/>
          </w:tcPr>
          <w:p w14:paraId="4E03233F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897" w:type="dxa"/>
            <w:noWrap/>
            <w:vAlign w:val="center"/>
            <w:hideMark/>
          </w:tcPr>
          <w:p w14:paraId="696BFCEE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1+2+0</w:t>
            </w:r>
          </w:p>
        </w:tc>
        <w:tc>
          <w:tcPr>
            <w:tcW w:w="897" w:type="dxa"/>
            <w:vAlign w:val="center"/>
          </w:tcPr>
          <w:p w14:paraId="6ED31684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1+3+0</w:t>
            </w:r>
          </w:p>
        </w:tc>
        <w:tc>
          <w:tcPr>
            <w:tcW w:w="897" w:type="dxa"/>
            <w:noWrap/>
            <w:vAlign w:val="center"/>
            <w:hideMark/>
          </w:tcPr>
          <w:p w14:paraId="3313C0E9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897" w:type="dxa"/>
            <w:vAlign w:val="center"/>
          </w:tcPr>
          <w:p w14:paraId="17DC8755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0.98</w:t>
            </w:r>
          </w:p>
        </w:tc>
        <w:tc>
          <w:tcPr>
            <w:tcW w:w="897" w:type="dxa"/>
            <w:noWrap/>
            <w:vAlign w:val="center"/>
            <w:hideMark/>
          </w:tcPr>
          <w:p w14:paraId="024095CF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897" w:type="dxa"/>
            <w:vAlign w:val="center"/>
          </w:tcPr>
          <w:p w14:paraId="02BFD615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0.97</w:t>
            </w:r>
          </w:p>
        </w:tc>
        <w:tc>
          <w:tcPr>
            <w:tcW w:w="897" w:type="dxa"/>
            <w:noWrap/>
            <w:vAlign w:val="center"/>
            <w:hideMark/>
          </w:tcPr>
          <w:p w14:paraId="148499BC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4.0</w:t>
            </w:r>
          </w:p>
        </w:tc>
        <w:tc>
          <w:tcPr>
            <w:tcW w:w="897" w:type="dxa"/>
            <w:vAlign w:val="center"/>
          </w:tcPr>
          <w:p w14:paraId="3E0A6AF4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4.2</w:t>
            </w:r>
          </w:p>
        </w:tc>
        <w:tc>
          <w:tcPr>
            <w:tcW w:w="897" w:type="dxa"/>
            <w:noWrap/>
            <w:vAlign w:val="center"/>
            <w:hideMark/>
          </w:tcPr>
          <w:p w14:paraId="30B5E48F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5.3</w:t>
            </w:r>
          </w:p>
        </w:tc>
        <w:tc>
          <w:tcPr>
            <w:tcW w:w="897" w:type="dxa"/>
            <w:vAlign w:val="center"/>
          </w:tcPr>
          <w:p w14:paraId="4D0E0203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4.9</w:t>
            </w:r>
          </w:p>
        </w:tc>
        <w:tc>
          <w:tcPr>
            <w:tcW w:w="897" w:type="dxa"/>
            <w:vAlign w:val="center"/>
          </w:tcPr>
          <w:p w14:paraId="2D70128B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4D7F90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0.0292</w:t>
            </w:r>
          </w:p>
        </w:tc>
        <w:tc>
          <w:tcPr>
            <w:tcW w:w="897" w:type="dxa"/>
            <w:vAlign w:val="center"/>
          </w:tcPr>
          <w:p w14:paraId="3F843616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4D7F90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0.0301</w:t>
            </w:r>
          </w:p>
        </w:tc>
      </w:tr>
      <w:tr w:rsidR="00674323" w:rsidRPr="0077129B" w14:paraId="2F00A4C8" w14:textId="77777777" w:rsidTr="00884A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14:paraId="1C25DDAE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Lactate</w:t>
            </w:r>
          </w:p>
        </w:tc>
        <w:tc>
          <w:tcPr>
            <w:tcW w:w="897" w:type="dxa"/>
            <w:vAlign w:val="center"/>
          </w:tcPr>
          <w:p w14:paraId="73B61F32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897" w:type="dxa"/>
            <w:vAlign w:val="center"/>
          </w:tcPr>
          <w:p w14:paraId="2CD7A9D7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897" w:type="dxa"/>
            <w:noWrap/>
            <w:vAlign w:val="center"/>
            <w:hideMark/>
          </w:tcPr>
          <w:p w14:paraId="689B6D80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1+2+0</w:t>
            </w:r>
          </w:p>
        </w:tc>
        <w:tc>
          <w:tcPr>
            <w:tcW w:w="897" w:type="dxa"/>
            <w:vAlign w:val="center"/>
          </w:tcPr>
          <w:p w14:paraId="2DC4C3E2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1+3+0</w:t>
            </w:r>
          </w:p>
        </w:tc>
        <w:tc>
          <w:tcPr>
            <w:tcW w:w="897" w:type="dxa"/>
            <w:noWrap/>
            <w:vAlign w:val="center"/>
            <w:hideMark/>
          </w:tcPr>
          <w:p w14:paraId="709B7CA8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897" w:type="dxa"/>
            <w:vAlign w:val="center"/>
          </w:tcPr>
          <w:p w14:paraId="180A24C8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0.98</w:t>
            </w:r>
          </w:p>
        </w:tc>
        <w:tc>
          <w:tcPr>
            <w:tcW w:w="897" w:type="dxa"/>
            <w:noWrap/>
            <w:vAlign w:val="center"/>
            <w:hideMark/>
          </w:tcPr>
          <w:p w14:paraId="5831C7EC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897" w:type="dxa"/>
            <w:vAlign w:val="center"/>
          </w:tcPr>
          <w:p w14:paraId="08CF9C94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0.97</w:t>
            </w:r>
          </w:p>
        </w:tc>
        <w:tc>
          <w:tcPr>
            <w:tcW w:w="897" w:type="dxa"/>
            <w:noWrap/>
            <w:vAlign w:val="center"/>
            <w:hideMark/>
          </w:tcPr>
          <w:p w14:paraId="1FB68633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3.4</w:t>
            </w:r>
          </w:p>
        </w:tc>
        <w:tc>
          <w:tcPr>
            <w:tcW w:w="897" w:type="dxa"/>
            <w:vAlign w:val="center"/>
          </w:tcPr>
          <w:p w14:paraId="3847215A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3.9</w:t>
            </w:r>
          </w:p>
        </w:tc>
        <w:tc>
          <w:tcPr>
            <w:tcW w:w="897" w:type="dxa"/>
            <w:noWrap/>
            <w:vAlign w:val="center"/>
            <w:hideMark/>
          </w:tcPr>
          <w:p w14:paraId="1BD756D5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6.4</w:t>
            </w:r>
          </w:p>
        </w:tc>
        <w:tc>
          <w:tcPr>
            <w:tcW w:w="897" w:type="dxa"/>
            <w:vAlign w:val="center"/>
          </w:tcPr>
          <w:p w14:paraId="2F2AFAC1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5.0</w:t>
            </w:r>
          </w:p>
        </w:tc>
        <w:tc>
          <w:tcPr>
            <w:tcW w:w="897" w:type="dxa"/>
            <w:vAlign w:val="center"/>
          </w:tcPr>
          <w:p w14:paraId="1EE27BA2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4D7F90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-0.0001</w:t>
            </w:r>
          </w:p>
        </w:tc>
        <w:tc>
          <w:tcPr>
            <w:tcW w:w="897" w:type="dxa"/>
            <w:vAlign w:val="center"/>
          </w:tcPr>
          <w:p w14:paraId="71ADAE32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4D7F90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0.0169</w:t>
            </w:r>
          </w:p>
        </w:tc>
      </w:tr>
      <w:tr w:rsidR="00674323" w:rsidRPr="0077129B" w14:paraId="0836C435" w14:textId="77777777" w:rsidTr="00884A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14:paraId="46BE66CB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Glutamine</w:t>
            </w:r>
          </w:p>
        </w:tc>
        <w:tc>
          <w:tcPr>
            <w:tcW w:w="897" w:type="dxa"/>
            <w:vAlign w:val="center"/>
          </w:tcPr>
          <w:p w14:paraId="117A674B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897" w:type="dxa"/>
            <w:vAlign w:val="center"/>
          </w:tcPr>
          <w:p w14:paraId="1FD97127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897" w:type="dxa"/>
            <w:noWrap/>
            <w:vAlign w:val="center"/>
            <w:hideMark/>
          </w:tcPr>
          <w:p w14:paraId="73D6B4E4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1+4+0</w:t>
            </w:r>
          </w:p>
        </w:tc>
        <w:tc>
          <w:tcPr>
            <w:tcW w:w="897" w:type="dxa"/>
            <w:vAlign w:val="center"/>
          </w:tcPr>
          <w:p w14:paraId="0EE672DC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1+5+0</w:t>
            </w:r>
          </w:p>
        </w:tc>
        <w:tc>
          <w:tcPr>
            <w:tcW w:w="897" w:type="dxa"/>
            <w:noWrap/>
            <w:vAlign w:val="center"/>
            <w:hideMark/>
          </w:tcPr>
          <w:p w14:paraId="39D12848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897" w:type="dxa"/>
            <w:vAlign w:val="center"/>
          </w:tcPr>
          <w:p w14:paraId="28031B23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0.97</w:t>
            </w:r>
          </w:p>
        </w:tc>
        <w:tc>
          <w:tcPr>
            <w:tcW w:w="897" w:type="dxa"/>
            <w:noWrap/>
            <w:vAlign w:val="center"/>
            <w:hideMark/>
          </w:tcPr>
          <w:p w14:paraId="1A34E469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897" w:type="dxa"/>
            <w:vAlign w:val="center"/>
          </w:tcPr>
          <w:p w14:paraId="7A2B49B0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0.95</w:t>
            </w:r>
          </w:p>
        </w:tc>
        <w:tc>
          <w:tcPr>
            <w:tcW w:w="897" w:type="dxa"/>
            <w:noWrap/>
            <w:vAlign w:val="center"/>
            <w:hideMark/>
          </w:tcPr>
          <w:p w14:paraId="69B6D1F5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8.1</w:t>
            </w:r>
          </w:p>
        </w:tc>
        <w:tc>
          <w:tcPr>
            <w:tcW w:w="897" w:type="dxa"/>
            <w:vAlign w:val="center"/>
          </w:tcPr>
          <w:p w14:paraId="25A188EF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897" w:type="dxa"/>
            <w:noWrap/>
            <w:vAlign w:val="center"/>
            <w:hideMark/>
          </w:tcPr>
          <w:p w14:paraId="410F0600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18.0</w:t>
            </w:r>
          </w:p>
        </w:tc>
        <w:tc>
          <w:tcPr>
            <w:tcW w:w="897" w:type="dxa"/>
            <w:vAlign w:val="center"/>
          </w:tcPr>
          <w:p w14:paraId="78660B48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7.9</w:t>
            </w:r>
          </w:p>
        </w:tc>
        <w:tc>
          <w:tcPr>
            <w:tcW w:w="897" w:type="dxa"/>
            <w:vAlign w:val="center"/>
          </w:tcPr>
          <w:p w14:paraId="7DCBCED3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4D7F90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-0.1618</w:t>
            </w:r>
          </w:p>
        </w:tc>
        <w:tc>
          <w:tcPr>
            <w:tcW w:w="897" w:type="dxa"/>
            <w:vAlign w:val="center"/>
          </w:tcPr>
          <w:p w14:paraId="0ECA76A8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맑은 고딕" w:cs="Times New Roman" w:hint="eastAsia"/>
                <w:color w:val="000000"/>
                <w:kern w:val="0"/>
                <w:sz w:val="18"/>
                <w:szCs w:val="18"/>
              </w:rPr>
              <w:t>N/A</w:t>
            </w:r>
          </w:p>
        </w:tc>
      </w:tr>
      <w:tr w:rsidR="00674323" w:rsidRPr="0077129B" w14:paraId="54FB610C" w14:textId="77777777" w:rsidTr="00884A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14:paraId="3811C912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Glutamate</w:t>
            </w:r>
          </w:p>
        </w:tc>
        <w:tc>
          <w:tcPr>
            <w:tcW w:w="897" w:type="dxa"/>
            <w:vAlign w:val="center"/>
          </w:tcPr>
          <w:p w14:paraId="1D5B8AA3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897" w:type="dxa"/>
            <w:vAlign w:val="center"/>
          </w:tcPr>
          <w:p w14:paraId="5BE2538C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897" w:type="dxa"/>
            <w:noWrap/>
            <w:vAlign w:val="center"/>
            <w:hideMark/>
          </w:tcPr>
          <w:p w14:paraId="14AC14E1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1+3+0</w:t>
            </w:r>
          </w:p>
        </w:tc>
        <w:tc>
          <w:tcPr>
            <w:tcW w:w="897" w:type="dxa"/>
            <w:vAlign w:val="center"/>
          </w:tcPr>
          <w:p w14:paraId="28A9A83F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1+4+0</w:t>
            </w:r>
          </w:p>
        </w:tc>
        <w:tc>
          <w:tcPr>
            <w:tcW w:w="897" w:type="dxa"/>
            <w:noWrap/>
            <w:vAlign w:val="center"/>
            <w:hideMark/>
          </w:tcPr>
          <w:p w14:paraId="0FA84EAF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897" w:type="dxa"/>
            <w:vAlign w:val="center"/>
          </w:tcPr>
          <w:p w14:paraId="46DF423A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0.97</w:t>
            </w:r>
          </w:p>
        </w:tc>
        <w:tc>
          <w:tcPr>
            <w:tcW w:w="897" w:type="dxa"/>
            <w:noWrap/>
            <w:vAlign w:val="center"/>
            <w:hideMark/>
          </w:tcPr>
          <w:p w14:paraId="7DFC7CD0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897" w:type="dxa"/>
            <w:vAlign w:val="center"/>
          </w:tcPr>
          <w:p w14:paraId="5A4D3E48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0.95</w:t>
            </w:r>
          </w:p>
        </w:tc>
        <w:tc>
          <w:tcPr>
            <w:tcW w:w="897" w:type="dxa"/>
            <w:noWrap/>
            <w:vAlign w:val="center"/>
            <w:hideMark/>
          </w:tcPr>
          <w:p w14:paraId="605B40C6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4.3</w:t>
            </w:r>
          </w:p>
        </w:tc>
        <w:tc>
          <w:tcPr>
            <w:tcW w:w="897" w:type="dxa"/>
            <w:vAlign w:val="center"/>
          </w:tcPr>
          <w:p w14:paraId="27D0C5FF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897" w:type="dxa"/>
            <w:noWrap/>
            <w:vAlign w:val="center"/>
            <w:hideMark/>
          </w:tcPr>
          <w:p w14:paraId="0F4887DB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13.5</w:t>
            </w:r>
          </w:p>
        </w:tc>
        <w:tc>
          <w:tcPr>
            <w:tcW w:w="897" w:type="dxa"/>
            <w:vAlign w:val="center"/>
          </w:tcPr>
          <w:p w14:paraId="6C908338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8.4</w:t>
            </w:r>
          </w:p>
        </w:tc>
        <w:tc>
          <w:tcPr>
            <w:tcW w:w="897" w:type="dxa"/>
            <w:vAlign w:val="center"/>
          </w:tcPr>
          <w:p w14:paraId="7F06F10D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4D7F90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0.1160</w:t>
            </w:r>
          </w:p>
        </w:tc>
        <w:tc>
          <w:tcPr>
            <w:tcW w:w="897" w:type="dxa"/>
            <w:vAlign w:val="center"/>
          </w:tcPr>
          <w:p w14:paraId="485A8DB6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4D7F90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-0.0612</w:t>
            </w:r>
          </w:p>
        </w:tc>
      </w:tr>
      <w:tr w:rsidR="00674323" w:rsidRPr="0077129B" w14:paraId="1A8A88F6" w14:textId="77777777" w:rsidTr="00884A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14:paraId="4AC6F2B5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Ammonia</w:t>
            </w:r>
          </w:p>
        </w:tc>
        <w:tc>
          <w:tcPr>
            <w:tcW w:w="897" w:type="dxa"/>
            <w:vAlign w:val="center"/>
          </w:tcPr>
          <w:p w14:paraId="4D59F26E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897" w:type="dxa"/>
            <w:vAlign w:val="center"/>
          </w:tcPr>
          <w:p w14:paraId="0EB6364A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897" w:type="dxa"/>
            <w:noWrap/>
            <w:vAlign w:val="center"/>
            <w:hideMark/>
          </w:tcPr>
          <w:p w14:paraId="7F4D5D91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1+3+0</w:t>
            </w:r>
          </w:p>
        </w:tc>
        <w:tc>
          <w:tcPr>
            <w:tcW w:w="897" w:type="dxa"/>
            <w:vAlign w:val="center"/>
          </w:tcPr>
          <w:p w14:paraId="560B75B7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1+4+0</w:t>
            </w:r>
          </w:p>
        </w:tc>
        <w:tc>
          <w:tcPr>
            <w:tcW w:w="897" w:type="dxa"/>
            <w:noWrap/>
            <w:vAlign w:val="center"/>
            <w:hideMark/>
          </w:tcPr>
          <w:p w14:paraId="10AFD901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897" w:type="dxa"/>
            <w:vAlign w:val="center"/>
          </w:tcPr>
          <w:p w14:paraId="4524C7F1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0.96</w:t>
            </w:r>
          </w:p>
        </w:tc>
        <w:tc>
          <w:tcPr>
            <w:tcW w:w="897" w:type="dxa"/>
            <w:noWrap/>
            <w:vAlign w:val="center"/>
            <w:hideMark/>
          </w:tcPr>
          <w:p w14:paraId="2F173474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897" w:type="dxa"/>
            <w:vAlign w:val="center"/>
          </w:tcPr>
          <w:p w14:paraId="2844200E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0.95</w:t>
            </w:r>
          </w:p>
        </w:tc>
        <w:tc>
          <w:tcPr>
            <w:tcW w:w="897" w:type="dxa"/>
            <w:noWrap/>
            <w:vAlign w:val="center"/>
            <w:hideMark/>
          </w:tcPr>
          <w:p w14:paraId="588E91BA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6.0</w:t>
            </w:r>
          </w:p>
        </w:tc>
        <w:tc>
          <w:tcPr>
            <w:tcW w:w="897" w:type="dxa"/>
            <w:vAlign w:val="center"/>
          </w:tcPr>
          <w:p w14:paraId="707961D6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6.1</w:t>
            </w:r>
          </w:p>
        </w:tc>
        <w:tc>
          <w:tcPr>
            <w:tcW w:w="897" w:type="dxa"/>
            <w:noWrap/>
            <w:vAlign w:val="center"/>
            <w:hideMark/>
          </w:tcPr>
          <w:p w14:paraId="7BAB43B4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10.7</w:t>
            </w:r>
          </w:p>
        </w:tc>
        <w:tc>
          <w:tcPr>
            <w:tcW w:w="897" w:type="dxa"/>
            <w:vAlign w:val="center"/>
          </w:tcPr>
          <w:p w14:paraId="74513F0F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8.9</w:t>
            </w:r>
          </w:p>
        </w:tc>
        <w:tc>
          <w:tcPr>
            <w:tcW w:w="897" w:type="dxa"/>
            <w:vAlign w:val="center"/>
          </w:tcPr>
          <w:p w14:paraId="6BED073A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4D7F90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-0.0698</w:t>
            </w:r>
          </w:p>
        </w:tc>
        <w:tc>
          <w:tcPr>
            <w:tcW w:w="897" w:type="dxa"/>
            <w:vAlign w:val="center"/>
          </w:tcPr>
          <w:p w14:paraId="7F3B21BF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4D7F90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-0.0407</w:t>
            </w:r>
          </w:p>
        </w:tc>
      </w:tr>
      <w:tr w:rsidR="00674323" w:rsidRPr="0077129B" w14:paraId="0A2F1414" w14:textId="77777777" w:rsidTr="00884A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14:paraId="4FB5007C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LDH</w:t>
            </w:r>
          </w:p>
        </w:tc>
        <w:tc>
          <w:tcPr>
            <w:tcW w:w="897" w:type="dxa"/>
            <w:vAlign w:val="center"/>
          </w:tcPr>
          <w:p w14:paraId="6DE07AF2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897" w:type="dxa"/>
            <w:vAlign w:val="center"/>
          </w:tcPr>
          <w:p w14:paraId="57D99750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897" w:type="dxa"/>
            <w:noWrap/>
            <w:vAlign w:val="center"/>
            <w:hideMark/>
          </w:tcPr>
          <w:p w14:paraId="518ECC93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1+2+0</w:t>
            </w:r>
          </w:p>
        </w:tc>
        <w:tc>
          <w:tcPr>
            <w:tcW w:w="897" w:type="dxa"/>
            <w:vAlign w:val="center"/>
          </w:tcPr>
          <w:p w14:paraId="6E4B0E8C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1+2+0</w:t>
            </w:r>
          </w:p>
        </w:tc>
        <w:tc>
          <w:tcPr>
            <w:tcW w:w="897" w:type="dxa"/>
            <w:noWrap/>
            <w:vAlign w:val="center"/>
            <w:hideMark/>
          </w:tcPr>
          <w:p w14:paraId="507A0752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897" w:type="dxa"/>
            <w:vAlign w:val="center"/>
          </w:tcPr>
          <w:p w14:paraId="7477B55E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0.91</w:t>
            </w:r>
          </w:p>
        </w:tc>
        <w:tc>
          <w:tcPr>
            <w:tcW w:w="897" w:type="dxa"/>
            <w:noWrap/>
            <w:vAlign w:val="center"/>
            <w:hideMark/>
          </w:tcPr>
          <w:p w14:paraId="2F75DC86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897" w:type="dxa"/>
            <w:vAlign w:val="center"/>
          </w:tcPr>
          <w:p w14:paraId="5799C071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0.90</w:t>
            </w:r>
          </w:p>
        </w:tc>
        <w:tc>
          <w:tcPr>
            <w:tcW w:w="897" w:type="dxa"/>
            <w:noWrap/>
            <w:vAlign w:val="center"/>
            <w:hideMark/>
          </w:tcPr>
          <w:p w14:paraId="40789EFE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5.9</w:t>
            </w:r>
          </w:p>
        </w:tc>
        <w:tc>
          <w:tcPr>
            <w:tcW w:w="897" w:type="dxa"/>
            <w:vAlign w:val="center"/>
          </w:tcPr>
          <w:p w14:paraId="6E785E59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5.4</w:t>
            </w:r>
          </w:p>
        </w:tc>
        <w:tc>
          <w:tcPr>
            <w:tcW w:w="897" w:type="dxa"/>
            <w:noWrap/>
            <w:vAlign w:val="center"/>
            <w:hideMark/>
          </w:tcPr>
          <w:p w14:paraId="1AC861A3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77129B"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  <w:t>10.7</w:t>
            </w:r>
          </w:p>
        </w:tc>
        <w:tc>
          <w:tcPr>
            <w:tcW w:w="897" w:type="dxa"/>
            <w:vAlign w:val="center"/>
          </w:tcPr>
          <w:p w14:paraId="145673DF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2F3D57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5.8</w:t>
            </w:r>
          </w:p>
        </w:tc>
        <w:tc>
          <w:tcPr>
            <w:tcW w:w="897" w:type="dxa"/>
            <w:vAlign w:val="center"/>
          </w:tcPr>
          <w:p w14:paraId="53A7FAB1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4D7F90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0.0882</w:t>
            </w:r>
          </w:p>
        </w:tc>
        <w:tc>
          <w:tcPr>
            <w:tcW w:w="897" w:type="dxa"/>
            <w:vAlign w:val="center"/>
          </w:tcPr>
          <w:p w14:paraId="6E49397B" w14:textId="77777777" w:rsidR="00674323" w:rsidRPr="0077129B" w:rsidRDefault="00674323" w:rsidP="00884AC7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cs="Times New Roman"/>
                <w:color w:val="000000"/>
                <w:kern w:val="0"/>
                <w:sz w:val="18"/>
                <w:szCs w:val="18"/>
              </w:rPr>
            </w:pPr>
            <w:r w:rsidRPr="004D7F90">
              <w:rPr>
                <w:rFonts w:eastAsia="맑은 고딕" w:cs="Times New Roman"/>
                <w:color w:val="000000"/>
                <w:kern w:val="0"/>
                <w:sz w:val="20"/>
                <w:szCs w:val="20"/>
              </w:rPr>
              <w:t>-0.0381</w:t>
            </w:r>
          </w:p>
        </w:tc>
      </w:tr>
    </w:tbl>
    <w:p w14:paraId="46A50E46" w14:textId="77777777" w:rsidR="00674323" w:rsidRDefault="00674323" w:rsidP="00674323">
      <w:pPr>
        <w:spacing w:line="480" w:lineRule="auto"/>
      </w:pPr>
    </w:p>
    <w:p w14:paraId="030DC009" w14:textId="77777777" w:rsidR="00674323" w:rsidRDefault="00674323" w:rsidP="00674323">
      <w:pPr>
        <w:spacing w:line="480" w:lineRule="auto"/>
      </w:pPr>
    </w:p>
    <w:p w14:paraId="498EFDF3" w14:textId="77777777" w:rsidR="00674323" w:rsidRDefault="00674323" w:rsidP="00674323">
      <w:pPr>
        <w:spacing w:line="480" w:lineRule="auto"/>
      </w:pPr>
    </w:p>
    <w:p w14:paraId="575CD5F2" w14:textId="77777777" w:rsidR="00674323" w:rsidRDefault="00674323" w:rsidP="00674323">
      <w:pPr>
        <w:spacing w:line="480" w:lineRule="auto"/>
        <w:rPr>
          <w:rFonts w:hint="eastAsia"/>
        </w:rPr>
      </w:pPr>
    </w:p>
    <w:p w14:paraId="4482C695" w14:textId="4CF4451E" w:rsidR="00674323" w:rsidRDefault="00674323" w:rsidP="00674323">
      <w:pPr>
        <w:spacing w:line="480" w:lineRule="auto"/>
        <w:jc w:val="center"/>
      </w:pPr>
      <w:r>
        <w:rPr>
          <w:rFonts w:cs="Times New Roman"/>
          <w:b/>
          <w:bCs/>
          <w:noProof/>
          <w:szCs w:val="22"/>
        </w:rPr>
        <w:lastRenderedPageBreak/>
        <w:drawing>
          <wp:inline distT="0" distB="0" distL="0" distR="0" wp14:anchorId="520C70DB" wp14:editId="42525D0C">
            <wp:extent cx="2949934" cy="3931830"/>
            <wp:effectExtent l="0" t="0" r="3175" b="0"/>
            <wp:docPr id="80368137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659" cy="395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BC778" w14:textId="1349F30F" w:rsidR="00674323" w:rsidRPr="00674323" w:rsidRDefault="00674323" w:rsidP="0029093D">
      <w:pPr>
        <w:spacing w:line="480" w:lineRule="auto"/>
        <w:jc w:val="both"/>
        <w:rPr>
          <w:rFonts w:cs="Times New Roman" w:hint="eastAsia"/>
          <w:b/>
          <w:bCs/>
          <w:szCs w:val="22"/>
        </w:rPr>
      </w:pPr>
      <w:r w:rsidRPr="00674323">
        <w:rPr>
          <w:rFonts w:hint="eastAsia"/>
          <w:b/>
          <w:bCs/>
        </w:rPr>
        <w:t>Suppl. Figure 1</w:t>
      </w:r>
      <w:r w:rsidRPr="0029093D">
        <w:rPr>
          <w:rFonts w:hint="eastAsia"/>
          <w:b/>
          <w:bCs/>
        </w:rPr>
        <w:t xml:space="preserve">. </w:t>
      </w:r>
      <w:r w:rsidR="0029093D" w:rsidRPr="0029093D">
        <w:rPr>
          <w:b/>
          <w:bCs/>
        </w:rPr>
        <w:t>Workflow of the standardized Raman spectral data preprocessing and quality control.</w:t>
      </w:r>
      <w:r w:rsidR="0029093D">
        <w:rPr>
          <w:rFonts w:hint="eastAsia"/>
        </w:rPr>
        <w:t xml:space="preserve"> </w:t>
      </w:r>
      <w:r w:rsidR="0029093D" w:rsidRPr="0029093D">
        <w:t>Step-by-step schematic of the preprocessing workflow applied to the raw Raman spectra. Prior to baseline correction and normalization, all acquired spectra underwent a standardized quality control procedure to identify and remove cosmic spikes and other pronounced spectral artifacts that are unrelated to chemical composition.</w:t>
      </w:r>
    </w:p>
    <w:p w14:paraId="1720F017" w14:textId="77777777" w:rsidR="00674323" w:rsidRDefault="00674323" w:rsidP="00674323">
      <w:pPr>
        <w:spacing w:line="480" w:lineRule="auto"/>
        <w:rPr>
          <w:rFonts w:hint="eastAsia"/>
        </w:rPr>
      </w:pPr>
    </w:p>
    <w:p w14:paraId="7FEC6B16" w14:textId="7B9C9222" w:rsidR="00674323" w:rsidRDefault="00674323" w:rsidP="00674323">
      <w:pPr>
        <w:spacing w:line="480" w:lineRule="auto"/>
        <w:jc w:val="center"/>
      </w:pPr>
      <w:r>
        <w:rPr>
          <w:rFonts w:cs="Times New Roman"/>
          <w:b/>
          <w:bCs/>
          <w:noProof/>
          <w:szCs w:val="22"/>
        </w:rPr>
        <w:lastRenderedPageBreak/>
        <w:drawing>
          <wp:inline distT="0" distB="0" distL="0" distR="0" wp14:anchorId="409F1538" wp14:editId="31FDCA5B">
            <wp:extent cx="5725160" cy="3601720"/>
            <wp:effectExtent l="0" t="0" r="8890" b="0"/>
            <wp:docPr id="2005220421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F8018" w14:textId="128A9F53" w:rsidR="00674323" w:rsidRPr="00674323" w:rsidRDefault="00674323" w:rsidP="00525894">
      <w:pPr>
        <w:spacing w:line="480" w:lineRule="auto"/>
        <w:jc w:val="both"/>
      </w:pPr>
      <w:r w:rsidRPr="00C11EE7">
        <w:rPr>
          <w:rFonts w:hint="eastAsia"/>
          <w:b/>
          <w:bCs/>
        </w:rPr>
        <w:t>Suppl. Figure 2.</w:t>
      </w:r>
      <w:r w:rsidR="00C11EE7">
        <w:rPr>
          <w:rFonts w:hint="eastAsia"/>
        </w:rPr>
        <w:t xml:space="preserve"> </w:t>
      </w:r>
      <w:r w:rsidR="00C11EE7" w:rsidRPr="00525894">
        <w:rPr>
          <w:rFonts w:cs="Times New Roman"/>
          <w:b/>
          <w:bCs/>
          <w:szCs w:val="22"/>
        </w:rPr>
        <w:t>Raw Raman spectra from Ambr® 250 and bench-scale bioreactors.</w:t>
      </w:r>
      <w:r w:rsidR="00C11EE7">
        <w:rPr>
          <w:rFonts w:cs="Times New Roman" w:hint="eastAsia"/>
          <w:b/>
          <w:bCs/>
          <w:szCs w:val="22"/>
        </w:rPr>
        <w:t xml:space="preserve"> </w:t>
      </w:r>
      <w:r w:rsidR="00525894" w:rsidRPr="00525894">
        <w:rPr>
          <w:rFonts w:cs="Times New Roman"/>
          <w:szCs w:val="22"/>
        </w:rPr>
        <w:t>Raw Raman spectra acquired from the Ambr® 250 high-throughput system (blue lines) and the bench-scale bioreactors (green lines). The spectral overlay reveals distinct differences in baseline levels, fluorescence background, and overall signal intensity between the two systems. These variations represent the cross-condition challenge inherently present during model transfer, underscoring the necessity for robust spectral preprocessing.</w:t>
      </w:r>
    </w:p>
    <w:sectPr w:rsidR="00674323" w:rsidRPr="00674323" w:rsidSect="00674323">
      <w:pgSz w:w="16838" w:h="11906" w:orient="landscape"/>
      <w:pgMar w:top="1440" w:right="1701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7793" w14:textId="77777777" w:rsidR="00160E5D" w:rsidRDefault="00160E5D" w:rsidP="008573EE">
      <w:pPr>
        <w:spacing w:after="0"/>
      </w:pPr>
      <w:r>
        <w:separator/>
      </w:r>
    </w:p>
  </w:endnote>
  <w:endnote w:type="continuationSeparator" w:id="0">
    <w:p w14:paraId="56A2E4A5" w14:textId="77777777" w:rsidR="00160E5D" w:rsidRDefault="00160E5D" w:rsidP="008573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97DE" w14:textId="77777777" w:rsidR="00160E5D" w:rsidRDefault="00160E5D" w:rsidP="008573EE">
      <w:pPr>
        <w:spacing w:after="0"/>
      </w:pPr>
      <w:r>
        <w:separator/>
      </w:r>
    </w:p>
  </w:footnote>
  <w:footnote w:type="continuationSeparator" w:id="0">
    <w:p w14:paraId="26FFBDB0" w14:textId="77777777" w:rsidR="00160E5D" w:rsidRDefault="00160E5D" w:rsidP="008573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23"/>
    <w:rsid w:val="0000509E"/>
    <w:rsid w:val="00160E5D"/>
    <w:rsid w:val="001D0666"/>
    <w:rsid w:val="0029093D"/>
    <w:rsid w:val="00525894"/>
    <w:rsid w:val="00674323"/>
    <w:rsid w:val="008573EE"/>
    <w:rsid w:val="00884AC7"/>
    <w:rsid w:val="00A338A3"/>
    <w:rsid w:val="00AC4DE9"/>
    <w:rsid w:val="00B44D63"/>
    <w:rsid w:val="00C11EE7"/>
    <w:rsid w:val="00C72DC3"/>
    <w:rsid w:val="00C97ACB"/>
    <w:rsid w:val="00C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E1157"/>
  <w15:chartTrackingRefBased/>
  <w15:docId w15:val="{C1AEE1CE-DAAB-4C5F-A4D2-E7BF640E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323"/>
    <w:pPr>
      <w:widowControl w:val="0"/>
      <w:wordWrap w:val="0"/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6743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4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4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43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43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43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43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43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43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743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743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743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74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74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74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74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74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743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743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74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4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74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4323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743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4323"/>
    <w:pPr>
      <w:ind w:left="720"/>
      <w:contextualSpacing/>
    </w:pPr>
    <w:rPr>
      <w:rFonts w:asciiTheme="minorHAnsi" w:hAnsiTheme="minorHAnsi"/>
    </w:rPr>
  </w:style>
  <w:style w:type="character" w:styleId="a7">
    <w:name w:val="Intense Emphasis"/>
    <w:basedOn w:val="a0"/>
    <w:uiPriority w:val="21"/>
    <w:qFormat/>
    <w:rsid w:val="006743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4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743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74323"/>
    <w:rPr>
      <w:b/>
      <w:bCs/>
      <w:smallCaps/>
      <w:color w:val="0F4761" w:themeColor="accent1" w:themeShade="BF"/>
      <w:spacing w:val="5"/>
    </w:rPr>
  </w:style>
  <w:style w:type="table" w:styleId="10">
    <w:name w:val="Grid Table 1 Light"/>
    <w:basedOn w:val="a1"/>
    <w:uiPriority w:val="46"/>
    <w:rsid w:val="0067432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line number"/>
    <w:basedOn w:val="a0"/>
    <w:uiPriority w:val="99"/>
    <w:semiHidden/>
    <w:unhideWhenUsed/>
    <w:rsid w:val="00674323"/>
  </w:style>
  <w:style w:type="paragraph" w:styleId="ab">
    <w:name w:val="header"/>
    <w:basedOn w:val="a"/>
    <w:link w:val="Char3"/>
    <w:uiPriority w:val="99"/>
    <w:unhideWhenUsed/>
    <w:rsid w:val="008573E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8573EE"/>
    <w:rPr>
      <w:rFonts w:ascii="Times New Roman" w:hAnsi="Times New Roman"/>
    </w:rPr>
  </w:style>
  <w:style w:type="paragraph" w:styleId="ac">
    <w:name w:val="footer"/>
    <w:basedOn w:val="a"/>
    <w:link w:val="Char4"/>
    <w:uiPriority w:val="99"/>
    <w:unhideWhenUsed/>
    <w:rsid w:val="008573E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8573E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1b606f-8ca3-42c4-a71b-75a96c7841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675615F48FE7040BC7FF26621012636" ma:contentTypeVersion="9" ma:contentTypeDescription="새 문서를 만듭니다." ma:contentTypeScope="" ma:versionID="d02dde0fa3a350461db3a6a0056eec30">
  <xsd:schema xmlns:xsd="http://www.w3.org/2001/XMLSchema" xmlns:xs="http://www.w3.org/2001/XMLSchema" xmlns:p="http://schemas.microsoft.com/office/2006/metadata/properties" xmlns:ns2="1e1b606f-8ca3-42c4-a71b-75a96c784107" targetNamespace="http://schemas.microsoft.com/office/2006/metadata/properties" ma:root="true" ma:fieldsID="9510323cf122e697a1d2780d0ba06204" ns2:_="">
    <xsd:import namespace="1e1b606f-8ca3-42c4-a71b-75a96c78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06f-8ca3-42c4-a71b-75a96c784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443a4e8f-5f1e-42e5-b319-b6df23f6bd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4EE99-A2BB-4FB7-8A21-93E170EE3C1D}">
  <ds:schemaRefs>
    <ds:schemaRef ds:uri="http://schemas.microsoft.com/office/2006/metadata/properties"/>
    <ds:schemaRef ds:uri="http://schemas.microsoft.com/office/infopath/2007/PartnerControls"/>
    <ds:schemaRef ds:uri="1e1b606f-8ca3-42c4-a71b-75a96c784107"/>
  </ds:schemaRefs>
</ds:datastoreItem>
</file>

<file path=customXml/itemProps2.xml><?xml version="1.0" encoding="utf-8"?>
<ds:datastoreItem xmlns:ds="http://schemas.openxmlformats.org/officeDocument/2006/customXml" ds:itemID="{67C5B4AB-6AC7-4EC1-8B8D-618759D53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A54B3-D667-4C4C-A0D5-9C3F3DE06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06f-8ca3-42c4-a71b-75a96c78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한성혁 (Sung-hyuk Han)</dc:creator>
  <cp:keywords/>
  <dc:description/>
  <cp:lastModifiedBy>한성혁 (Sung-hyuk Han)</cp:lastModifiedBy>
  <cp:revision>10</cp:revision>
  <dcterms:created xsi:type="dcterms:W3CDTF">2026-03-16T07:03:00Z</dcterms:created>
  <dcterms:modified xsi:type="dcterms:W3CDTF">2026-03-17T05:33:00Z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0x0101002675615F48FE7040BC7FF26621012636</vt:lpwstr>
  </property>
  <property fmtid="{D5CDD505-2E9C-101B-9397-08002B2CF9AE}" pid="3" name="MediaServiceImageTags">
    <vt:lpwstr/>
  </property>
</Properties>
</file>