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spacing w:before="240" w:after="240" w:line="360" w:lineRule="auto"/>
        <w:rPr>
          <w:rFonts w:hint="default" w:ascii="Times New Roman" w:hAnsi="Times New Roman" w:cs="Times New Roman"/>
          <w:b/>
          <w:bCs/>
          <w:color w:val="000000"/>
          <w:sz w:val="24"/>
          <w:szCs w:val="24"/>
        </w:rPr>
      </w:pPr>
      <w:bookmarkStart w:id="0" w:name="_GoBack"/>
      <w:r>
        <w:rPr>
          <w:rFonts w:hint="default" w:ascii="Times New Roman" w:hAnsi="Times New Roman" w:cs="Times New Roman"/>
          <w:b/>
          <w:bCs/>
          <w:color w:val="000000"/>
          <w:sz w:val="24"/>
          <w:szCs w:val="24"/>
          <w:rtl w:val="0"/>
        </w:rPr>
        <w:t>Appendix S.1. Supplementary Descriptive Results</w:t>
      </w:r>
    </w:p>
    <w:p w14:paraId="00000002">
      <w:pPr>
        <w:spacing w:before="240" w:after="240" w:line="360" w:lineRule="auto"/>
        <w:rPr>
          <w:rFonts w:hint="default" w:ascii="Times New Roman" w:hAnsi="Times New Roman" w:cs="Times New Roman"/>
          <w:b/>
          <w:bCs/>
          <w:i/>
          <w:iCs/>
          <w:sz w:val="24"/>
          <w:szCs w:val="24"/>
        </w:rPr>
      </w:pPr>
      <w:r>
        <w:rPr>
          <w:rFonts w:hint="default" w:ascii="Times New Roman" w:hAnsi="Times New Roman" w:cs="Times New Roman"/>
          <w:b/>
          <w:bCs/>
          <w:i/>
          <w:iCs/>
          <w:sz w:val="24"/>
          <w:szCs w:val="24"/>
          <w:rtl w:val="0"/>
        </w:rPr>
        <w:t>S.1.1 Number of publications by year</w:t>
      </w:r>
    </w:p>
    <w:p w14:paraId="00000003">
      <w:pPr>
        <w:spacing w:before="240" w:after="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Figure S1 shows a clear long-run expansion in sustained competitive advantage (SCA) research. Annual publication output is limited in the early period (1991–2000), typically remaining in the single digits to low teens, but rises steadily during the 2000s, reaching the high teens and low twenties by the end of the decade. A pronounced increase occurs after 2011, when annual publications consistently reach the high twenties and thirties, indicating consolidation and mainstreaming of SCA within strategy and adjacent fields. The series peaks in the mid-2010s (38 publications in 2014), remains relatively high during 2016–2024 despite year-to-year variation (approximately 19–32 articles per year), and reaches a new maximum in 2025 (41 publications), suggesting renewed acceleration and diversification of SCA applications. The final observation (4 publications) most likely reflects partial-year coverage in the dataset and should not be interpreted as a substantive decline.</w:t>
      </w:r>
    </w:p>
    <w:p w14:paraId="00000004">
      <w:pPr>
        <w:keepNext/>
        <w:jc w:val="both"/>
        <w:rPr>
          <w:rFonts w:hint="default" w:ascii="Times New Roman" w:hAnsi="Times New Roman" w:cs="Times New Roman"/>
          <w:sz w:val="24"/>
          <w:szCs w:val="24"/>
        </w:rPr>
      </w:pPr>
      <w:r>
        <w:rPr>
          <w:rFonts w:hint="default" w:ascii="Times New Roman" w:hAnsi="Times New Roman" w:cs="Times New Roman"/>
          <w:b/>
          <w:bCs/>
          <w:sz w:val="24"/>
          <w:szCs w:val="24"/>
        </w:rPr>
        <w:drawing>
          <wp:inline distT="0" distB="0" distL="0" distR="0">
            <wp:extent cx="5867400" cy="2997200"/>
            <wp:effectExtent l="5080" t="5080" r="10160" b="15240"/>
            <wp:docPr id="1422765641" name="Chart 1422765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0000000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center"/>
        <w:rPr>
          <w:rFonts w:hint="default" w:ascii="Times New Roman" w:hAnsi="Times New Roman" w:eastAsia="Times New Roman" w:cs="Times New Roman"/>
          <w:b w:val="0"/>
          <w:bCs w:val="0"/>
          <w:i w:val="0"/>
          <w:iCs w:val="0"/>
          <w:smallCaps w:val="0"/>
          <w:strike w:val="0"/>
          <w:color w:val="0E2841"/>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E2841"/>
          <w:sz w:val="24"/>
          <w:szCs w:val="24"/>
          <w:u w:val="none"/>
          <w:shd w:val="clear" w:fill="auto"/>
          <w:vertAlign w:val="baseline"/>
          <w:rtl w:val="0"/>
        </w:rPr>
        <w:t>Figure S1. Number of publications over years of Sustained Competitive Advantage</w:t>
      </w:r>
    </w:p>
    <w:p w14:paraId="00000006">
      <w:pPr>
        <w:spacing w:before="240" w:after="240" w:line="360" w:lineRule="auto"/>
        <w:rPr>
          <w:rFonts w:hint="default" w:ascii="Times New Roman" w:hAnsi="Times New Roman" w:cs="Times New Roman"/>
          <w:b/>
          <w:bCs/>
          <w:i/>
          <w:iCs/>
          <w:sz w:val="24"/>
          <w:szCs w:val="24"/>
        </w:rPr>
      </w:pPr>
      <w:r>
        <w:rPr>
          <w:rFonts w:hint="default" w:ascii="Times New Roman" w:hAnsi="Times New Roman" w:cs="Times New Roman"/>
          <w:b/>
          <w:bCs/>
          <w:i/>
          <w:iCs/>
          <w:sz w:val="24"/>
          <w:szCs w:val="24"/>
          <w:rtl w:val="0"/>
        </w:rPr>
        <w:t>S.1.2. Source of publication</w:t>
      </w:r>
    </w:p>
    <w:p w14:paraId="00000007">
      <w:pPr>
        <w:spacing w:before="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Table S1 highlights both the main publication hubs and the high-impact knowledge bases in sustained competitive advantage (SCA) research. In terms of output volume, Strategic Management Journal is the leading outlet (24 articles), followed by the International Journal of Human Resource Management (18), Journal of Business Research (13), and Sustainability (12). This distribution indicates that SCA remains a core strategy topic while also being widely applied in HRM and broader business research.</w:t>
      </w:r>
    </w:p>
    <w:p w14:paraId="00000008">
      <w:pPr>
        <w:spacing w:before="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In terms of influence, citations are highly concentrated in leading strategy and management journals. The Journal of Management records the largest citation count (32,325 citations from 8 articles), with the Strategic Management Journal close behind (25,653 citations from 24 articles). This pattern suggests a strong foundational canon effect in which a small number of seminal articles receive disproportionate scholarly attention. For example, the Journal of Management averages approximately 4,041 citations per article, compared with approximately 1,069 citations per article in the Strategic Management Journal. The remaining journals in the top list reflect thematic spillovers into adjacent disciplines, including information systems (for example, MIS Quarterly and the Journal of Strategic Information Systems) and marketing (for example, Industrial Marketing Management). Overall, the journal profile indicates an intellectual structure anchored in premier strategy and management outlets, alongside sustained cross-disciplinary diffusion into HRM, IS, and applied sustainability venues.</w:t>
      </w:r>
    </w:p>
    <w:p w14:paraId="00000009">
      <w:pPr>
        <w:spacing w:after="240"/>
        <w:rPr>
          <w:rFonts w:hint="default" w:ascii="Times New Roman" w:hAnsi="Times New Roman" w:cs="Times New Roman"/>
          <w:sz w:val="24"/>
          <w:szCs w:val="24"/>
        </w:rPr>
      </w:pPr>
      <w:r>
        <w:rPr>
          <w:rFonts w:hint="default" w:ascii="Times New Roman" w:hAnsi="Times New Roman" w:cs="Times New Roman"/>
          <w:sz w:val="24"/>
          <w:szCs w:val="24"/>
          <w:rtl w:val="0"/>
        </w:rPr>
        <w:t>Table S1. Top 10 journals of Sustained Competitive Advantage.</w:t>
      </w:r>
    </w:p>
    <w:tbl>
      <w:tblPr>
        <w:tblStyle w:val="43"/>
        <w:tblW w:w="9214"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6804"/>
        <w:gridCol w:w="1276"/>
        <w:gridCol w:w="1134"/>
      </w:tblGrid>
      <w:tr w14:paraId="496DB4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single" w:color="000000" w:sz="4" w:space="0"/>
              <w:bottom w:val="single" w:color="000000" w:sz="4" w:space="0"/>
            </w:tcBorders>
          </w:tcPr>
          <w:p w14:paraId="0000000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Journal Name</w:t>
            </w:r>
          </w:p>
        </w:tc>
        <w:tc>
          <w:tcPr>
            <w:tcBorders>
              <w:top w:val="single" w:color="000000" w:sz="4" w:space="0"/>
              <w:bottom w:val="single" w:color="000000" w:sz="4" w:space="0"/>
            </w:tcBorders>
          </w:tcPr>
          <w:p w14:paraId="0000000B">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Number of articles</w:t>
            </w:r>
          </w:p>
        </w:tc>
        <w:tc>
          <w:tcPr>
            <w:tcBorders>
              <w:top w:val="single" w:color="000000" w:sz="4" w:space="0"/>
              <w:bottom w:val="single" w:color="000000" w:sz="4" w:space="0"/>
            </w:tcBorders>
          </w:tcPr>
          <w:p w14:paraId="0000000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Citations</w:t>
            </w:r>
          </w:p>
        </w:tc>
      </w:tr>
      <w:tr w14:paraId="3B8049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single" w:color="000000" w:sz="4" w:space="0"/>
            </w:tcBorders>
            <w:vAlign w:val="bottom"/>
          </w:tcPr>
          <w:p w14:paraId="0000000D">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Strategic Management Journal</w:t>
            </w:r>
          </w:p>
        </w:tc>
        <w:tc>
          <w:tcPr>
            <w:tcBorders>
              <w:top w:val="single" w:color="000000" w:sz="4" w:space="0"/>
            </w:tcBorders>
            <w:vAlign w:val="bottom"/>
          </w:tcPr>
          <w:p w14:paraId="0000000E">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24</w:t>
            </w:r>
          </w:p>
        </w:tc>
        <w:tc>
          <w:tcPr>
            <w:tcBorders>
              <w:top w:val="single" w:color="000000" w:sz="4" w:space="0"/>
            </w:tcBorders>
          </w:tcPr>
          <w:p w14:paraId="0000000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25653</w:t>
            </w:r>
          </w:p>
        </w:tc>
      </w:tr>
      <w:tr w14:paraId="4C323B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10">
            <w:pPr>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International Journal of Human Resource Management</w:t>
            </w:r>
          </w:p>
        </w:tc>
        <w:tc>
          <w:tcPr>
            <w:vAlign w:val="bottom"/>
          </w:tcPr>
          <w:p w14:paraId="00000011">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18</w:t>
            </w:r>
          </w:p>
        </w:tc>
        <w:tc>
          <w:p w14:paraId="0000001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1415</w:t>
            </w:r>
          </w:p>
        </w:tc>
      </w:tr>
      <w:tr w14:paraId="5D7F66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13">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Journal of Business Research</w:t>
            </w:r>
          </w:p>
        </w:tc>
        <w:tc>
          <w:tcPr>
            <w:vAlign w:val="bottom"/>
          </w:tcPr>
          <w:p w14:paraId="00000014">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13</w:t>
            </w:r>
          </w:p>
        </w:tc>
        <w:tc>
          <w:p w14:paraId="0000001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1442</w:t>
            </w:r>
          </w:p>
        </w:tc>
      </w:tr>
      <w:tr w14:paraId="22955C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16">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Sustainability</w:t>
            </w:r>
          </w:p>
        </w:tc>
        <w:tc>
          <w:tcPr>
            <w:vAlign w:val="bottom"/>
          </w:tcPr>
          <w:p w14:paraId="00000017">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12</w:t>
            </w:r>
          </w:p>
        </w:tc>
        <w:tc>
          <w:tcPr>
            <w:vAlign w:val="bottom"/>
          </w:tcPr>
          <w:p w14:paraId="0000001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249</w:t>
            </w:r>
          </w:p>
        </w:tc>
      </w:tr>
      <w:tr w14:paraId="4ACA03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19">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Industrial Marketing Management</w:t>
            </w:r>
          </w:p>
        </w:tc>
        <w:tc>
          <w:tcPr>
            <w:vAlign w:val="bottom"/>
          </w:tcPr>
          <w:p w14:paraId="0000001A">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10</w:t>
            </w:r>
          </w:p>
        </w:tc>
        <w:tc>
          <w:p w14:paraId="0000001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874</w:t>
            </w:r>
          </w:p>
        </w:tc>
      </w:tr>
      <w:tr w14:paraId="544A76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1C">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Journal of Strategic Information Systems</w:t>
            </w:r>
          </w:p>
        </w:tc>
        <w:tc>
          <w:tcPr>
            <w:vAlign w:val="bottom"/>
          </w:tcPr>
          <w:p w14:paraId="0000001D">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9</w:t>
            </w:r>
          </w:p>
        </w:tc>
        <w:tc>
          <w:p w14:paraId="0000001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921</w:t>
            </w:r>
          </w:p>
        </w:tc>
      </w:tr>
      <w:tr w14:paraId="473C75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33" w:hRule="atLeast"/>
        </w:trPr>
        <w:tc>
          <w:tcPr>
            <w:vAlign w:val="bottom"/>
          </w:tcPr>
          <w:p w14:paraId="0000001F">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Journal of Management</w:t>
            </w:r>
          </w:p>
        </w:tc>
        <w:tc>
          <w:tcPr>
            <w:vAlign w:val="bottom"/>
          </w:tcPr>
          <w:p w14:paraId="00000020">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8</w:t>
            </w:r>
          </w:p>
        </w:tc>
        <w:tc>
          <w:p w14:paraId="0000002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32325</w:t>
            </w:r>
          </w:p>
        </w:tc>
      </w:tr>
      <w:tr w14:paraId="3E7EFB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33" w:hRule="atLeast"/>
        </w:trPr>
        <w:tc>
          <w:tcPr>
            <w:vAlign w:val="bottom"/>
          </w:tcPr>
          <w:p w14:paraId="00000022">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MIS Quarterly</w:t>
            </w:r>
          </w:p>
        </w:tc>
        <w:tc>
          <w:tcPr>
            <w:vAlign w:val="bottom"/>
          </w:tcPr>
          <w:p w14:paraId="00000023">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8</w:t>
            </w:r>
          </w:p>
        </w:tc>
        <w:tc>
          <w:p w14:paraId="0000002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2794</w:t>
            </w:r>
          </w:p>
        </w:tc>
      </w:tr>
      <w:tr w14:paraId="7CEF5A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33" w:hRule="atLeast"/>
        </w:trPr>
        <w:tc>
          <w:tcPr>
            <w:vAlign w:val="bottom"/>
          </w:tcPr>
          <w:p w14:paraId="00000025">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Academy of Management Review</w:t>
            </w:r>
          </w:p>
        </w:tc>
        <w:tc>
          <w:tcPr>
            <w:vAlign w:val="bottom"/>
          </w:tcPr>
          <w:p w14:paraId="00000026">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7</w:t>
            </w:r>
          </w:p>
        </w:tc>
        <w:tc>
          <w:p w14:paraId="0000002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1856</w:t>
            </w:r>
          </w:p>
        </w:tc>
      </w:tr>
      <w:tr w14:paraId="42BC88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bottom w:val="single" w:color="000000" w:sz="4" w:space="0"/>
            </w:tcBorders>
            <w:vAlign w:val="bottom"/>
          </w:tcPr>
          <w:p w14:paraId="00000028">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Academy of Management Journal</w:t>
            </w:r>
          </w:p>
        </w:tc>
        <w:tc>
          <w:tcPr>
            <w:tcBorders>
              <w:bottom w:val="single" w:color="000000" w:sz="4" w:space="0"/>
            </w:tcBorders>
            <w:vAlign w:val="bottom"/>
          </w:tcPr>
          <w:p w14:paraId="00000029">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6</w:t>
            </w:r>
          </w:p>
        </w:tc>
        <w:tc>
          <w:tcPr>
            <w:tcBorders>
              <w:bottom w:val="single" w:color="000000" w:sz="4" w:space="0"/>
            </w:tcBorders>
          </w:tcPr>
          <w:p w14:paraId="0000002A">
            <w:pPr>
              <w:tabs>
                <w:tab w:val="left" w:pos="1114"/>
              </w:tabs>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4635</w:t>
            </w:r>
          </w:p>
        </w:tc>
      </w:tr>
    </w:tbl>
    <w:p w14:paraId="0000002B">
      <w:pPr>
        <w:spacing w:before="240" w:after="240" w:line="360" w:lineRule="auto"/>
        <w:rPr>
          <w:rFonts w:hint="default" w:ascii="Times New Roman" w:hAnsi="Times New Roman" w:cs="Times New Roman"/>
          <w:b/>
          <w:bCs/>
          <w:i/>
          <w:iCs/>
          <w:sz w:val="24"/>
          <w:szCs w:val="24"/>
        </w:rPr>
      </w:pPr>
      <w:r>
        <w:rPr>
          <w:rFonts w:hint="default" w:ascii="Times New Roman" w:hAnsi="Times New Roman" w:cs="Times New Roman"/>
          <w:b/>
          <w:bCs/>
          <w:i/>
          <w:iCs/>
          <w:sz w:val="24"/>
          <w:szCs w:val="24"/>
          <w:rtl w:val="0"/>
        </w:rPr>
        <w:t>S.1.3. Author and co-authorship analysis</w:t>
      </w:r>
    </w:p>
    <w:p w14:paraId="0000002C">
      <w:pPr>
        <w:spacing w:before="240" w:after="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Figure S2 depicts the author collaboration (co-authorship) network in sustained competitive advantage (SCA) research. The network is sparse, with many authors appearing as isolated nodes and only a limited number of co-authorship ties under the applied threshold settings. This structure suggests that SCA functions primarily as a widely adopted theoretical lens used across multiple disciplinary conversations, rather than as a cohesive research community organized around large, stable collaborative teams. The presence of influential authors as disconnected nodes further implies that knowledge production is driven by several parallel research programs with relatively limited cross-stream integration. Overall, the network indicates a decentralized field and highlights an opportunity for future work to strengthen cross-institutional and cross-domain collaboration to consolidate SCA concepts, measurement approaches, and boundary conditions.</w:t>
      </w:r>
    </w:p>
    <w:p w14:paraId="0000002D">
      <w:pPr>
        <w:keepNext/>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943600" cy="3950970"/>
            <wp:effectExtent l="0" t="0" r="0" b="0"/>
            <wp:docPr id="1422765643" name="image1.png"/>
            <wp:cNvGraphicFramePr/>
            <a:graphic xmlns:a="http://schemas.openxmlformats.org/drawingml/2006/main">
              <a:graphicData uri="http://schemas.openxmlformats.org/drawingml/2006/picture">
                <pic:pic xmlns:pic="http://schemas.openxmlformats.org/drawingml/2006/picture">
                  <pic:nvPicPr>
                    <pic:cNvPr id="1422765643" name="image1.png"/>
                    <pic:cNvPicPr preferRelativeResize="0"/>
                  </pic:nvPicPr>
                  <pic:blipFill>
                    <a:blip r:embed="rId5"/>
                    <a:srcRect/>
                    <a:stretch>
                      <a:fillRect/>
                    </a:stretch>
                  </pic:blipFill>
                  <pic:spPr>
                    <a:xfrm>
                      <a:off x="0" y="0"/>
                      <a:ext cx="5943600" cy="3950970"/>
                    </a:xfrm>
                    <a:prstGeom prst="rect">
                      <a:avLst/>
                    </a:prstGeom>
                  </pic:spPr>
                </pic:pic>
              </a:graphicData>
            </a:graphic>
          </wp:inline>
        </w:drawing>
      </w:r>
    </w:p>
    <w:p w14:paraId="0000002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cente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Figure S2. Author collaboration network analysis in </w:t>
      </w:r>
      <w:r>
        <w:rPr>
          <w:rFonts w:hint="default" w:ascii="Times New Roman" w:hAnsi="Times New Roman" w:eastAsia="Times New Roman" w:cs="Times New Roman"/>
          <w:b w:val="0"/>
          <w:bCs w:val="0"/>
          <w:i w:val="0"/>
          <w:iCs w:val="0"/>
          <w:smallCaps w:val="0"/>
          <w:strike w:val="0"/>
          <w:color w:val="0E2841"/>
          <w:sz w:val="24"/>
          <w:szCs w:val="24"/>
          <w:u w:val="none"/>
          <w:shd w:val="clear" w:fill="auto"/>
          <w:vertAlign w:val="baseline"/>
          <w:rtl w:val="0"/>
        </w:rPr>
        <w:t>Sustained Competitive Advantage</w:t>
      </w:r>
    </w:p>
    <w:p w14:paraId="0000002F">
      <w:pPr>
        <w:spacing w:before="240" w:after="240" w:line="360" w:lineRule="auto"/>
        <w:rPr>
          <w:rFonts w:hint="default" w:ascii="Times New Roman" w:hAnsi="Times New Roman" w:cs="Times New Roman"/>
          <w:b/>
          <w:bCs/>
          <w:i/>
          <w:iCs/>
          <w:sz w:val="24"/>
          <w:szCs w:val="24"/>
        </w:rPr>
      </w:pPr>
      <w:r>
        <w:rPr>
          <w:rFonts w:hint="default" w:ascii="Times New Roman" w:hAnsi="Times New Roman" w:cs="Times New Roman"/>
          <w:b/>
          <w:bCs/>
          <w:i/>
          <w:iCs/>
          <w:sz w:val="24"/>
          <w:szCs w:val="24"/>
          <w:rtl w:val="0"/>
        </w:rPr>
        <w:t>S.1.4. Affiliation analysis</w:t>
      </w:r>
    </w:p>
    <w:p w14:paraId="00000030">
      <w:pPr>
        <w:spacing w:before="240" w:after="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Table S2 identifies the leading institutional contributors to the sustained competitive advantage (SCA) literature. Publication output is concentrated in a small set of research-intensive universities, largely based in the United States, with additional representation from Australia. Ohio State University and Auburn University are the most productive affiliations (8 articles each), followed by the University of Illinois System, Michigan State University, and the University of Queensland (7 articles each).</w:t>
      </w:r>
    </w:p>
    <w:p w14:paraId="00000031">
      <w:pPr>
        <w:spacing w:before="240" w:after="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Citation performance, however, does not fully track publication volume. The Rutgers University System records the highest citation count (2,539 citations from 5 articles), indicating that a smaller number of publications can generate disproportionate influence. Ohio State University also shows strong impact (2,363 citations from 8 articles), whereas several institutions with similar publication output exhibit lower citation intensity. Overall, the results suggest that SCA knowledge production is institutionally concentrated and that scholarly influence reflects both sustained publication activity and a limited number of highly cited contributions.</w:t>
      </w:r>
    </w:p>
    <w:p w14:paraId="00000032">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240" w:line="240" w:lineRule="auto"/>
        <w:ind w:left="0" w:right="0" w:firstLine="0"/>
        <w:jc w:val="left"/>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Table S2. Top 10 organizations with largest number of </w:t>
      </w:r>
      <w:r>
        <w:rPr>
          <w:rFonts w:hint="default" w:ascii="Times New Roman" w:hAnsi="Times New Roman" w:eastAsia="Times New Roman" w:cs="Times New Roman"/>
          <w:b w:val="0"/>
          <w:bCs w:val="0"/>
          <w:i w:val="0"/>
          <w:iCs w:val="0"/>
          <w:smallCaps w:val="0"/>
          <w:strike w:val="0"/>
          <w:color w:val="0E2841"/>
          <w:sz w:val="24"/>
          <w:szCs w:val="24"/>
          <w:u w:val="none"/>
          <w:shd w:val="clear" w:fill="auto"/>
          <w:vertAlign w:val="baseline"/>
          <w:rtl w:val="0"/>
        </w:rPr>
        <w:t>Sustained Competitive Advantage</w:t>
      </w:r>
    </w:p>
    <w:tbl>
      <w:tblPr>
        <w:tblStyle w:val="44"/>
        <w:tblW w:w="9214"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5529"/>
        <w:gridCol w:w="1984"/>
        <w:gridCol w:w="1701"/>
      </w:tblGrid>
      <w:tr w14:paraId="226BE7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single" w:color="000000" w:sz="4" w:space="0"/>
              <w:bottom w:val="single" w:color="000000" w:sz="4" w:space="0"/>
            </w:tcBorders>
          </w:tcPr>
          <w:p w14:paraId="0000003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Affiliations</w:t>
            </w:r>
          </w:p>
        </w:tc>
        <w:tc>
          <w:tcPr>
            <w:tcBorders>
              <w:top w:val="single" w:color="000000" w:sz="4" w:space="0"/>
              <w:bottom w:val="single" w:color="000000" w:sz="4" w:space="0"/>
            </w:tcBorders>
          </w:tcPr>
          <w:p w14:paraId="00000034">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Number of articles</w:t>
            </w:r>
          </w:p>
        </w:tc>
        <w:tc>
          <w:tcPr>
            <w:tcBorders>
              <w:top w:val="single" w:color="000000" w:sz="4" w:space="0"/>
              <w:bottom w:val="single" w:color="000000" w:sz="4" w:space="0"/>
            </w:tcBorders>
          </w:tcPr>
          <w:p w14:paraId="0000003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Citations</w:t>
            </w:r>
          </w:p>
        </w:tc>
      </w:tr>
      <w:tr w14:paraId="3E700F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top w:val="single" w:color="000000" w:sz="4" w:space="0"/>
            </w:tcBorders>
            <w:vAlign w:val="bottom"/>
          </w:tcPr>
          <w:p w14:paraId="00000036">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Ohio State University</w:t>
            </w:r>
          </w:p>
        </w:tc>
        <w:tc>
          <w:tcPr>
            <w:tcBorders>
              <w:top w:val="single" w:color="000000" w:sz="4" w:space="0"/>
            </w:tcBorders>
            <w:vAlign w:val="bottom"/>
          </w:tcPr>
          <w:p w14:paraId="0000003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8</w:t>
            </w:r>
          </w:p>
        </w:tc>
        <w:tc>
          <w:tcPr>
            <w:tcBorders>
              <w:top w:val="single" w:color="000000" w:sz="4" w:space="0"/>
            </w:tcBorders>
          </w:tcPr>
          <w:p w14:paraId="0000003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2363</w:t>
            </w:r>
          </w:p>
        </w:tc>
      </w:tr>
      <w:tr w14:paraId="68B4D0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39">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Auburn University</w:t>
            </w:r>
          </w:p>
        </w:tc>
        <w:tc>
          <w:tcPr>
            <w:vAlign w:val="bottom"/>
          </w:tcPr>
          <w:p w14:paraId="0000003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8</w:t>
            </w:r>
          </w:p>
        </w:tc>
        <w:tc>
          <w:p w14:paraId="0000003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1086</w:t>
            </w:r>
          </w:p>
        </w:tc>
      </w:tr>
      <w:tr w14:paraId="6B14F0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3C">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University of Illinois System</w:t>
            </w:r>
          </w:p>
        </w:tc>
        <w:tc>
          <w:tcPr>
            <w:vAlign w:val="bottom"/>
          </w:tcPr>
          <w:p w14:paraId="0000003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7</w:t>
            </w:r>
          </w:p>
        </w:tc>
        <w:tc>
          <w:p w14:paraId="0000003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977</w:t>
            </w:r>
          </w:p>
        </w:tc>
      </w:tr>
      <w:tr w14:paraId="00569F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3F">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Michigan State University</w:t>
            </w:r>
          </w:p>
        </w:tc>
        <w:tc>
          <w:tcPr>
            <w:vAlign w:val="bottom"/>
          </w:tcPr>
          <w:p w14:paraId="0000004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7</w:t>
            </w:r>
          </w:p>
        </w:tc>
        <w:tc>
          <w:p w14:paraId="0000004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772</w:t>
            </w:r>
          </w:p>
        </w:tc>
      </w:tr>
      <w:tr w14:paraId="41D062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42">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University of Queensland</w:t>
            </w:r>
          </w:p>
        </w:tc>
        <w:tc>
          <w:tcPr>
            <w:vAlign w:val="bottom"/>
          </w:tcPr>
          <w:p w14:paraId="0000004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7</w:t>
            </w:r>
          </w:p>
        </w:tc>
        <w:tc>
          <w:p w14:paraId="0000004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548</w:t>
            </w:r>
          </w:p>
        </w:tc>
      </w:tr>
      <w:tr w14:paraId="216542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45">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University of Wisconsin Madison</w:t>
            </w:r>
          </w:p>
        </w:tc>
        <w:tc>
          <w:tcPr>
            <w:vAlign w:val="bottom"/>
          </w:tcPr>
          <w:p w14:paraId="0000004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6</w:t>
            </w:r>
          </w:p>
        </w:tc>
        <w:tc>
          <w:p w14:paraId="0000004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733</w:t>
            </w:r>
          </w:p>
        </w:tc>
      </w:tr>
      <w:tr w14:paraId="6F108B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48">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Georgia State University</w:t>
            </w:r>
          </w:p>
        </w:tc>
        <w:tc>
          <w:tcPr>
            <w:vAlign w:val="bottom"/>
          </w:tcPr>
          <w:p w14:paraId="0000004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6</w:t>
            </w:r>
          </w:p>
        </w:tc>
        <w:tc>
          <w:p w14:paraId="0000004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638</w:t>
            </w:r>
          </w:p>
        </w:tc>
      </w:tr>
      <w:tr w14:paraId="680DF1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4B">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Pennsylvania State University</w:t>
            </w:r>
          </w:p>
        </w:tc>
        <w:tc>
          <w:tcPr>
            <w:vAlign w:val="bottom"/>
          </w:tcPr>
          <w:p w14:paraId="0000004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6</w:t>
            </w:r>
          </w:p>
        </w:tc>
        <w:tc>
          <w:p w14:paraId="0000004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470</w:t>
            </w:r>
          </w:p>
        </w:tc>
      </w:tr>
      <w:tr w14:paraId="0A0FBB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vAlign w:val="bottom"/>
          </w:tcPr>
          <w:p w14:paraId="0000004E">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University of Wollongong</w:t>
            </w:r>
          </w:p>
        </w:tc>
        <w:tc>
          <w:tcPr>
            <w:vAlign w:val="bottom"/>
          </w:tcPr>
          <w:p w14:paraId="0000004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6</w:t>
            </w:r>
          </w:p>
        </w:tc>
        <w:tc>
          <w:p w14:paraId="0000005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323</w:t>
            </w:r>
          </w:p>
        </w:tc>
      </w:tr>
      <w:tr w14:paraId="617DE0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Borders>
              <w:bottom w:val="single" w:color="000000" w:sz="4" w:space="0"/>
            </w:tcBorders>
            <w:vAlign w:val="bottom"/>
          </w:tcPr>
          <w:p w14:paraId="00000051">
            <w:pPr>
              <w:spacing w:after="0" w:line="240" w:lineRule="auto"/>
              <w:rPr>
                <w:rFonts w:hint="default" w:ascii="Times New Roman" w:hAnsi="Times New Roman" w:cs="Times New Roman"/>
                <w:sz w:val="24"/>
                <w:szCs w:val="24"/>
              </w:rPr>
            </w:pPr>
            <w:r>
              <w:rPr>
                <w:rFonts w:hint="default" w:ascii="Times New Roman" w:hAnsi="Times New Roman" w:cs="Times New Roman"/>
                <w:color w:val="000000"/>
                <w:sz w:val="24"/>
                <w:szCs w:val="24"/>
                <w:rtl w:val="0"/>
              </w:rPr>
              <w:t>Rutgers University System</w:t>
            </w:r>
          </w:p>
        </w:tc>
        <w:tc>
          <w:tcPr>
            <w:tcBorders>
              <w:bottom w:val="single" w:color="000000" w:sz="4" w:space="0"/>
            </w:tcBorders>
            <w:vAlign w:val="bottom"/>
          </w:tcPr>
          <w:p w14:paraId="0000005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5</w:t>
            </w:r>
          </w:p>
        </w:tc>
        <w:tc>
          <w:tcPr>
            <w:tcBorders>
              <w:bottom w:val="single" w:color="000000" w:sz="4" w:space="0"/>
            </w:tcBorders>
          </w:tcPr>
          <w:p w14:paraId="0000005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2539</w:t>
            </w:r>
          </w:p>
        </w:tc>
      </w:tr>
    </w:tbl>
    <w:p w14:paraId="00000054">
      <w:pPr>
        <w:jc w:val="both"/>
        <w:rPr>
          <w:rFonts w:hint="default" w:ascii="Times New Roman" w:hAnsi="Times New Roman" w:cs="Times New Roman"/>
          <w:b/>
          <w:bCs/>
          <w:sz w:val="24"/>
          <w:szCs w:val="24"/>
        </w:rPr>
      </w:pPr>
    </w:p>
    <w:p w14:paraId="00000055">
      <w:pPr>
        <w:spacing w:before="240" w:after="240" w:line="360" w:lineRule="auto"/>
        <w:rPr>
          <w:rFonts w:hint="default" w:ascii="Times New Roman" w:hAnsi="Times New Roman" w:cs="Times New Roman"/>
          <w:b/>
          <w:bCs/>
          <w:i/>
          <w:iCs/>
          <w:sz w:val="24"/>
          <w:szCs w:val="24"/>
        </w:rPr>
      </w:pPr>
      <w:r>
        <w:rPr>
          <w:rFonts w:hint="default" w:ascii="Times New Roman" w:hAnsi="Times New Roman" w:cs="Times New Roman"/>
          <w:b/>
          <w:bCs/>
          <w:i/>
          <w:iCs/>
          <w:sz w:val="24"/>
          <w:szCs w:val="24"/>
          <w:rtl w:val="0"/>
        </w:rPr>
        <w:t>S.1.5. Country/region analysis</w:t>
      </w:r>
    </w:p>
    <w:p w14:paraId="00000056">
      <w:pPr>
        <w:spacing w:before="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Table S3 indicates a highly concentrated geographic distribution of sustained competitive advantage (SCA) publications and impact. The United States dominates both productivity and influence, contributing 239 articles and 38,865 citations. This corresponds to approximately 39.2% of the top-10 publication output but 66.7% of the top-10 citations, indicating a disproportionate share of highly cited work. A second tier of publication activity includes England (65 articles), Australia (58), and China (56), followed by Spain (42) and Canada and India (36 each).</w:t>
      </w:r>
    </w:p>
    <w:p w14:paraId="00000057">
      <w:pPr>
        <w:spacing w:before="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Citation intensity varies substantially across countries. The United States (approximately 162.6 citations per article) and Canada (approximately 117.8) exhibit the highest impact per paper, while England (approximately 62.0), France (approximately 65.0), Spain (approximately 58.8), and Germany (approximately 56.4) form a mid-impact group. In contrast, several high-output contributors show lower citation intensity, particularly China (approximately 30.7 citations per article) and India (approximately 14.7). This pattern may reflect more recent entry into the domain, greater topical dispersion toward applied themes, or weaker integration into the core citation canon. Overall, the table suggests that SCA scholarship remains anchored in Anglophone research systems, with expanding participation from Europe and Asia, while influence remains concentrated in a small set of countries.</w:t>
      </w:r>
    </w:p>
    <w:p w14:paraId="00000058">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left"/>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Table S3. Top 10 countries/regions with most publications in </w:t>
      </w:r>
      <w:r>
        <w:rPr>
          <w:rFonts w:hint="default" w:ascii="Times New Roman" w:hAnsi="Times New Roman" w:eastAsia="Times New Roman" w:cs="Times New Roman"/>
          <w:b w:val="0"/>
          <w:bCs w:val="0"/>
          <w:i w:val="0"/>
          <w:iCs w:val="0"/>
          <w:smallCaps w:val="0"/>
          <w:strike w:val="0"/>
          <w:color w:val="0E2841"/>
          <w:sz w:val="24"/>
          <w:szCs w:val="24"/>
          <w:u w:val="none"/>
          <w:shd w:val="clear" w:fill="auto"/>
          <w:vertAlign w:val="baseline"/>
          <w:rtl w:val="0"/>
        </w:rPr>
        <w:t>Sustained Competitive Advantage</w:t>
      </w:r>
    </w:p>
    <w:tbl>
      <w:tblPr>
        <w:tblStyle w:val="45"/>
        <w:tblW w:w="93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29"/>
        <w:gridCol w:w="3068"/>
        <w:gridCol w:w="2763"/>
      </w:tblGrid>
      <w:tr w14:paraId="1E07A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left w:val="nil"/>
              <w:right w:val="nil"/>
            </w:tcBorders>
          </w:tcPr>
          <w:p w14:paraId="0000005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Country/Region</w:t>
            </w:r>
          </w:p>
        </w:tc>
        <w:tc>
          <w:tcPr>
            <w:tcBorders>
              <w:left w:val="nil"/>
              <w:bottom w:val="single" w:color="000000" w:sz="4" w:space="0"/>
              <w:right w:val="nil"/>
            </w:tcBorders>
          </w:tcPr>
          <w:p w14:paraId="0000005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Number of articles</w:t>
            </w:r>
          </w:p>
        </w:tc>
        <w:tc>
          <w:tcPr>
            <w:tcBorders>
              <w:left w:val="nil"/>
              <w:bottom w:val="single" w:color="000000" w:sz="4" w:space="0"/>
              <w:right w:val="nil"/>
            </w:tcBorders>
          </w:tcPr>
          <w:p w14:paraId="0000005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Citations</w:t>
            </w:r>
          </w:p>
        </w:tc>
      </w:tr>
      <w:tr w14:paraId="3072E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left w:val="nil"/>
              <w:bottom w:val="nil"/>
              <w:right w:val="nil"/>
            </w:tcBorders>
            <w:vAlign w:val="bottom"/>
          </w:tcPr>
          <w:p w14:paraId="0000005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USA</w:t>
            </w:r>
          </w:p>
        </w:tc>
        <w:tc>
          <w:tcPr>
            <w:tcBorders>
              <w:left w:val="nil"/>
              <w:bottom w:val="nil"/>
              <w:right w:val="nil"/>
            </w:tcBorders>
            <w:vAlign w:val="bottom"/>
          </w:tcPr>
          <w:p w14:paraId="0000005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239</w:t>
            </w:r>
          </w:p>
        </w:tc>
        <w:tc>
          <w:tcPr>
            <w:tcBorders>
              <w:left w:val="nil"/>
              <w:bottom w:val="nil"/>
              <w:right w:val="nil"/>
            </w:tcBorders>
          </w:tcPr>
          <w:p w14:paraId="0000005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38865</w:t>
            </w:r>
          </w:p>
        </w:tc>
      </w:tr>
      <w:tr w14:paraId="36038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top w:val="nil"/>
              <w:left w:val="nil"/>
              <w:bottom w:val="nil"/>
              <w:right w:val="nil"/>
            </w:tcBorders>
            <w:vAlign w:val="bottom"/>
          </w:tcPr>
          <w:p w14:paraId="0000005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England</w:t>
            </w:r>
          </w:p>
        </w:tc>
        <w:tc>
          <w:tcPr>
            <w:tcBorders>
              <w:top w:val="nil"/>
              <w:left w:val="nil"/>
              <w:bottom w:val="nil"/>
              <w:right w:val="nil"/>
            </w:tcBorders>
            <w:vAlign w:val="bottom"/>
          </w:tcPr>
          <w:p w14:paraId="00000060">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65</w:t>
            </w:r>
          </w:p>
        </w:tc>
        <w:tc>
          <w:tcPr>
            <w:tcBorders>
              <w:top w:val="nil"/>
              <w:left w:val="nil"/>
              <w:bottom w:val="nil"/>
              <w:right w:val="nil"/>
            </w:tcBorders>
          </w:tcPr>
          <w:p w14:paraId="00000061">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4030</w:t>
            </w:r>
          </w:p>
        </w:tc>
      </w:tr>
      <w:tr w14:paraId="0FEB5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top w:val="nil"/>
              <w:left w:val="nil"/>
              <w:bottom w:val="nil"/>
              <w:right w:val="nil"/>
            </w:tcBorders>
            <w:vAlign w:val="bottom"/>
          </w:tcPr>
          <w:p w14:paraId="00000062">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Australia</w:t>
            </w:r>
          </w:p>
        </w:tc>
        <w:tc>
          <w:tcPr>
            <w:tcBorders>
              <w:top w:val="nil"/>
              <w:left w:val="nil"/>
              <w:bottom w:val="nil"/>
              <w:right w:val="nil"/>
            </w:tcBorders>
            <w:vAlign w:val="bottom"/>
          </w:tcPr>
          <w:p w14:paraId="00000063">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58</w:t>
            </w:r>
          </w:p>
        </w:tc>
        <w:tc>
          <w:tcPr>
            <w:tcBorders>
              <w:top w:val="nil"/>
              <w:left w:val="nil"/>
              <w:bottom w:val="nil"/>
              <w:right w:val="nil"/>
            </w:tcBorders>
          </w:tcPr>
          <w:p w14:paraId="00000064">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2400</w:t>
            </w:r>
          </w:p>
        </w:tc>
      </w:tr>
      <w:tr w14:paraId="4AED9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top w:val="nil"/>
              <w:left w:val="nil"/>
              <w:bottom w:val="nil"/>
              <w:right w:val="nil"/>
            </w:tcBorders>
            <w:vAlign w:val="bottom"/>
          </w:tcPr>
          <w:p w14:paraId="00000065">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China</w:t>
            </w:r>
          </w:p>
        </w:tc>
        <w:tc>
          <w:tcPr>
            <w:tcBorders>
              <w:top w:val="nil"/>
              <w:left w:val="nil"/>
              <w:bottom w:val="nil"/>
              <w:right w:val="nil"/>
            </w:tcBorders>
            <w:vAlign w:val="bottom"/>
          </w:tcPr>
          <w:p w14:paraId="00000066">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56</w:t>
            </w:r>
          </w:p>
        </w:tc>
        <w:tc>
          <w:tcPr>
            <w:tcBorders>
              <w:top w:val="nil"/>
              <w:left w:val="nil"/>
              <w:bottom w:val="nil"/>
              <w:right w:val="nil"/>
            </w:tcBorders>
          </w:tcPr>
          <w:p w14:paraId="00000067">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1719</w:t>
            </w:r>
          </w:p>
        </w:tc>
      </w:tr>
      <w:tr w14:paraId="44BF7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top w:val="nil"/>
              <w:left w:val="nil"/>
              <w:bottom w:val="nil"/>
              <w:right w:val="nil"/>
            </w:tcBorders>
            <w:vAlign w:val="bottom"/>
          </w:tcPr>
          <w:p w14:paraId="0000006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Spain</w:t>
            </w:r>
          </w:p>
        </w:tc>
        <w:tc>
          <w:tcPr>
            <w:tcBorders>
              <w:top w:val="nil"/>
              <w:left w:val="nil"/>
              <w:bottom w:val="nil"/>
              <w:right w:val="nil"/>
            </w:tcBorders>
            <w:vAlign w:val="bottom"/>
          </w:tcPr>
          <w:p w14:paraId="0000006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42</w:t>
            </w:r>
          </w:p>
        </w:tc>
        <w:tc>
          <w:tcPr>
            <w:tcBorders>
              <w:top w:val="nil"/>
              <w:left w:val="nil"/>
              <w:bottom w:val="nil"/>
              <w:right w:val="nil"/>
            </w:tcBorders>
          </w:tcPr>
          <w:p w14:paraId="0000006A">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2468</w:t>
            </w:r>
          </w:p>
        </w:tc>
      </w:tr>
      <w:tr w14:paraId="6ACBF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top w:val="nil"/>
              <w:left w:val="nil"/>
              <w:bottom w:val="nil"/>
              <w:right w:val="nil"/>
            </w:tcBorders>
            <w:vAlign w:val="bottom"/>
          </w:tcPr>
          <w:p w14:paraId="0000006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Canada</w:t>
            </w:r>
          </w:p>
        </w:tc>
        <w:tc>
          <w:tcPr>
            <w:tcBorders>
              <w:top w:val="nil"/>
              <w:left w:val="nil"/>
              <w:bottom w:val="nil"/>
              <w:right w:val="nil"/>
            </w:tcBorders>
            <w:vAlign w:val="bottom"/>
          </w:tcPr>
          <w:p w14:paraId="0000006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36</w:t>
            </w:r>
          </w:p>
        </w:tc>
        <w:tc>
          <w:tcPr>
            <w:tcBorders>
              <w:top w:val="nil"/>
              <w:left w:val="nil"/>
              <w:bottom w:val="nil"/>
              <w:right w:val="nil"/>
            </w:tcBorders>
          </w:tcPr>
          <w:p w14:paraId="0000006D">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4241</w:t>
            </w:r>
          </w:p>
        </w:tc>
      </w:tr>
      <w:tr w14:paraId="247E0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top w:val="nil"/>
              <w:left w:val="nil"/>
              <w:bottom w:val="nil"/>
              <w:right w:val="nil"/>
            </w:tcBorders>
            <w:vAlign w:val="bottom"/>
          </w:tcPr>
          <w:p w14:paraId="0000006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India</w:t>
            </w:r>
          </w:p>
        </w:tc>
        <w:tc>
          <w:tcPr>
            <w:tcBorders>
              <w:top w:val="nil"/>
              <w:left w:val="nil"/>
              <w:bottom w:val="nil"/>
              <w:right w:val="nil"/>
            </w:tcBorders>
            <w:vAlign w:val="bottom"/>
          </w:tcPr>
          <w:p w14:paraId="0000006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36</w:t>
            </w:r>
          </w:p>
        </w:tc>
        <w:tc>
          <w:tcPr>
            <w:tcBorders>
              <w:top w:val="nil"/>
              <w:left w:val="nil"/>
              <w:bottom w:val="nil"/>
              <w:right w:val="nil"/>
            </w:tcBorders>
          </w:tcPr>
          <w:p w14:paraId="00000070">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528</w:t>
            </w:r>
          </w:p>
        </w:tc>
      </w:tr>
      <w:tr w14:paraId="489E6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top w:val="nil"/>
              <w:left w:val="nil"/>
              <w:bottom w:val="nil"/>
              <w:right w:val="nil"/>
            </w:tcBorders>
            <w:vAlign w:val="bottom"/>
          </w:tcPr>
          <w:p w14:paraId="0000007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Germany</w:t>
            </w:r>
          </w:p>
        </w:tc>
        <w:tc>
          <w:tcPr>
            <w:tcBorders>
              <w:top w:val="nil"/>
              <w:left w:val="nil"/>
              <w:bottom w:val="nil"/>
              <w:right w:val="nil"/>
            </w:tcBorders>
            <w:vAlign w:val="bottom"/>
          </w:tcPr>
          <w:p w14:paraId="0000007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29</w:t>
            </w:r>
          </w:p>
        </w:tc>
        <w:tc>
          <w:tcPr>
            <w:tcBorders>
              <w:top w:val="nil"/>
              <w:left w:val="nil"/>
              <w:bottom w:val="nil"/>
              <w:right w:val="nil"/>
            </w:tcBorders>
          </w:tcPr>
          <w:p w14:paraId="00000073">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1637</w:t>
            </w:r>
          </w:p>
        </w:tc>
      </w:tr>
      <w:tr w14:paraId="40365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top w:val="nil"/>
              <w:left w:val="nil"/>
              <w:bottom w:val="nil"/>
              <w:right w:val="nil"/>
            </w:tcBorders>
            <w:vAlign w:val="bottom"/>
          </w:tcPr>
          <w:p w14:paraId="0000007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Taiwan</w:t>
            </w:r>
          </w:p>
        </w:tc>
        <w:tc>
          <w:tcPr>
            <w:tcBorders>
              <w:top w:val="nil"/>
              <w:left w:val="nil"/>
              <w:bottom w:val="nil"/>
              <w:right w:val="nil"/>
            </w:tcBorders>
            <w:vAlign w:val="bottom"/>
          </w:tcPr>
          <w:p w14:paraId="0000007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27</w:t>
            </w:r>
          </w:p>
        </w:tc>
        <w:tc>
          <w:tcPr>
            <w:tcBorders>
              <w:top w:val="nil"/>
              <w:left w:val="nil"/>
              <w:bottom w:val="nil"/>
              <w:right w:val="nil"/>
            </w:tcBorders>
          </w:tcPr>
          <w:p w14:paraId="00000076">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1000</w:t>
            </w:r>
          </w:p>
        </w:tc>
      </w:tr>
      <w:tr w14:paraId="65C59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Borders>
              <w:top w:val="nil"/>
              <w:left w:val="nil"/>
              <w:bottom w:val="single" w:color="000000" w:sz="4" w:space="0"/>
              <w:right w:val="nil"/>
            </w:tcBorders>
            <w:vAlign w:val="bottom"/>
          </w:tcPr>
          <w:p w14:paraId="0000007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France</w:t>
            </w:r>
          </w:p>
        </w:tc>
        <w:tc>
          <w:tcPr>
            <w:tcBorders>
              <w:top w:val="nil"/>
              <w:left w:val="nil"/>
              <w:bottom w:val="single" w:color="000000" w:sz="4" w:space="0"/>
              <w:right w:val="nil"/>
            </w:tcBorders>
            <w:vAlign w:val="bottom"/>
          </w:tcPr>
          <w:p w14:paraId="0000007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21</w:t>
            </w:r>
          </w:p>
        </w:tc>
        <w:tc>
          <w:tcPr>
            <w:tcBorders>
              <w:top w:val="nil"/>
              <w:left w:val="nil"/>
              <w:bottom w:val="single" w:color="000000" w:sz="4" w:space="0"/>
              <w:right w:val="nil"/>
            </w:tcBorders>
          </w:tcPr>
          <w:p w14:paraId="00000079">
            <w:pPr>
              <w:spacing w:after="0" w:line="24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tl w:val="0"/>
              </w:rPr>
              <w:t>1366</w:t>
            </w:r>
          </w:p>
        </w:tc>
      </w:tr>
    </w:tbl>
    <w:p w14:paraId="0000007A">
      <w:pPr>
        <w:spacing w:before="240" w:after="240" w:line="480" w:lineRule="auto"/>
        <w:rPr>
          <w:rFonts w:hint="default" w:ascii="Times New Roman" w:hAnsi="Times New Roman" w:cs="Times New Roman"/>
          <w:sz w:val="24"/>
          <w:szCs w:val="24"/>
        </w:rPr>
      </w:pPr>
    </w:p>
    <w:p w14:paraId="0000007B">
      <w:pPr>
        <w:keepNext/>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943600" cy="3950970"/>
            <wp:effectExtent l="0" t="0" r="0" b="0"/>
            <wp:docPr id="1422765642" name="image2.png" descr="A network of countries/regions with lines and dots&#10;&#10;AI-generated content may be incorrect."/>
            <wp:cNvGraphicFramePr/>
            <a:graphic xmlns:a="http://schemas.openxmlformats.org/drawingml/2006/main">
              <a:graphicData uri="http://schemas.openxmlformats.org/drawingml/2006/picture">
                <pic:pic xmlns:pic="http://schemas.openxmlformats.org/drawingml/2006/picture">
                  <pic:nvPicPr>
                    <pic:cNvPr id="1422765642" name="image2.png" descr="A network of countries/regions with lines and dots&#10;&#10;AI-generated content may be incorrect."/>
                    <pic:cNvPicPr preferRelativeResize="0"/>
                  </pic:nvPicPr>
                  <pic:blipFill>
                    <a:blip r:embed="rId6"/>
                    <a:srcRect/>
                    <a:stretch>
                      <a:fillRect/>
                    </a:stretch>
                  </pic:blipFill>
                  <pic:spPr>
                    <a:xfrm>
                      <a:off x="0" y="0"/>
                      <a:ext cx="5943600" cy="3950970"/>
                    </a:xfrm>
                    <a:prstGeom prst="rect">
                      <a:avLst/>
                    </a:prstGeom>
                  </pic:spPr>
                </pic:pic>
              </a:graphicData>
            </a:graphic>
          </wp:inline>
        </w:drawing>
      </w:r>
      <w:r>
        <w:rPr>
          <w:rFonts w:hint="default" w:ascii="Times New Roman" w:hAnsi="Times New Roman" w:cs="Times New Roman"/>
          <w:sz w:val="24"/>
          <w:szCs w:val="24"/>
          <w:rtl w:val="0"/>
        </w:rPr>
        <w:t xml:space="preserve"> </w:t>
      </w:r>
    </w:p>
    <w:p w14:paraId="0000007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cente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Figure S3. Country collaboration network analysis in </w:t>
      </w:r>
      <w:r>
        <w:rPr>
          <w:rFonts w:hint="default" w:ascii="Times New Roman" w:hAnsi="Times New Roman" w:eastAsia="Times New Roman" w:cs="Times New Roman"/>
          <w:b w:val="0"/>
          <w:bCs w:val="0"/>
          <w:i w:val="0"/>
          <w:iCs w:val="0"/>
          <w:smallCaps w:val="0"/>
          <w:strike w:val="0"/>
          <w:color w:val="0E2841"/>
          <w:sz w:val="24"/>
          <w:szCs w:val="24"/>
          <w:u w:val="none"/>
          <w:shd w:val="clear" w:fill="auto"/>
          <w:vertAlign w:val="baseline"/>
          <w:rtl w:val="0"/>
        </w:rPr>
        <w:t>Sustained Competitive Advantage</w:t>
      </w:r>
    </w:p>
    <w:p w14:paraId="0000007D">
      <w:pPr>
        <w:rPr>
          <w:rFonts w:hint="default" w:ascii="Times New Roman" w:hAnsi="Times New Roman" w:cs="Times New Roman"/>
          <w:sz w:val="24"/>
          <w:szCs w:val="24"/>
        </w:rPr>
      </w:pPr>
    </w:p>
    <w:p w14:paraId="0000007E">
      <w:pPr>
        <w:spacing w:line="360" w:lineRule="auto"/>
        <w:jc w:val="both"/>
        <w:rPr>
          <w:rFonts w:hint="default" w:ascii="Times New Roman" w:hAnsi="Times New Roman" w:cs="Times New Roman"/>
          <w:b/>
          <w:bCs/>
          <w:i/>
          <w:iCs/>
          <w:sz w:val="24"/>
          <w:szCs w:val="24"/>
        </w:rPr>
      </w:pPr>
      <w:r>
        <w:rPr>
          <w:rFonts w:hint="default" w:ascii="Times New Roman" w:hAnsi="Times New Roman" w:cs="Times New Roman"/>
          <w:b/>
          <w:bCs/>
          <w:i/>
          <w:iCs/>
          <w:sz w:val="24"/>
          <w:szCs w:val="24"/>
          <w:rtl w:val="0"/>
        </w:rPr>
        <w:t>S.1.6. Co-citation analysis</w:t>
      </w:r>
    </w:p>
    <w:p w14:paraId="0000007F">
      <w:pPr>
        <w:spacing w:before="240" w:after="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Table S4 reveals a highly concentrated intellectual backbone underpinning sustained competitive advantage (SCA) research in this dataset. Jay Barney is the most influential author (941 citations), and Barney (1991) is the single most cited reference (407 citations), confirming the resource-based view (RBV) as the dominant theoretical foundation. This RBV-centered canon is reinforced by Wernerfelt (1984), Peteraf (1993), and Amit and Schoemaker (1993), which collectively articulate strategic assets, rent generation, and boundary conditions for sustained advantage. The continued prominence of Dierickx and Cool (1989) further indicates sustained reliance on isolating mechanisms and asset stock accumulation to explain why advantages persist over time.</w:t>
      </w:r>
    </w:p>
    <w:p w14:paraId="00000080">
      <w:pPr>
        <w:spacing w:before="240" w:after="240" w:line="480" w:lineRule="auto"/>
        <w:rPr>
          <w:rFonts w:hint="default" w:ascii="Times New Roman" w:hAnsi="Times New Roman" w:cs="Times New Roman"/>
          <w:sz w:val="24"/>
          <w:szCs w:val="24"/>
        </w:rPr>
      </w:pPr>
      <w:r>
        <w:rPr>
          <w:rFonts w:hint="default" w:ascii="Times New Roman" w:hAnsi="Times New Roman" w:cs="Times New Roman"/>
          <w:sz w:val="24"/>
          <w:szCs w:val="24"/>
          <w:rtl w:val="0"/>
        </w:rPr>
        <w:tab/>
      </w:r>
      <w:r>
        <w:rPr>
          <w:rFonts w:hint="default" w:ascii="Times New Roman" w:hAnsi="Times New Roman" w:cs="Times New Roman"/>
          <w:sz w:val="24"/>
          <w:szCs w:val="24"/>
          <w:rtl w:val="0"/>
        </w:rPr>
        <w:t>In parallel, dynamic capability theory forms a second pillar, evidenced by the prominence of Teece et al. (1997) and Eisenhardt and Martin (2000), which emphasize capability renewal and reconfiguration in volatile environments. The most-cited references also indicate cross-disciplinary diffusion of SCA into applied domains, particularly information systems (Mata et al., 1995; Bharadwaj, 2000) and strategic HRM (Lado &amp; Wilson, 1994). Finally, the presence of Porter and Williamson suggests complementary links to industry positioning and governance or transaction-cost explanations that further contextualize how sustained advantage is created and protected.</w:t>
      </w:r>
    </w:p>
    <w:p w14:paraId="00000081">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left"/>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hint="default"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Table S4. Top 10 authors and articles cited in </w:t>
      </w:r>
      <w:r>
        <w:rPr>
          <w:rFonts w:hint="default" w:ascii="Times New Roman" w:hAnsi="Times New Roman" w:eastAsia="Times New Roman" w:cs="Times New Roman"/>
          <w:b w:val="0"/>
          <w:bCs w:val="0"/>
          <w:i w:val="0"/>
          <w:iCs w:val="0"/>
          <w:smallCaps w:val="0"/>
          <w:strike w:val="0"/>
          <w:color w:val="0E2841"/>
          <w:sz w:val="24"/>
          <w:szCs w:val="24"/>
          <w:u w:val="none"/>
          <w:shd w:val="clear" w:fill="auto"/>
          <w:vertAlign w:val="baseline"/>
          <w:rtl w:val="0"/>
        </w:rPr>
        <w:t>Sustained Competitive Advantage</w:t>
      </w:r>
    </w:p>
    <w:tbl>
      <w:tblPr>
        <w:tblStyle w:val="46"/>
        <w:tblW w:w="93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1418"/>
        <w:gridCol w:w="3402"/>
        <w:gridCol w:w="1563"/>
      </w:tblGrid>
      <w:tr w14:paraId="196FC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left w:val="nil"/>
              <w:right w:val="nil"/>
            </w:tcBorders>
          </w:tcPr>
          <w:p w14:paraId="0000008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Author</w:t>
            </w:r>
          </w:p>
        </w:tc>
        <w:tc>
          <w:tcPr>
            <w:tcBorders>
              <w:left w:val="nil"/>
              <w:right w:val="nil"/>
            </w:tcBorders>
          </w:tcPr>
          <w:p w14:paraId="0000008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Citations</w:t>
            </w:r>
          </w:p>
        </w:tc>
        <w:tc>
          <w:tcPr>
            <w:tcBorders>
              <w:left w:val="nil"/>
              <w:bottom w:val="single" w:color="000000" w:sz="4" w:space="0"/>
              <w:right w:val="nil"/>
            </w:tcBorders>
          </w:tcPr>
          <w:p w14:paraId="0000008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Article</w:t>
            </w:r>
          </w:p>
        </w:tc>
        <w:tc>
          <w:tcPr>
            <w:tcBorders>
              <w:left w:val="nil"/>
              <w:bottom w:val="single" w:color="000000" w:sz="4" w:space="0"/>
              <w:right w:val="nil"/>
            </w:tcBorders>
          </w:tcPr>
          <w:p w14:paraId="00000085">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Citations</w:t>
            </w:r>
          </w:p>
        </w:tc>
      </w:tr>
      <w:tr w14:paraId="79AA2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nil"/>
              <w:left w:val="nil"/>
              <w:bottom w:val="nil"/>
              <w:right w:val="nil"/>
            </w:tcBorders>
          </w:tcPr>
          <w:p w14:paraId="0000008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Jay Barney</w:t>
            </w:r>
          </w:p>
        </w:tc>
        <w:tc>
          <w:tcPr>
            <w:tcBorders>
              <w:top w:val="nil"/>
              <w:left w:val="nil"/>
              <w:bottom w:val="nil"/>
              <w:right w:val="nil"/>
            </w:tcBorders>
          </w:tcPr>
          <w:p w14:paraId="0000008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941</w:t>
            </w:r>
          </w:p>
        </w:tc>
        <w:tc>
          <w:tcPr>
            <w:tcBorders>
              <w:top w:val="nil"/>
              <w:left w:val="nil"/>
              <w:bottom w:val="nil"/>
              <w:right w:val="nil"/>
            </w:tcBorders>
          </w:tcPr>
          <w:p w14:paraId="0000008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Barney (1991)</w:t>
            </w:r>
          </w:p>
        </w:tc>
        <w:tc>
          <w:tcPr>
            <w:tcBorders>
              <w:top w:val="nil"/>
              <w:left w:val="nil"/>
              <w:bottom w:val="nil"/>
              <w:right w:val="nil"/>
            </w:tcBorders>
          </w:tcPr>
          <w:p w14:paraId="0000008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407</w:t>
            </w:r>
          </w:p>
        </w:tc>
      </w:tr>
      <w:tr w14:paraId="2AE6A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nil"/>
              <w:left w:val="nil"/>
              <w:bottom w:val="nil"/>
              <w:right w:val="nil"/>
            </w:tcBorders>
          </w:tcPr>
          <w:p w14:paraId="0000008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David J. Teece</w:t>
            </w:r>
          </w:p>
        </w:tc>
        <w:tc>
          <w:tcPr>
            <w:tcBorders>
              <w:top w:val="nil"/>
              <w:left w:val="nil"/>
              <w:bottom w:val="nil"/>
              <w:right w:val="nil"/>
            </w:tcBorders>
          </w:tcPr>
          <w:p w14:paraId="0000008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446</w:t>
            </w:r>
          </w:p>
        </w:tc>
        <w:tc>
          <w:tcPr>
            <w:tcBorders>
              <w:top w:val="nil"/>
              <w:left w:val="nil"/>
              <w:bottom w:val="nil"/>
              <w:right w:val="nil"/>
            </w:tcBorders>
          </w:tcPr>
          <w:p w14:paraId="0000008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Wernerfelt (1984)</w:t>
            </w:r>
          </w:p>
        </w:tc>
        <w:tc>
          <w:tcPr>
            <w:tcBorders>
              <w:top w:val="nil"/>
              <w:left w:val="nil"/>
              <w:bottom w:val="nil"/>
              <w:right w:val="nil"/>
            </w:tcBorders>
          </w:tcPr>
          <w:p w14:paraId="0000008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177</w:t>
            </w:r>
          </w:p>
        </w:tc>
      </w:tr>
      <w:tr w14:paraId="59A84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nil"/>
              <w:left w:val="nil"/>
              <w:bottom w:val="nil"/>
              <w:right w:val="nil"/>
            </w:tcBorders>
          </w:tcPr>
          <w:p w14:paraId="0000008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Michael Porter</w:t>
            </w:r>
          </w:p>
        </w:tc>
        <w:tc>
          <w:tcPr>
            <w:tcBorders>
              <w:top w:val="nil"/>
              <w:left w:val="nil"/>
              <w:bottom w:val="nil"/>
              <w:right w:val="nil"/>
            </w:tcBorders>
          </w:tcPr>
          <w:p w14:paraId="0000008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254</w:t>
            </w:r>
          </w:p>
        </w:tc>
        <w:tc>
          <w:tcPr>
            <w:tcBorders>
              <w:top w:val="nil"/>
              <w:left w:val="nil"/>
              <w:bottom w:val="nil"/>
              <w:right w:val="nil"/>
            </w:tcBorders>
          </w:tcPr>
          <w:p w14:paraId="0000009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Teece et al. (1997)</w:t>
            </w:r>
          </w:p>
        </w:tc>
        <w:tc>
          <w:tcPr>
            <w:tcBorders>
              <w:top w:val="nil"/>
              <w:left w:val="nil"/>
              <w:bottom w:val="nil"/>
              <w:right w:val="nil"/>
            </w:tcBorders>
          </w:tcPr>
          <w:p w14:paraId="0000009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172</w:t>
            </w:r>
          </w:p>
        </w:tc>
      </w:tr>
      <w:tr w14:paraId="7729C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nil"/>
              <w:left w:val="nil"/>
              <w:bottom w:val="nil"/>
              <w:right w:val="nil"/>
            </w:tcBorders>
          </w:tcPr>
          <w:p w14:paraId="0000009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Robert M. Grant</w:t>
            </w:r>
          </w:p>
        </w:tc>
        <w:tc>
          <w:tcPr>
            <w:tcBorders>
              <w:top w:val="nil"/>
              <w:left w:val="nil"/>
              <w:bottom w:val="nil"/>
              <w:right w:val="nil"/>
            </w:tcBorders>
          </w:tcPr>
          <w:p w14:paraId="0000009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210</w:t>
            </w:r>
          </w:p>
        </w:tc>
        <w:tc>
          <w:tcPr>
            <w:tcBorders>
              <w:top w:val="nil"/>
              <w:left w:val="nil"/>
              <w:bottom w:val="nil"/>
              <w:right w:val="nil"/>
            </w:tcBorders>
          </w:tcPr>
          <w:p w14:paraId="0000009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Mata et al. (1995)</w:t>
            </w:r>
          </w:p>
        </w:tc>
        <w:tc>
          <w:tcPr>
            <w:tcBorders>
              <w:top w:val="nil"/>
              <w:left w:val="nil"/>
              <w:bottom w:val="nil"/>
              <w:right w:val="nil"/>
            </w:tcBorders>
          </w:tcPr>
          <w:p w14:paraId="0000009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117</w:t>
            </w:r>
          </w:p>
        </w:tc>
      </w:tr>
      <w:tr w14:paraId="5D0DD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nil"/>
              <w:left w:val="nil"/>
              <w:bottom w:val="nil"/>
              <w:right w:val="nil"/>
            </w:tcBorders>
          </w:tcPr>
          <w:p w14:paraId="0000009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Birger Wernerfelt</w:t>
            </w:r>
          </w:p>
        </w:tc>
        <w:tc>
          <w:tcPr>
            <w:tcBorders>
              <w:top w:val="nil"/>
              <w:left w:val="nil"/>
              <w:bottom w:val="nil"/>
              <w:right w:val="nil"/>
            </w:tcBorders>
          </w:tcPr>
          <w:p w14:paraId="0000009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205</w:t>
            </w:r>
          </w:p>
        </w:tc>
        <w:tc>
          <w:tcPr>
            <w:tcBorders>
              <w:top w:val="nil"/>
              <w:left w:val="nil"/>
              <w:bottom w:val="nil"/>
              <w:right w:val="nil"/>
            </w:tcBorders>
          </w:tcPr>
          <w:p w14:paraId="0000009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Peteraf (1993)</w:t>
            </w:r>
          </w:p>
        </w:tc>
        <w:tc>
          <w:tcPr>
            <w:tcBorders>
              <w:top w:val="nil"/>
              <w:left w:val="nil"/>
              <w:bottom w:val="nil"/>
              <w:right w:val="nil"/>
            </w:tcBorders>
          </w:tcPr>
          <w:p w14:paraId="0000009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106</w:t>
            </w:r>
          </w:p>
        </w:tc>
      </w:tr>
      <w:tr w14:paraId="05720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 w:hRule="atLeast"/>
        </w:trPr>
        <w:tc>
          <w:tcPr>
            <w:tcBorders>
              <w:top w:val="nil"/>
              <w:left w:val="nil"/>
              <w:bottom w:val="nil"/>
              <w:right w:val="nil"/>
            </w:tcBorders>
          </w:tcPr>
          <w:p w14:paraId="0000009A">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Patrick M. Wright</w:t>
            </w:r>
          </w:p>
        </w:tc>
        <w:tc>
          <w:tcPr>
            <w:tcBorders>
              <w:top w:val="nil"/>
              <w:left w:val="nil"/>
              <w:bottom w:val="nil"/>
              <w:right w:val="nil"/>
            </w:tcBorders>
          </w:tcPr>
          <w:p w14:paraId="0000009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197</w:t>
            </w:r>
          </w:p>
        </w:tc>
        <w:tc>
          <w:tcPr>
            <w:tcBorders>
              <w:top w:val="nil"/>
              <w:left w:val="nil"/>
              <w:bottom w:val="nil"/>
              <w:right w:val="nil"/>
            </w:tcBorders>
          </w:tcPr>
          <w:p w14:paraId="0000009C">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Dierickx and Cool (1989)</w:t>
            </w:r>
          </w:p>
        </w:tc>
        <w:tc>
          <w:tcPr>
            <w:tcBorders>
              <w:top w:val="nil"/>
              <w:left w:val="nil"/>
              <w:bottom w:val="nil"/>
              <w:right w:val="nil"/>
            </w:tcBorders>
          </w:tcPr>
          <w:p w14:paraId="0000009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100</w:t>
            </w:r>
          </w:p>
        </w:tc>
      </w:tr>
      <w:tr w14:paraId="5478F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nil"/>
              <w:left w:val="nil"/>
              <w:bottom w:val="nil"/>
              <w:right w:val="nil"/>
            </w:tcBorders>
          </w:tcPr>
          <w:p w14:paraId="0000009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Kathleen M. Eisenhardt</w:t>
            </w:r>
          </w:p>
        </w:tc>
        <w:tc>
          <w:tcPr>
            <w:tcBorders>
              <w:top w:val="nil"/>
              <w:left w:val="nil"/>
              <w:bottom w:val="nil"/>
              <w:right w:val="nil"/>
            </w:tcBorders>
          </w:tcPr>
          <w:p w14:paraId="0000009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184</w:t>
            </w:r>
          </w:p>
        </w:tc>
        <w:tc>
          <w:tcPr>
            <w:tcBorders>
              <w:top w:val="nil"/>
              <w:left w:val="nil"/>
              <w:bottom w:val="nil"/>
              <w:right w:val="nil"/>
            </w:tcBorders>
          </w:tcPr>
          <w:p w14:paraId="000000A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Eisenhardt and Martin (2000)</w:t>
            </w:r>
          </w:p>
        </w:tc>
        <w:tc>
          <w:tcPr>
            <w:tcBorders>
              <w:top w:val="nil"/>
              <w:left w:val="nil"/>
              <w:bottom w:val="nil"/>
              <w:right w:val="nil"/>
            </w:tcBorders>
          </w:tcPr>
          <w:p w14:paraId="000000A1">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100</w:t>
            </w:r>
          </w:p>
        </w:tc>
      </w:tr>
      <w:tr w14:paraId="6CA33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nil"/>
              <w:left w:val="nil"/>
              <w:bottom w:val="nil"/>
              <w:right w:val="nil"/>
            </w:tcBorders>
          </w:tcPr>
          <w:p w14:paraId="000000A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José Mata</w:t>
            </w:r>
          </w:p>
        </w:tc>
        <w:tc>
          <w:tcPr>
            <w:tcBorders>
              <w:top w:val="nil"/>
              <w:left w:val="nil"/>
              <w:bottom w:val="nil"/>
              <w:right w:val="nil"/>
            </w:tcBorders>
          </w:tcPr>
          <w:p w14:paraId="000000A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139</w:t>
            </w:r>
          </w:p>
        </w:tc>
        <w:tc>
          <w:tcPr>
            <w:tcBorders>
              <w:top w:val="nil"/>
              <w:left w:val="nil"/>
              <w:bottom w:val="nil"/>
              <w:right w:val="nil"/>
            </w:tcBorders>
          </w:tcPr>
          <w:p w14:paraId="000000A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Lado and Wilson (1994)</w:t>
            </w:r>
          </w:p>
        </w:tc>
        <w:tc>
          <w:tcPr>
            <w:tcBorders>
              <w:top w:val="nil"/>
              <w:left w:val="nil"/>
              <w:bottom w:val="nil"/>
              <w:right w:val="nil"/>
            </w:tcBorders>
          </w:tcPr>
          <w:p w14:paraId="000000A5">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94</w:t>
            </w:r>
          </w:p>
        </w:tc>
      </w:tr>
      <w:tr w14:paraId="3A361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nil"/>
              <w:left w:val="nil"/>
              <w:bottom w:val="nil"/>
              <w:right w:val="nil"/>
            </w:tcBorders>
          </w:tcPr>
          <w:p w14:paraId="000000A6">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Margaret A. Peteraf</w:t>
            </w:r>
          </w:p>
        </w:tc>
        <w:tc>
          <w:tcPr>
            <w:tcBorders>
              <w:top w:val="nil"/>
              <w:left w:val="nil"/>
              <w:bottom w:val="nil"/>
              <w:right w:val="nil"/>
            </w:tcBorders>
          </w:tcPr>
          <w:p w14:paraId="000000A7">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132</w:t>
            </w:r>
          </w:p>
        </w:tc>
        <w:tc>
          <w:tcPr>
            <w:tcBorders>
              <w:top w:val="nil"/>
              <w:left w:val="nil"/>
              <w:bottom w:val="nil"/>
              <w:right w:val="nil"/>
            </w:tcBorders>
          </w:tcPr>
          <w:p w14:paraId="000000A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Bharadwaj (2000)</w:t>
            </w:r>
          </w:p>
        </w:tc>
        <w:tc>
          <w:tcPr>
            <w:tcBorders>
              <w:top w:val="nil"/>
              <w:left w:val="nil"/>
              <w:bottom w:val="nil"/>
              <w:right w:val="nil"/>
            </w:tcBorders>
          </w:tcPr>
          <w:p w14:paraId="000000A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90</w:t>
            </w:r>
          </w:p>
        </w:tc>
      </w:tr>
      <w:tr w14:paraId="6DA42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nil"/>
              <w:left w:val="nil"/>
              <w:bottom w:val="single" w:color="000000" w:sz="4" w:space="0"/>
              <w:right w:val="nil"/>
            </w:tcBorders>
          </w:tcPr>
          <w:p w14:paraId="000000AA">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Oliver E. Williamson</w:t>
            </w:r>
          </w:p>
        </w:tc>
        <w:tc>
          <w:tcPr>
            <w:tcBorders>
              <w:top w:val="nil"/>
              <w:left w:val="nil"/>
              <w:bottom w:val="single" w:color="000000" w:sz="4" w:space="0"/>
              <w:right w:val="nil"/>
            </w:tcBorders>
          </w:tcPr>
          <w:p w14:paraId="000000AB">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121</w:t>
            </w:r>
          </w:p>
        </w:tc>
        <w:tc>
          <w:tcPr>
            <w:tcBorders>
              <w:top w:val="nil"/>
              <w:left w:val="nil"/>
              <w:bottom w:val="single" w:color="000000" w:sz="4" w:space="0"/>
              <w:right w:val="nil"/>
            </w:tcBorders>
          </w:tcPr>
          <w:p w14:paraId="000000AC">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tl w:val="0"/>
              </w:rPr>
              <w:t>Amit and Schoemaker (1993)</w:t>
            </w:r>
          </w:p>
        </w:tc>
        <w:tc>
          <w:tcPr>
            <w:tcBorders>
              <w:top w:val="nil"/>
              <w:left w:val="nil"/>
              <w:bottom w:val="single" w:color="000000" w:sz="4" w:space="0"/>
              <w:right w:val="nil"/>
            </w:tcBorders>
          </w:tcPr>
          <w:p w14:paraId="000000A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87</w:t>
            </w:r>
          </w:p>
        </w:tc>
      </w:tr>
    </w:tbl>
    <w:p w14:paraId="000000AE">
      <w:pPr>
        <w:keepNext/>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tl w:val="0"/>
        </w:rPr>
        <w:t>References</w:t>
      </w:r>
    </w:p>
    <w:p w14:paraId="000000AF">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Amit, R., &amp; Schoemaker, P. J. H. (1993). Strategic assets and organizational rent. </w:t>
      </w:r>
      <w:r>
        <w:rPr>
          <w:rFonts w:hint="default" w:ascii="Times New Roman" w:hAnsi="Times New Roman" w:cs="Times New Roman"/>
          <w:i/>
          <w:iCs/>
          <w:sz w:val="24"/>
          <w:szCs w:val="24"/>
          <w:rtl w:val="0"/>
        </w:rPr>
        <w:t>Strategic Management Journal</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14</w:t>
      </w:r>
      <w:r>
        <w:rPr>
          <w:rFonts w:hint="default" w:ascii="Times New Roman" w:hAnsi="Times New Roman" w:cs="Times New Roman"/>
          <w:sz w:val="24"/>
          <w:szCs w:val="24"/>
          <w:rtl w:val="0"/>
        </w:rPr>
        <w:t>(1), 33–46. https://doi.org/10.1002/smj.4250140105</w:t>
      </w:r>
    </w:p>
    <w:p w14:paraId="000000B0">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Barney, J. (1991). Firm resources and sustained competitive advantage. </w:t>
      </w:r>
      <w:r>
        <w:rPr>
          <w:rFonts w:hint="default" w:ascii="Times New Roman" w:hAnsi="Times New Roman" w:cs="Times New Roman"/>
          <w:i/>
          <w:iCs/>
          <w:sz w:val="24"/>
          <w:szCs w:val="24"/>
          <w:rtl w:val="0"/>
        </w:rPr>
        <w:t>Journal of Management</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17</w:t>
      </w:r>
      <w:r>
        <w:rPr>
          <w:rFonts w:hint="default" w:ascii="Times New Roman" w:hAnsi="Times New Roman" w:cs="Times New Roman"/>
          <w:sz w:val="24"/>
          <w:szCs w:val="24"/>
          <w:rtl w:val="0"/>
        </w:rPr>
        <w:t>(1), 99–120. https://doi.org/10.1177/014920639101700108</w:t>
      </w:r>
    </w:p>
    <w:p w14:paraId="000000B1">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Bharadwaj, A. S. (2000). A Resource-Based Perspective on Information Technology Capability and Firm Performance: An Empirical investigation1. </w:t>
      </w:r>
      <w:r>
        <w:rPr>
          <w:rFonts w:hint="default" w:ascii="Times New Roman" w:hAnsi="Times New Roman" w:cs="Times New Roman"/>
          <w:i/>
          <w:iCs/>
          <w:sz w:val="24"/>
          <w:szCs w:val="24"/>
          <w:rtl w:val="0"/>
        </w:rPr>
        <w:t>MIS Quarterly</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24</w:t>
      </w:r>
      <w:r>
        <w:rPr>
          <w:rFonts w:hint="default" w:ascii="Times New Roman" w:hAnsi="Times New Roman" w:cs="Times New Roman"/>
          <w:sz w:val="24"/>
          <w:szCs w:val="24"/>
          <w:rtl w:val="0"/>
        </w:rPr>
        <w:t>(1), 169–196. https://doi.org/10.2307/3250983</w:t>
      </w:r>
    </w:p>
    <w:p w14:paraId="000000B2">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Dierickx, I., &amp; Cool, K. (1989). Asset stock accumulation and sustainability of competitive advantage. </w:t>
      </w:r>
      <w:r>
        <w:rPr>
          <w:rFonts w:hint="default" w:ascii="Times New Roman" w:hAnsi="Times New Roman" w:cs="Times New Roman"/>
          <w:i/>
          <w:iCs/>
          <w:sz w:val="24"/>
          <w:szCs w:val="24"/>
          <w:rtl w:val="0"/>
        </w:rPr>
        <w:t>Management Science</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35</w:t>
      </w:r>
      <w:r>
        <w:rPr>
          <w:rFonts w:hint="default" w:ascii="Times New Roman" w:hAnsi="Times New Roman" w:cs="Times New Roman"/>
          <w:sz w:val="24"/>
          <w:szCs w:val="24"/>
          <w:rtl w:val="0"/>
        </w:rPr>
        <w:t>(12), 1504–1511. https://doi.org/10.1287/mnsc.35.12.1504</w:t>
      </w:r>
    </w:p>
    <w:p w14:paraId="000000B3">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Eisenhardt, K. M., &amp; Martin, J. A. (2000). Dynamic capabilities: what are they? </w:t>
      </w:r>
      <w:r>
        <w:rPr>
          <w:rFonts w:hint="default" w:ascii="Times New Roman" w:hAnsi="Times New Roman" w:cs="Times New Roman"/>
          <w:i/>
          <w:iCs/>
          <w:sz w:val="24"/>
          <w:szCs w:val="24"/>
          <w:rtl w:val="0"/>
        </w:rPr>
        <w:t>Strategic Management Journal</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21</w:t>
      </w:r>
      <w:r>
        <w:rPr>
          <w:rFonts w:hint="default" w:ascii="Times New Roman" w:hAnsi="Times New Roman" w:cs="Times New Roman"/>
          <w:sz w:val="24"/>
          <w:szCs w:val="24"/>
          <w:rtl w:val="0"/>
        </w:rPr>
        <w:t>(10–11), 1105–1121. https://doi.org/10.1002/1097-0266(200010/11)21:10/11</w:t>
      </w:r>
    </w:p>
    <w:p w14:paraId="000000B4">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Lado, A. A., &amp; Wilson, M. C. (1994). Human Resource Systems and Sustained Competitive Advantage: A Competency-Based Perspective. </w:t>
      </w:r>
      <w:r>
        <w:rPr>
          <w:rFonts w:hint="default" w:ascii="Times New Roman" w:hAnsi="Times New Roman" w:cs="Times New Roman"/>
          <w:i/>
          <w:iCs/>
          <w:sz w:val="24"/>
          <w:szCs w:val="24"/>
          <w:rtl w:val="0"/>
        </w:rPr>
        <w:t>Academy of Management Review</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19</w:t>
      </w:r>
      <w:r>
        <w:rPr>
          <w:rFonts w:hint="default" w:ascii="Times New Roman" w:hAnsi="Times New Roman" w:cs="Times New Roman"/>
          <w:sz w:val="24"/>
          <w:szCs w:val="24"/>
          <w:rtl w:val="0"/>
        </w:rPr>
        <w:t>(4), 699. https://doi.org/10.2307/258742</w:t>
      </w:r>
    </w:p>
    <w:p w14:paraId="000000B5">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Mata, F. J., Fuerst, W. L., &amp; Barney, J. B. (1995). Information Technology and Sustained Competitive Advantage: A Resource-Based Analysis. </w:t>
      </w:r>
      <w:r>
        <w:rPr>
          <w:rFonts w:hint="default" w:ascii="Times New Roman" w:hAnsi="Times New Roman" w:cs="Times New Roman"/>
          <w:i/>
          <w:iCs/>
          <w:sz w:val="24"/>
          <w:szCs w:val="24"/>
          <w:rtl w:val="0"/>
        </w:rPr>
        <w:t>MIS Quarterly</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19</w:t>
      </w:r>
      <w:r>
        <w:rPr>
          <w:rFonts w:hint="default" w:ascii="Times New Roman" w:hAnsi="Times New Roman" w:cs="Times New Roman"/>
          <w:sz w:val="24"/>
          <w:szCs w:val="24"/>
          <w:rtl w:val="0"/>
        </w:rPr>
        <w:t>(4), 487–505. https://doi.org/10.2307/249630</w:t>
      </w:r>
    </w:p>
    <w:p w14:paraId="000000B6">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Peteraf, M. A. (1993). The cornerstones of competitive advantage: A resource‐based view. </w:t>
      </w:r>
      <w:r>
        <w:rPr>
          <w:rFonts w:hint="default" w:ascii="Times New Roman" w:hAnsi="Times New Roman" w:cs="Times New Roman"/>
          <w:i/>
          <w:iCs/>
          <w:sz w:val="24"/>
          <w:szCs w:val="24"/>
          <w:rtl w:val="0"/>
        </w:rPr>
        <w:t>Strategic Management Journal</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14</w:t>
      </w:r>
      <w:r>
        <w:rPr>
          <w:rFonts w:hint="default" w:ascii="Times New Roman" w:hAnsi="Times New Roman" w:cs="Times New Roman"/>
          <w:sz w:val="24"/>
          <w:szCs w:val="24"/>
          <w:rtl w:val="0"/>
        </w:rPr>
        <w:t>(3), 179–191. https://doi.org/10.1002/smj.4250140303</w:t>
      </w:r>
    </w:p>
    <w:p w14:paraId="000000B7">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Teece, D. J., Pisano, G., &amp; Shuen, A. (1997). Dynamic capabilities and strategic management. </w:t>
      </w:r>
      <w:r>
        <w:rPr>
          <w:rFonts w:hint="default" w:ascii="Times New Roman" w:hAnsi="Times New Roman" w:cs="Times New Roman"/>
          <w:i/>
          <w:iCs/>
          <w:sz w:val="24"/>
          <w:szCs w:val="24"/>
          <w:rtl w:val="0"/>
        </w:rPr>
        <w:t>Strategic Management Journal</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18</w:t>
      </w:r>
      <w:r>
        <w:rPr>
          <w:rFonts w:hint="default" w:ascii="Times New Roman" w:hAnsi="Times New Roman" w:cs="Times New Roman"/>
          <w:sz w:val="24"/>
          <w:szCs w:val="24"/>
          <w:rtl w:val="0"/>
        </w:rPr>
        <w:t>(7), 509–533. https://doi.org/10.1002/(sici)1097-0266(199708)18:7</w:t>
      </w:r>
    </w:p>
    <w:p w14:paraId="000000B8">
      <w:pPr>
        <w:spacing w:before="240" w:after="240"/>
        <w:ind w:left="720" w:hanging="720"/>
        <w:rPr>
          <w:rFonts w:hint="default" w:ascii="Times New Roman" w:hAnsi="Times New Roman" w:cs="Times New Roman"/>
          <w:sz w:val="24"/>
          <w:szCs w:val="24"/>
        </w:rPr>
      </w:pPr>
      <w:r>
        <w:rPr>
          <w:rFonts w:hint="default" w:ascii="Times New Roman" w:hAnsi="Times New Roman" w:cs="Times New Roman"/>
          <w:sz w:val="24"/>
          <w:szCs w:val="24"/>
          <w:rtl w:val="0"/>
        </w:rPr>
        <w:t xml:space="preserve">Wernerfelt, B. (1984). A resource‐based view of the firm. </w:t>
      </w:r>
      <w:r>
        <w:rPr>
          <w:rFonts w:hint="default" w:ascii="Times New Roman" w:hAnsi="Times New Roman" w:cs="Times New Roman"/>
          <w:i/>
          <w:iCs/>
          <w:sz w:val="24"/>
          <w:szCs w:val="24"/>
          <w:rtl w:val="0"/>
        </w:rPr>
        <w:t>Strategic Management Journal</w:t>
      </w:r>
      <w:r>
        <w:rPr>
          <w:rFonts w:hint="default" w:ascii="Times New Roman" w:hAnsi="Times New Roman" w:cs="Times New Roman"/>
          <w:sz w:val="24"/>
          <w:szCs w:val="24"/>
          <w:rtl w:val="0"/>
        </w:rPr>
        <w:t xml:space="preserve">, </w:t>
      </w:r>
      <w:r>
        <w:rPr>
          <w:rFonts w:hint="default" w:ascii="Times New Roman" w:hAnsi="Times New Roman" w:cs="Times New Roman"/>
          <w:i/>
          <w:iCs/>
          <w:sz w:val="24"/>
          <w:szCs w:val="24"/>
          <w:rtl w:val="0"/>
        </w:rPr>
        <w:t>5</w:t>
      </w:r>
      <w:r>
        <w:rPr>
          <w:rFonts w:hint="default" w:ascii="Times New Roman" w:hAnsi="Times New Roman" w:cs="Times New Roman"/>
          <w:sz w:val="24"/>
          <w:szCs w:val="24"/>
          <w:rtl w:val="0"/>
        </w:rPr>
        <w:t>(2), 171–180. https://doi.org/10.1002/smj.4250050207</w:t>
      </w:r>
    </w:p>
    <w:p w14:paraId="000000B9">
      <w:pPr>
        <w:spacing w:before="240" w:after="240"/>
        <w:ind w:left="720" w:hanging="720"/>
        <w:rPr>
          <w:rFonts w:hint="default" w:ascii="Times New Roman" w:hAnsi="Times New Roman" w:cs="Times New Roman"/>
          <w:sz w:val="24"/>
          <w:szCs w:val="24"/>
        </w:rPr>
      </w:pPr>
    </w:p>
    <w:p w14:paraId="000000BA">
      <w:pPr>
        <w:rPr>
          <w:rFonts w:hint="default" w:ascii="Times New Roman" w:hAnsi="Times New Roman" w:cs="Times New Roman"/>
          <w:sz w:val="24"/>
          <w:szCs w:val="24"/>
        </w:rPr>
      </w:pPr>
    </w:p>
    <w:bookmarkEnd w:id="0"/>
    <w:sectPr>
      <w:pgSz w:w="12240" w:h="15840"/>
      <w:pgMar w:top="1440" w:right="1440" w:bottom="1440" w:left="1440" w:header="708" w:footer="708"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F2C4EAC3-BF03-4069-A13D-3779A6576126}"/>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8CB1C65B-9832-4103-A98C-7FEB2E2156F7}"/>
  </w:font>
  <w:font w:name="Wingdings">
    <w:panose1 w:val="05000000000000000000"/>
    <w:charset w:val="02"/>
    <w:family w:val="auto"/>
    <w:pitch w:val="default"/>
    <w:sig w:usb0="00000000" w:usb1="00000000" w:usb2="00000000" w:usb3="00000000" w:csb0="80000000" w:csb1="00000000"/>
    <w:embedRegular r:id="rId3" w:fontKey="{EB701136-C7F2-4937-A9CE-B25D0E772BD8}"/>
  </w:font>
  <w:font w:name="Calibri">
    <w:panose1 w:val="020F0502020204030204"/>
    <w:charset w:val="00"/>
    <w:family w:val="swiss"/>
    <w:pitch w:val="default"/>
    <w:sig w:usb0="E4002EFF" w:usb1="C000247B" w:usb2="00000009" w:usb3="00000000" w:csb0="200001FF" w:csb1="00000000"/>
    <w:embedRegular r:id="rId4" w:fontKey="{4BBA46B0-B5A9-4670-9FDF-E398B45EB6D3}"/>
  </w:font>
  <w:font w:name="Play">
    <w:altName w:val="Congrats"/>
    <w:panose1 w:val="00000000000000000000"/>
    <w:charset w:val="00"/>
    <w:family w:val="auto"/>
    <w:pitch w:val="default"/>
    <w:sig w:usb0="00000000" w:usb1="00000000" w:usb2="00000000" w:usb3="00000000" w:csb0="00000000" w:csb1="00000000"/>
  </w:font>
  <w:font w:name="Aptos">
    <w:altName w:val="Congrats"/>
    <w:panose1 w:val="00000000000000000000"/>
    <w:charset w:val="00"/>
    <w:family w:val="auto"/>
    <w:pitch w:val="default"/>
    <w:sig w:usb0="00000000" w:usb1="00000000" w:usb2="00000000" w:usb3="00000000" w:csb0="00000000" w:csb1="00000000"/>
  </w:font>
  <w:font w:name="等线 Light">
    <w:altName w:val="Congrats"/>
    <w:panose1 w:val="00000000000000000000"/>
    <w:charset w:val="00"/>
    <w:family w:val="auto"/>
    <w:pitch w:val="default"/>
    <w:sig w:usb0="00000000" w:usb1="00000000" w:usb2="00000000" w:usb3="00000000" w:csb0="00000000" w:csb1="00000000"/>
  </w:font>
  <w:font w:name="Aptos Display">
    <w:altName w:val="Congrats"/>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ongrats">
    <w:panose1 w:val="02000600000000000000"/>
    <w:charset w:val="00"/>
    <w:family w:val="auto"/>
    <w:pitch w:val="default"/>
    <w:sig w:usb0="00000003" w:usb1="10000000" w:usb2="00000000" w:usb3="00000000" w:csb0="00000001" w:csb1="00000000"/>
    <w:embedRegular r:id="rId5" w:fontKey="{EB75EAC9-76AE-4288-B2C8-DE599638C372}"/>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compat>
    <w:compatSetting w:name="compatibilityMode" w:uri="http://schemas.microsoft.com/office/word" w:val="15"/>
  </w:compat>
  <w:rsids>
    <w:rsidRoot w:val="00000000"/>
    <w:rsid w:val="7F590E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sz w:val="24"/>
      <w:szCs w:val="24"/>
      <w:lang w:val="vi"/>
    </w:rPr>
  </w:style>
  <w:style w:type="paragraph" w:styleId="2">
    <w:name w:val="heading 1"/>
    <w:basedOn w:val="1"/>
    <w:next w:val="1"/>
    <w:link w:val="21"/>
    <w:uiPriority w:val="0"/>
    <w:pPr>
      <w:keepNext/>
      <w:keepLines/>
      <w:spacing w:before="360" w:after="80" w:line="278" w:lineRule="auto"/>
    </w:pPr>
    <w:rPr>
      <w:rFonts w:ascii="Play" w:hAnsi="Play" w:eastAsia="Play" w:cs="Play"/>
      <w:color w:val="0F4761"/>
      <w:sz w:val="40"/>
      <w:szCs w:val="40"/>
    </w:rPr>
  </w:style>
  <w:style w:type="paragraph" w:styleId="3">
    <w:name w:val="heading 2"/>
    <w:basedOn w:val="1"/>
    <w:next w:val="1"/>
    <w:link w:val="22"/>
    <w:uiPriority w:val="0"/>
    <w:pPr>
      <w:keepNext/>
      <w:keepLines/>
      <w:spacing w:before="160" w:after="80" w:line="278" w:lineRule="auto"/>
    </w:pPr>
    <w:rPr>
      <w:rFonts w:ascii="Play" w:hAnsi="Play" w:eastAsia="Play" w:cs="Play"/>
      <w:color w:val="0F4761"/>
      <w:sz w:val="32"/>
      <w:szCs w:val="32"/>
    </w:rPr>
  </w:style>
  <w:style w:type="paragraph" w:styleId="4">
    <w:name w:val="heading 3"/>
    <w:basedOn w:val="1"/>
    <w:next w:val="1"/>
    <w:link w:val="23"/>
    <w:uiPriority w:val="0"/>
    <w:pPr>
      <w:keepNext/>
      <w:keepLines/>
      <w:spacing w:before="160" w:after="80" w:line="278" w:lineRule="auto"/>
    </w:pPr>
    <w:rPr>
      <w:rFonts w:ascii="Aptos" w:hAnsi="Aptos" w:eastAsia="Aptos" w:cs="Aptos"/>
      <w:color w:val="0F4761"/>
      <w:sz w:val="28"/>
      <w:szCs w:val="28"/>
    </w:rPr>
  </w:style>
  <w:style w:type="paragraph" w:styleId="5">
    <w:name w:val="heading 4"/>
    <w:basedOn w:val="1"/>
    <w:next w:val="1"/>
    <w:link w:val="24"/>
    <w:uiPriority w:val="0"/>
    <w:pPr>
      <w:keepNext/>
      <w:keepLines/>
      <w:spacing w:before="80" w:after="40" w:line="278" w:lineRule="auto"/>
    </w:pPr>
    <w:rPr>
      <w:rFonts w:ascii="Aptos" w:hAnsi="Aptos" w:eastAsia="Aptos" w:cs="Aptos"/>
      <w:i/>
      <w:iCs/>
      <w:color w:val="0F4761"/>
    </w:rPr>
  </w:style>
  <w:style w:type="paragraph" w:styleId="6">
    <w:name w:val="heading 5"/>
    <w:basedOn w:val="1"/>
    <w:next w:val="1"/>
    <w:link w:val="25"/>
    <w:uiPriority w:val="0"/>
    <w:pPr>
      <w:keepNext/>
      <w:keepLines/>
      <w:spacing w:before="80" w:after="40" w:line="278" w:lineRule="auto"/>
    </w:pPr>
    <w:rPr>
      <w:rFonts w:ascii="Aptos" w:hAnsi="Aptos" w:eastAsia="Aptos" w:cs="Aptos"/>
      <w:color w:val="0F4761"/>
    </w:rPr>
  </w:style>
  <w:style w:type="paragraph" w:styleId="7">
    <w:name w:val="heading 6"/>
    <w:basedOn w:val="1"/>
    <w:next w:val="1"/>
    <w:link w:val="26"/>
    <w:uiPriority w:val="0"/>
    <w:pPr>
      <w:keepNext/>
      <w:keepLines/>
      <w:spacing w:before="40" w:line="278" w:lineRule="auto"/>
    </w:pPr>
    <w:rPr>
      <w:rFonts w:ascii="Aptos" w:hAnsi="Aptos" w:eastAsia="Aptos" w:cs="Aptos"/>
      <w:i/>
      <w:iCs/>
      <w:color w:val="595959"/>
    </w:rPr>
  </w:style>
  <w:style w:type="paragraph" w:styleId="8">
    <w:name w:val="heading 7"/>
    <w:basedOn w:val="1"/>
    <w:next w:val="1"/>
    <w:link w:val="27"/>
    <w:semiHidden/>
    <w:unhideWhenUsed/>
    <w:qFormat/>
    <w:uiPriority w:val="9"/>
    <w:pPr>
      <w:keepNext/>
      <w:keepLines/>
      <w:spacing w:before="40" w:line="278" w:lineRule="auto"/>
      <w:outlineLvl w:val="6"/>
    </w:pPr>
    <w:rPr>
      <w:rFonts w:asciiTheme="minorHAnsi" w:hAnsiTheme="minorHAnsi" w:eastAsiaTheme="majorEastAsia" w:cstheme="majorBidi"/>
      <w:color w:val="595959" w:themeColor="text1" w:themeTint="A6"/>
      <w:kern w:val="2"/>
      <w:lang w:val="zh-CN"/>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line="278" w:lineRule="auto"/>
      <w:outlineLvl w:val="7"/>
    </w:pPr>
    <w:rPr>
      <w:rFonts w:asciiTheme="minorHAnsi" w:hAnsiTheme="minorHAnsi" w:eastAsiaTheme="majorEastAsia" w:cstheme="majorBidi"/>
      <w:i/>
      <w:iCs/>
      <w:color w:val="262626" w:themeColor="text1" w:themeTint="D9"/>
      <w:kern w:val="2"/>
      <w:lang w:val="zh-CN"/>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spacing w:line="278" w:lineRule="auto"/>
      <w:outlineLvl w:val="8"/>
    </w:pPr>
    <w:rPr>
      <w:rFonts w:asciiTheme="minorHAnsi" w:hAnsiTheme="minorHAnsi" w:eastAsiaTheme="majorEastAsia" w:cstheme="majorBidi"/>
      <w:color w:val="262626" w:themeColor="text1" w:themeTint="D9"/>
      <w:kern w:val="2"/>
      <w:lang w:val="zh-CN"/>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caption"/>
    <w:basedOn w:val="1"/>
    <w:next w:val="1"/>
    <w:unhideWhenUsed/>
    <w:qFormat/>
    <w:uiPriority w:val="35"/>
    <w:pPr>
      <w:spacing w:after="200"/>
    </w:pPr>
    <w:rPr>
      <w:i/>
      <w:iCs/>
      <w:color w:val="0E2841" w:themeColor="text2"/>
      <w:sz w:val="18"/>
      <w:szCs w:val="18"/>
      <w14:textFill>
        <w14:solidFill>
          <w14:schemeClr w14:val="tx2"/>
        </w14:solidFill>
      </w14:textFill>
    </w:rPr>
  </w:style>
  <w:style w:type="paragraph" w:styleId="14">
    <w:name w:val="footer"/>
    <w:basedOn w:val="1"/>
    <w:link w:val="42"/>
    <w:unhideWhenUsed/>
    <w:uiPriority w:val="99"/>
    <w:pPr>
      <w:tabs>
        <w:tab w:val="center" w:pos="4680"/>
        <w:tab w:val="right" w:pos="9360"/>
      </w:tabs>
    </w:pPr>
  </w:style>
  <w:style w:type="paragraph" w:styleId="15">
    <w:name w:val="header"/>
    <w:basedOn w:val="1"/>
    <w:link w:val="41"/>
    <w:unhideWhenUsed/>
    <w:uiPriority w:val="99"/>
    <w:pPr>
      <w:tabs>
        <w:tab w:val="center" w:pos="4680"/>
        <w:tab w:val="right" w:pos="9360"/>
      </w:tabs>
    </w:pPr>
  </w:style>
  <w:style w:type="character" w:styleId="16">
    <w:name w:val="Hyperlink"/>
    <w:basedOn w:val="11"/>
    <w:unhideWhenUsed/>
    <w:uiPriority w:val="99"/>
    <w:rPr>
      <w:color w:val="467886" w:themeColor="hyperlink"/>
      <w:u w:val="single"/>
      <w14:textFill>
        <w14:solidFill>
          <w14:schemeClr w14:val="hlink"/>
        </w14:solidFill>
      </w14:textFill>
    </w:rPr>
  </w:style>
  <w:style w:type="paragraph" w:styleId="17">
    <w:name w:val="Subtitle"/>
    <w:basedOn w:val="1"/>
    <w:next w:val="1"/>
    <w:uiPriority w:val="0"/>
    <w:pPr>
      <w:spacing w:after="160" w:line="278" w:lineRule="auto"/>
    </w:pPr>
    <w:rPr>
      <w:rFonts w:ascii="Aptos" w:hAnsi="Aptos" w:eastAsia="Aptos" w:cs="Aptos"/>
      <w:color w:val="595959"/>
      <w:sz w:val="28"/>
      <w:szCs w:val="28"/>
    </w:rPr>
  </w:style>
  <w:style w:type="table" w:styleId="18">
    <w:name w:val="Table Grid"/>
    <w:basedOn w:val="19"/>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TableNormal"/>
    <w:uiPriority w:val="0"/>
    <w:tblPr>
      <w:tblCellMar>
        <w:top w:w="100" w:type="dxa"/>
        <w:left w:w="100" w:type="dxa"/>
        <w:bottom w:w="100" w:type="dxa"/>
        <w:right w:w="100" w:type="dxa"/>
      </w:tblCellMar>
    </w:tblPr>
  </w:style>
  <w:style w:type="paragraph" w:styleId="20">
    <w:name w:val="Title"/>
    <w:basedOn w:val="1"/>
    <w:next w:val="1"/>
    <w:link w:val="30"/>
    <w:uiPriority w:val="0"/>
    <w:pPr>
      <w:spacing w:after="80"/>
    </w:pPr>
    <w:rPr>
      <w:rFonts w:ascii="Play" w:hAnsi="Play" w:eastAsia="Play" w:cs="Play"/>
      <w:sz w:val="56"/>
      <w:szCs w:val="56"/>
    </w:rPr>
  </w:style>
  <w:style w:type="character" w:customStyle="1" w:styleId="21">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22">
    <w:name w:val="Heading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23">
    <w:name w:val="Heading 3 Char"/>
    <w:basedOn w:val="11"/>
    <w:link w:val="4"/>
    <w:semiHidden/>
    <w:uiPriority w:val="9"/>
    <w:rPr>
      <w:rFonts w:eastAsiaTheme="majorEastAsia" w:cstheme="majorBidi"/>
      <w:color w:val="104862" w:themeColor="accent1" w:themeShade="BF"/>
      <w:sz w:val="28"/>
      <w:szCs w:val="28"/>
    </w:rPr>
  </w:style>
  <w:style w:type="character" w:customStyle="1" w:styleId="24">
    <w:name w:val="Heading 4 Char"/>
    <w:basedOn w:val="11"/>
    <w:link w:val="5"/>
    <w:semiHidden/>
    <w:uiPriority w:val="9"/>
    <w:rPr>
      <w:rFonts w:eastAsiaTheme="majorEastAsia" w:cstheme="majorBidi"/>
      <w:i/>
      <w:iCs/>
      <w:color w:val="104862" w:themeColor="accent1" w:themeShade="BF"/>
    </w:rPr>
  </w:style>
  <w:style w:type="character" w:customStyle="1" w:styleId="25">
    <w:name w:val="Heading 5 Char"/>
    <w:basedOn w:val="11"/>
    <w:link w:val="6"/>
    <w:semiHidden/>
    <w:uiPriority w:val="9"/>
    <w:rPr>
      <w:rFonts w:eastAsiaTheme="majorEastAsia" w:cstheme="majorBidi"/>
      <w:color w:val="104862" w:themeColor="accent1" w:themeShade="BF"/>
    </w:rPr>
  </w:style>
  <w:style w:type="character" w:customStyle="1" w:styleId="26">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le Char"/>
    <w:basedOn w:val="11"/>
    <w:link w:val="20"/>
    <w:uiPriority w:val="10"/>
    <w:rPr>
      <w:rFonts w:asciiTheme="majorHAnsi" w:hAnsiTheme="majorHAnsi" w:eastAsiaTheme="majorEastAsia" w:cstheme="majorBidi"/>
      <w:spacing w:val="-10"/>
      <w:kern w:val="28"/>
      <w:sz w:val="56"/>
      <w:szCs w:val="56"/>
    </w:rPr>
  </w:style>
  <w:style w:type="character" w:customStyle="1" w:styleId="31">
    <w:name w:val="Subtitle Char"/>
    <w:basedOn w:val="11"/>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line="278" w:lineRule="auto"/>
      <w:jc w:val="center"/>
    </w:pPr>
    <w:rPr>
      <w:rFonts w:asciiTheme="minorHAnsi" w:hAnsiTheme="minorHAnsi" w:eastAsiaTheme="minorHAnsi" w:cstheme="minorBidi"/>
      <w:i/>
      <w:iCs/>
      <w:color w:val="404040" w:themeColor="text1" w:themeTint="BF"/>
      <w:kern w:val="2"/>
      <w:lang w:val="zh-CN"/>
      <w14:textFill>
        <w14:solidFill>
          <w14:schemeClr w14:val="tx1">
            <w14:lumMod w14:val="75000"/>
            <w14:lumOff w14:val="25000"/>
          </w14:schemeClr>
        </w14:solidFill>
      </w14:textFill>
    </w:rPr>
  </w:style>
  <w:style w:type="character" w:customStyle="1" w:styleId="33">
    <w:name w:val="Quote Char"/>
    <w:basedOn w:val="11"/>
    <w:link w:val="32"/>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spacing w:after="160" w:line="278" w:lineRule="auto"/>
      <w:ind w:left="720"/>
      <w:contextualSpacing/>
    </w:pPr>
    <w:rPr>
      <w:rFonts w:asciiTheme="minorHAnsi" w:hAnsiTheme="minorHAnsi" w:eastAsiaTheme="minorHAnsi" w:cstheme="minorBidi"/>
      <w:kern w:val="2"/>
      <w:lang w:val="zh-CN"/>
    </w:rPr>
  </w:style>
  <w:style w:type="character" w:customStyle="1" w:styleId="35">
    <w:name w:val="Intense Emphasis"/>
    <w:basedOn w:val="11"/>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line="278" w:lineRule="auto"/>
      <w:ind w:left="864" w:right="864"/>
      <w:jc w:val="center"/>
    </w:pPr>
    <w:rPr>
      <w:rFonts w:asciiTheme="minorHAnsi" w:hAnsiTheme="minorHAnsi" w:eastAsiaTheme="minorHAnsi" w:cstheme="minorBidi"/>
      <w:i/>
      <w:iCs/>
      <w:color w:val="104862" w:themeColor="accent1" w:themeShade="BF"/>
      <w:kern w:val="2"/>
      <w:lang w:val="zh-CN"/>
    </w:rPr>
  </w:style>
  <w:style w:type="character" w:customStyle="1" w:styleId="37">
    <w:name w:val="Intense Quote Char"/>
    <w:basedOn w:val="11"/>
    <w:link w:val="36"/>
    <w:uiPriority w:val="30"/>
    <w:rPr>
      <w:i/>
      <w:iCs/>
      <w:color w:val="104862" w:themeColor="accent1" w:themeShade="BF"/>
    </w:rPr>
  </w:style>
  <w:style w:type="character" w:customStyle="1" w:styleId="38">
    <w:name w:val="Intense Reference"/>
    <w:basedOn w:val="11"/>
    <w:qFormat/>
    <w:uiPriority w:val="32"/>
    <w:rPr>
      <w:b/>
      <w:bCs/>
      <w:smallCaps/>
      <w:color w:val="104862" w:themeColor="accent1" w:themeShade="BF"/>
      <w:spacing w:val="5"/>
    </w:rPr>
  </w:style>
  <w:style w:type="paragraph" w:customStyle="1" w:styleId="39">
    <w:name w:val="Bibliography"/>
    <w:basedOn w:val="1"/>
    <w:next w:val="1"/>
    <w:semiHidden/>
    <w:unhideWhenUsed/>
    <w:uiPriority w:val="37"/>
  </w:style>
  <w:style w:type="character" w:customStyle="1" w:styleId="40">
    <w:name w:val="Unresolved Mention"/>
    <w:basedOn w:val="11"/>
    <w:semiHidden/>
    <w:unhideWhenUsed/>
    <w:uiPriority w:val="99"/>
    <w:rPr>
      <w:color w:val="605E5C"/>
      <w:shd w:val="clear" w:color="auto" w:fill="E1DFDD"/>
    </w:rPr>
  </w:style>
  <w:style w:type="character" w:customStyle="1" w:styleId="41">
    <w:name w:val="Header Char"/>
    <w:basedOn w:val="11"/>
    <w:link w:val="15"/>
    <w:uiPriority w:val="99"/>
    <w:rPr>
      <w:rFonts w:ascii="Times New Roman" w:hAnsi="Times New Roman" w:eastAsia="Times New Roman" w:cs="Times New Roman"/>
      <w:kern w:val="0"/>
      <w:lang w:val="en-US"/>
    </w:rPr>
  </w:style>
  <w:style w:type="character" w:customStyle="1" w:styleId="42">
    <w:name w:val="Footer Char"/>
    <w:basedOn w:val="11"/>
    <w:link w:val="14"/>
    <w:uiPriority w:val="99"/>
    <w:rPr>
      <w:rFonts w:ascii="Times New Roman" w:hAnsi="Times New Roman" w:eastAsia="Times New Roman" w:cs="Times New Roman"/>
      <w:kern w:val="0"/>
      <w:lang w:val="en-US"/>
    </w:rPr>
  </w:style>
  <w:style w:type="table" w:customStyle="1" w:styleId="43">
    <w:name w:val="_Style 42"/>
    <w:basedOn w:val="19"/>
    <w:uiPriority w:val="0"/>
    <w:pPr>
      <w:spacing w:after="0" w:line="240" w:lineRule="auto"/>
    </w:pPr>
    <w:tblPr>
      <w:tblCellMar>
        <w:top w:w="0" w:type="dxa"/>
        <w:left w:w="108" w:type="dxa"/>
        <w:bottom w:w="0" w:type="dxa"/>
        <w:right w:w="108" w:type="dxa"/>
      </w:tblCellMar>
    </w:tblPr>
  </w:style>
  <w:style w:type="table" w:customStyle="1" w:styleId="44">
    <w:name w:val="_Style 43"/>
    <w:basedOn w:val="19"/>
    <w:uiPriority w:val="0"/>
    <w:pPr>
      <w:spacing w:after="0" w:line="240" w:lineRule="auto"/>
    </w:pPr>
    <w:tblPr>
      <w:tblCellMar>
        <w:top w:w="0" w:type="dxa"/>
        <w:left w:w="108" w:type="dxa"/>
        <w:bottom w:w="0" w:type="dxa"/>
        <w:right w:w="108" w:type="dxa"/>
      </w:tblCellMar>
    </w:tblPr>
  </w:style>
  <w:style w:type="table" w:customStyle="1" w:styleId="45">
    <w:name w:val="_Style 44"/>
    <w:basedOn w:val="19"/>
    <w:uiPriority w:val="0"/>
    <w:pPr>
      <w:spacing w:after="0" w:line="240" w:lineRule="auto"/>
    </w:pPr>
    <w:tblPr>
      <w:tblCellMar>
        <w:top w:w="0" w:type="dxa"/>
        <w:left w:w="108" w:type="dxa"/>
        <w:bottom w:w="0" w:type="dxa"/>
        <w:right w:w="108" w:type="dxa"/>
      </w:tblCellMar>
    </w:tblPr>
  </w:style>
  <w:style w:type="table" w:customStyle="1" w:styleId="46">
    <w:name w:val="_Style 45"/>
    <w:basedOn w:val="19"/>
    <w:uiPriority w:val="0"/>
    <w:pPr>
      <w:spacing w:after="0" w:line="240" w:lineRule="auto"/>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4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a:t>Number of publications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Number of publications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Sheet1!$A$2:$A$37</c:f>
              <c:strCache>
                <c:ptCount val="3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strCache>
            </c:strRef>
          </c:cat>
          <c:val>
            <c:numRef>
              <c:f>Sheet1!$B$2:$B$37</c:f>
              <c:numCache>
                <c:formatCode>General</c:formatCode>
                <c:ptCount val="36"/>
                <c:pt idx="0">
                  <c:v>1</c:v>
                </c:pt>
                <c:pt idx="1">
                  <c:v>1</c:v>
                </c:pt>
                <c:pt idx="2">
                  <c:v>4</c:v>
                </c:pt>
                <c:pt idx="3">
                  <c:v>5</c:v>
                </c:pt>
                <c:pt idx="4">
                  <c:v>4</c:v>
                </c:pt>
                <c:pt idx="5">
                  <c:v>9</c:v>
                </c:pt>
                <c:pt idx="6">
                  <c:v>8</c:v>
                </c:pt>
                <c:pt idx="7">
                  <c:v>5</c:v>
                </c:pt>
                <c:pt idx="8">
                  <c:v>13</c:v>
                </c:pt>
                <c:pt idx="9">
                  <c:v>13</c:v>
                </c:pt>
                <c:pt idx="10">
                  <c:v>7</c:v>
                </c:pt>
                <c:pt idx="11">
                  <c:v>6</c:v>
                </c:pt>
                <c:pt idx="12">
                  <c:v>16</c:v>
                </c:pt>
                <c:pt idx="13">
                  <c:v>11</c:v>
                </c:pt>
                <c:pt idx="14">
                  <c:v>16</c:v>
                </c:pt>
                <c:pt idx="15">
                  <c:v>14</c:v>
                </c:pt>
                <c:pt idx="16">
                  <c:v>21</c:v>
                </c:pt>
                <c:pt idx="17">
                  <c:v>19</c:v>
                </c:pt>
                <c:pt idx="18">
                  <c:v>22</c:v>
                </c:pt>
                <c:pt idx="19">
                  <c:v>23</c:v>
                </c:pt>
                <c:pt idx="20">
                  <c:v>33</c:v>
                </c:pt>
                <c:pt idx="21">
                  <c:v>34</c:v>
                </c:pt>
                <c:pt idx="22">
                  <c:v>26</c:v>
                </c:pt>
                <c:pt idx="23">
                  <c:v>38</c:v>
                </c:pt>
                <c:pt idx="24">
                  <c:v>31</c:v>
                </c:pt>
                <c:pt idx="25">
                  <c:v>26</c:v>
                </c:pt>
                <c:pt idx="26">
                  <c:v>27</c:v>
                </c:pt>
                <c:pt idx="27">
                  <c:v>32</c:v>
                </c:pt>
                <c:pt idx="28">
                  <c:v>19</c:v>
                </c:pt>
                <c:pt idx="29">
                  <c:v>23</c:v>
                </c:pt>
                <c:pt idx="30">
                  <c:v>28</c:v>
                </c:pt>
                <c:pt idx="31">
                  <c:v>24</c:v>
                </c:pt>
                <c:pt idx="32">
                  <c:v>22</c:v>
                </c:pt>
                <c:pt idx="33">
                  <c:v>31</c:v>
                </c:pt>
                <c:pt idx="34">
                  <c:v>41</c:v>
                </c:pt>
                <c:pt idx="35">
                  <c:v>4</c:v>
                </c:pt>
              </c:numCache>
            </c:numRef>
          </c:val>
        </c:ser>
        <c:dLbls>
          <c:showLegendKey val="0"/>
          <c:showVal val="1"/>
          <c:showCatName val="0"/>
          <c:showSerName val="0"/>
          <c:showPercent val="0"/>
          <c:showBubbleSize val="0"/>
        </c:dLbls>
        <c:gapWidth val="219"/>
        <c:overlap val="-27"/>
        <c:axId val="577932976"/>
        <c:axId val="577934688"/>
      </c:barChart>
      <c:catAx>
        <c:axId val="57793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577934688"/>
        <c:crosses val="autoZero"/>
        <c:auto val="1"/>
        <c:lblAlgn val="ctr"/>
        <c:lblOffset val="100"/>
        <c:noMultiLvlLbl val="0"/>
      </c:catAx>
      <c:valAx>
        <c:axId val="57793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577932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f29f9301-434f-44d4-a39c-edad8b43824d}"/>
      </c:ext>
    </c:extLst>
  </c:chart>
  <c:spPr>
    <a:solidFill>
      <a:schemeClr val="bg1"/>
    </a:solidFill>
    <a:ln w="9525" cap="flat" cmpd="sng" algn="ctr">
      <a:solidFill>
        <a:schemeClr val="tx1">
          <a:lumMod val="15000"/>
          <a:lumOff val="85000"/>
        </a:schemeClr>
      </a:solidFill>
      <a:round/>
    </a:ln>
    <a:effectLst/>
  </c:spPr>
  <c:txPr>
    <a:bodyPr/>
    <a:lstStyle/>
    <a:p>
      <a:pPr>
        <a:defRPr lang="en-US" sz="1200">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L7WuzyUN9Qowqo3d6EF0f0y2Gg==">CgMxLjAiiwIKC0FBQUIwenBrR2M0EtcBCgtBQUFCMHpwa0djNBILQUFBQjB6cGtHYzQaDQoJdGV4dC9odG1sEgAiDgoKdGV4dC9wbGFpbhIAKhsiFTExMzkxNzAzMzE3MTExOTU0OTgwMigAOAAw6qOazMszOMqrmszLM0o9CiRhcHBsaWNhdGlvbi92bmQuZ29vZ2xlLWFwcHMuZG9jcy5tZHMaFcLX2uQBDxINCgkKA2NvbhABGAAQAVoMcGIwbDg1aXN5Z21hcgIgAHgAggEUc3VnZ2VzdC51azVveGxoMm94NTiaAQYIABAAGAAY6qOazMszIMqrmszLM0IUc3VnZ2VzdC51azVveGxoMm94NTg4AGoxChRzdWdnZXN0LnVrNW94bGgyb3g1OBIZVHLDom0gVHLhuqduIFRo4buLIE5n4buNY3IhMWdBVFBmVWt4aHc5MkMySXdVVDN6Q1JncDFUUUFlS2Fq</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9</Pages>
  <TotalTime>0</TotalTime>
  <ScaleCrop>false</ScaleCrop>
  <LinksUpToDate>false</LinksUpToDate>
  <Application>WPS Office_12.2.0.22549_F1E327BC-269C-435d-A152-05C5408002CA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2025-05-14T08:54:00Z</dcterms:created>
  <dc:creator>mic713390</dc:creator>
  <cp:lastModifiedBy>AUTHOR MODIFICATION</cp:lastModifiedBy>
  <dcterms:modified xsi:type="dcterms:W3CDTF">2026-03-07T16:09:06Z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A176D0B3FAC44BE2B745383750928E79_12</vt:lpwstr>
  </property>
</Properties>
</file>