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FA85" w14:textId="77777777" w:rsidR="00900977" w:rsidRDefault="00900977" w:rsidP="00900977">
      <w:pPr>
        <w:pStyle w:val="Heading1"/>
      </w:pPr>
      <w:r>
        <w:t>Appendix A. Lexicons and robustness</w:t>
      </w:r>
    </w:p>
    <w:p w14:paraId="7C39B580" w14:textId="77777777" w:rsidR="00900977" w:rsidRDefault="00900977" w:rsidP="00900977">
      <w:pPr>
        <w:pStyle w:val="Heading2"/>
      </w:pPr>
      <w:r>
        <w:t>A.1 Regime lexicons</w:t>
      </w:r>
    </w:p>
    <w:p w14:paraId="4CF4F300" w14:textId="77777777" w:rsidR="00900977" w:rsidRDefault="00900977" w:rsidP="00900977">
      <w:pPr>
        <w:rPr>
          <w:rFonts w:eastAsia="Malgun Gothic"/>
          <w:lang w:eastAsia="ko-KR"/>
        </w:rPr>
      </w:pPr>
      <w:r>
        <w:t>For regime assignment in the salience and network diagnostics, I use refined lexicons that capture implementable governance frames rather than generic AI discussion. Lexicon matching is case‑insensitive. Each document is represented by a metadata text blob formed by concatenating Title, Translated title, Source‑specific tags, Your tags, Top topics, and Document theme. A document is coded as belonging to a regime if at least one term from that regime’s lexicon appears in its blob.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8352"/>
      </w:tblGrid>
      <w:tr w:rsidR="00900977" w:rsidRPr="00E277C1" w14:paraId="32FABD14" w14:textId="77777777" w:rsidTr="00203F02">
        <w:trPr>
          <w:jc w:val="center"/>
        </w:trPr>
        <w:tc>
          <w:tcPr>
            <w:tcW w:w="1440" w:type="dxa"/>
            <w:vAlign w:val="center"/>
            <w:hideMark/>
          </w:tcPr>
          <w:p w14:paraId="6C1B1872" w14:textId="77777777" w:rsidR="00900977" w:rsidRPr="00E277C1" w:rsidRDefault="00900977" w:rsidP="00203F02">
            <w:pPr>
              <w:rPr>
                <w:rFonts w:eastAsia="Malgun Gothic"/>
                <w:b/>
                <w:bCs/>
                <w:lang w:eastAsia="ko-KR"/>
              </w:rPr>
            </w:pPr>
            <w:r w:rsidRPr="00E277C1">
              <w:rPr>
                <w:rFonts w:eastAsia="Malgun Gothic"/>
                <w:b/>
                <w:bCs/>
                <w:lang w:eastAsia="ko-KR"/>
              </w:rPr>
              <w:t>Regime</w:t>
            </w:r>
          </w:p>
        </w:tc>
        <w:tc>
          <w:tcPr>
            <w:tcW w:w="8352" w:type="dxa"/>
            <w:vAlign w:val="center"/>
            <w:hideMark/>
          </w:tcPr>
          <w:p w14:paraId="6685B843" w14:textId="77777777" w:rsidR="00900977" w:rsidRPr="00E277C1" w:rsidRDefault="00900977" w:rsidP="00203F02">
            <w:pPr>
              <w:rPr>
                <w:rFonts w:eastAsia="Malgun Gothic"/>
                <w:b/>
                <w:bCs/>
                <w:lang w:eastAsia="ko-KR"/>
              </w:rPr>
            </w:pPr>
            <w:r w:rsidRPr="00E277C1">
              <w:rPr>
                <w:rFonts w:eastAsia="Malgun Gothic"/>
                <w:b/>
                <w:bCs/>
                <w:lang w:eastAsia="ko-KR"/>
              </w:rPr>
              <w:t>Illustrative refined lexicon terms</w:t>
            </w:r>
          </w:p>
        </w:tc>
      </w:tr>
      <w:tr w:rsidR="00900977" w:rsidRPr="00E277C1" w14:paraId="21949AEF" w14:textId="77777777" w:rsidTr="00203F02">
        <w:trPr>
          <w:jc w:val="center"/>
        </w:trPr>
        <w:tc>
          <w:tcPr>
            <w:tcW w:w="1440" w:type="dxa"/>
            <w:vAlign w:val="center"/>
            <w:hideMark/>
          </w:tcPr>
          <w:p w14:paraId="583480D4" w14:textId="77777777" w:rsidR="00900977" w:rsidRPr="00E277C1" w:rsidRDefault="00900977" w:rsidP="00203F02">
            <w:pPr>
              <w:rPr>
                <w:rFonts w:eastAsia="Malgun Gothic"/>
                <w:lang w:eastAsia="ko-KR"/>
              </w:rPr>
            </w:pPr>
            <w:r w:rsidRPr="00E277C1">
              <w:rPr>
                <w:rFonts w:eastAsia="Malgun Gothic"/>
                <w:b/>
                <w:bCs/>
                <w:lang w:eastAsia="ko-KR"/>
              </w:rPr>
              <w:t>Control</w:t>
            </w:r>
          </w:p>
        </w:tc>
        <w:tc>
          <w:tcPr>
            <w:tcW w:w="8352" w:type="dxa"/>
            <w:vAlign w:val="center"/>
            <w:hideMark/>
          </w:tcPr>
          <w:p w14:paraId="713F39AD" w14:textId="77777777" w:rsidR="00900977" w:rsidRPr="00E277C1" w:rsidRDefault="00900977" w:rsidP="00203F02">
            <w:pPr>
              <w:rPr>
                <w:rFonts w:eastAsia="Malgun Gothic"/>
                <w:lang w:eastAsia="ko-KR"/>
              </w:rPr>
            </w:pPr>
            <w:r w:rsidRPr="00E277C1">
              <w:rPr>
                <w:rFonts w:eastAsia="Malgun Gothic"/>
                <w:lang w:eastAsia="ko-KR"/>
              </w:rPr>
              <w:t>sovereignty; strategic autonomy; surveillance; export control; export controls; national security; military; defence; defense; intelligence; border; geopolitic*; sanction*; critical infrastructure; law enforcement; policing</w:t>
            </w:r>
          </w:p>
        </w:tc>
      </w:tr>
      <w:tr w:rsidR="00900977" w:rsidRPr="00E277C1" w14:paraId="1013CA98" w14:textId="77777777" w:rsidTr="00203F02">
        <w:trPr>
          <w:jc w:val="center"/>
        </w:trPr>
        <w:tc>
          <w:tcPr>
            <w:tcW w:w="1440" w:type="dxa"/>
            <w:vAlign w:val="center"/>
            <w:hideMark/>
          </w:tcPr>
          <w:p w14:paraId="5D088AAE" w14:textId="77777777" w:rsidR="00900977" w:rsidRPr="00E277C1" w:rsidRDefault="00900977" w:rsidP="00203F02">
            <w:pPr>
              <w:rPr>
                <w:rFonts w:eastAsia="Malgun Gothic"/>
                <w:lang w:eastAsia="ko-KR"/>
              </w:rPr>
            </w:pPr>
            <w:r w:rsidRPr="00E277C1">
              <w:rPr>
                <w:rFonts w:eastAsia="Malgun Gothic"/>
                <w:b/>
                <w:bCs/>
                <w:lang w:eastAsia="ko-KR"/>
              </w:rPr>
              <w:t>Rights</w:t>
            </w:r>
          </w:p>
        </w:tc>
        <w:tc>
          <w:tcPr>
            <w:tcW w:w="8352" w:type="dxa"/>
            <w:vAlign w:val="center"/>
            <w:hideMark/>
          </w:tcPr>
          <w:p w14:paraId="2BBD1678" w14:textId="77777777" w:rsidR="00900977" w:rsidRPr="00E277C1" w:rsidRDefault="00900977" w:rsidP="00203F02">
            <w:pPr>
              <w:rPr>
                <w:rFonts w:eastAsia="Malgun Gothic"/>
                <w:lang w:eastAsia="ko-KR"/>
              </w:rPr>
            </w:pPr>
            <w:r w:rsidRPr="00E277C1">
              <w:rPr>
                <w:rFonts w:eastAsia="Malgun Gothic"/>
                <w:lang w:eastAsia="ko-KR"/>
              </w:rPr>
              <w:t>non-discrimination; nondiscrimination; privacy; data protection; due process; transparency; accountability; human rights; fundamental rights; civil rights; bias; fairness; equality; discrimination; accessibility; consent</w:t>
            </w:r>
          </w:p>
        </w:tc>
      </w:tr>
      <w:tr w:rsidR="00900977" w:rsidRPr="00E277C1" w14:paraId="170F1CD8" w14:textId="77777777" w:rsidTr="00203F02">
        <w:trPr>
          <w:jc w:val="center"/>
        </w:trPr>
        <w:tc>
          <w:tcPr>
            <w:tcW w:w="1440" w:type="dxa"/>
            <w:vAlign w:val="center"/>
            <w:hideMark/>
          </w:tcPr>
          <w:p w14:paraId="624FEA41" w14:textId="77777777" w:rsidR="00900977" w:rsidRPr="00E277C1" w:rsidRDefault="00900977" w:rsidP="00203F02">
            <w:pPr>
              <w:rPr>
                <w:rFonts w:eastAsia="Malgun Gothic"/>
                <w:lang w:eastAsia="ko-KR"/>
              </w:rPr>
            </w:pPr>
            <w:r w:rsidRPr="00E277C1">
              <w:rPr>
                <w:rFonts w:eastAsia="Malgun Gothic"/>
                <w:b/>
                <w:bCs/>
                <w:lang w:eastAsia="ko-KR"/>
              </w:rPr>
              <w:t>Safety</w:t>
            </w:r>
          </w:p>
        </w:tc>
        <w:tc>
          <w:tcPr>
            <w:tcW w:w="8352" w:type="dxa"/>
            <w:vAlign w:val="center"/>
            <w:hideMark/>
          </w:tcPr>
          <w:p w14:paraId="2EDAB2EE" w14:textId="77777777" w:rsidR="00900977" w:rsidRPr="00E277C1" w:rsidRDefault="00900977" w:rsidP="00203F02">
            <w:pPr>
              <w:rPr>
                <w:rFonts w:eastAsia="Malgun Gothic"/>
                <w:lang w:eastAsia="ko-KR"/>
              </w:rPr>
            </w:pPr>
            <w:r w:rsidRPr="00E277C1">
              <w:rPr>
                <w:rFonts w:eastAsia="Malgun Gothic"/>
                <w:lang w:eastAsia="ko-KR"/>
              </w:rPr>
              <w:t>risk management; evaluation; robustness; audit; testing; monitoring; conformity assessment; assurance; safety; hazard; incident; red teaming; red-teaming; systemic risk; reliability; resilience; validation; verification</w:t>
            </w:r>
          </w:p>
        </w:tc>
      </w:tr>
    </w:tbl>
    <w:p w14:paraId="39D24FC7" w14:textId="77777777" w:rsidR="00900977" w:rsidRPr="00E277C1" w:rsidRDefault="00900977" w:rsidP="00900977">
      <w:pPr>
        <w:rPr>
          <w:rFonts w:eastAsia="Malgun Gothic"/>
          <w:lang w:eastAsia="ko-KR"/>
        </w:rPr>
      </w:pPr>
    </w:p>
    <w:p w14:paraId="544B5FCE" w14:textId="77777777" w:rsidR="00900977" w:rsidRDefault="00900977" w:rsidP="00900977">
      <w:pPr>
        <w:pStyle w:val="Heading2"/>
      </w:pPr>
      <w:r>
        <w:t>A.2 Lead-lag network construction</w:t>
      </w:r>
    </w:p>
    <w:p w14:paraId="6AA74BDB" w14:textId="77777777" w:rsidR="00900977" w:rsidRDefault="00900977" w:rsidP="00900977">
      <w:r>
        <w:t>The influence networks summarize temporal precedence in regime salience across actor families. The construction proceeds as follows.</w:t>
      </w:r>
    </w:p>
    <w:p w14:paraId="2F161196" w14:textId="77777777" w:rsidR="00900977" w:rsidRDefault="00900977" w:rsidP="00900977">
      <w:r>
        <w:t>1) Data and nodes. I start from the Overton corpus and map each document’s source organization type into the five actor families used in the paper (State, IGOs, standards bodies, industry, and civil society/experts). These families form the network nodes.</w:t>
      </w:r>
    </w:p>
    <w:p w14:paraId="7CAD7916" w14:textId="77777777" w:rsidR="00900977" w:rsidRDefault="00900977" w:rsidP="00900977">
      <w:r>
        <w:t>2) Regime indicators. Using the lexicons above, I code each document as Control/Rights/Safety=1 if its text blob contains ≥1 regime term (0 otherwise).</w:t>
      </w:r>
    </w:p>
    <w:p w14:paraId="260B39C7" w14:textId="77777777" w:rsidR="00900977" w:rsidRPr="00E277C1" w:rsidRDefault="00900977" w:rsidP="00900977">
      <w:pPr>
        <w:rPr>
          <w:lang w:eastAsia="ko-KR"/>
        </w:rPr>
      </w:pPr>
      <w:r>
        <w:t xml:space="preserve">3) Actor×month salience series. For each actor family a and month t, </w:t>
      </w:r>
      <m:oMath>
        <m:r>
          <w:rPr>
            <w:rFonts w:ascii="Cambria Math" w:hAnsi="Cambria Math"/>
          </w:rPr>
          <m:t>salienc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,r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 equals the share of that actor family’s documents in month t that are coded as regime r. For visualization and to reduce short-run noise, I smooth salience with a 12‑month rolling mean (min_periods=6).</w:t>
      </w:r>
    </w:p>
    <w:p w14:paraId="17B459A4" w14:textId="77777777" w:rsidR="00900977" w:rsidRPr="00E277C1" w:rsidRDefault="00900977" w:rsidP="00900977">
      <w:pPr>
        <w:rPr>
          <w:lang w:eastAsia="ko-KR"/>
        </w:rPr>
      </w:pPr>
      <w:r>
        <w:t>4) Directed lead–lag ties. For each ordered pair (A,B), I compute cross-correlations corr(</w:t>
      </w:r>
      <m:oMath>
        <m:r>
          <w:rPr>
            <w:rFonts w:ascii="Cambria Math" w:hAnsi="Cambria Math"/>
          </w:rPr>
          <m:t>salienc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A</m:t>
            </m:r>
          </m:sub>
        </m:sSub>
        <m:r>
          <w:rPr>
            <w:rFonts w:ascii="Cambria Math" w:hAnsi="Cambria Math"/>
          </w:rPr>
          <m:t>,r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</m:oMath>
      <w:r>
        <w:t xml:space="preserve">, </w:t>
      </w:r>
      <m:oMath>
        <m:r>
          <w:rPr>
            <w:rFonts w:ascii="Cambria Math" w:hAnsi="Cambria Math"/>
          </w:rPr>
          <m:t>salienc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e</m:t>
            </m:r>
          </m:e>
          <m:sub>
            <m:r>
              <w:rPr>
                <w:rFonts w:ascii="Cambria Math" w:hAnsi="Cambria Math"/>
              </w:rPr>
              <m:t>B</m:t>
            </m:r>
          </m:sub>
        </m:sSub>
        <m:r>
          <w:rPr>
            <w:rFonts w:ascii="Cambria Math" w:hAnsi="Cambria Math"/>
          </w:rPr>
          <m:t>,r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t</m:t>
            </m:r>
            <m:r>
              <m:rPr>
                <m:scr m:val="script"/>
              </m:rPr>
              <w:rPr>
                <w:rFonts w:ascii="Cambria Math" w:hAnsi="Cambria Math"/>
              </w:rPr>
              <m:t>+l</m:t>
            </m:r>
          </m:e>
        </m:d>
      </m:oMath>
      <w:r>
        <w:t>) for ℓ=1,…,12 months and select the lag ℓ* that maximizes the correlation. I record ℓ* as the edge label (months) and the maximum correlation as the edge weight.</w:t>
      </w:r>
    </w:p>
    <w:p w14:paraId="7CDFB3F4" w14:textId="77777777" w:rsidR="00900977" w:rsidRDefault="00900977" w:rsidP="00900977">
      <w:r>
        <w:t>5) Sparsification for readability. I retain edges only if the weight exceeds 0.16 and then keep the top‑weight edges within each regime to avoid overly dense figures (Control and Rights: top 45%; Safety: top 40%).</w:t>
      </w:r>
    </w:p>
    <w:p w14:paraId="2D078D81" w14:textId="77777777" w:rsidR="00900977" w:rsidRDefault="00900977" w:rsidP="00900977">
      <w:r>
        <w:lastRenderedPageBreak/>
        <w:t>Interpretation. The resulting edges capture lagged co‑movement consistent with agenda alignment and template circulation. They do not, by themselves, establish textual copying, citation, or causal transmission.</w:t>
      </w:r>
    </w:p>
    <w:p w14:paraId="15CC5D11" w14:textId="77777777" w:rsidR="00900977" w:rsidRDefault="00900977" w:rsidP="00900977">
      <w:pPr>
        <w:pStyle w:val="Heading2"/>
      </w:pPr>
      <w:r>
        <w:t>A.3 Sensitivity notes</w:t>
      </w:r>
    </w:p>
    <w:p w14:paraId="5C1B086D" w14:textId="77777777" w:rsidR="00900977" w:rsidRDefault="00900977" w:rsidP="00900977">
      <w:r>
        <w:t>To assess whether the main patterns are artifacts of particular operational choices, I re-estimate core diagnostics under plausible alternatives, including:</w:t>
      </w:r>
    </w:p>
    <w:p w14:paraId="141F20BB" w14:textId="77777777" w:rsidR="00900977" w:rsidRDefault="00900977" w:rsidP="00900977">
      <w:pPr>
        <w:pStyle w:val="ListBullet"/>
        <w:tabs>
          <w:tab w:val="num" w:pos="360"/>
        </w:tabs>
        <w:ind w:left="360" w:hanging="360"/>
      </w:pPr>
      <w:r>
        <w:t>alternative actor-family mappings (e.g., separating legislatures from the broader State category; relocating hybrid expert bodies across adjacent families)</w:t>
      </w:r>
    </w:p>
    <w:p w14:paraId="09376554" w14:textId="77777777" w:rsidR="00900977" w:rsidRDefault="00900977" w:rsidP="00900977">
      <w:pPr>
        <w:pStyle w:val="ListBullet"/>
        <w:tabs>
          <w:tab w:val="num" w:pos="360"/>
        </w:tabs>
        <w:ind w:left="360" w:hanging="360"/>
      </w:pPr>
      <w:r>
        <w:t>alternative salience scoring rules (mean versus top-tail shares) and regime-lexicon variants</w:t>
      </w:r>
    </w:p>
    <w:p w14:paraId="2D36EE41" w14:textId="77777777" w:rsidR="00900977" w:rsidRDefault="00900977" w:rsidP="00900977">
      <w:pPr>
        <w:pStyle w:val="ListBullet"/>
        <w:tabs>
          <w:tab w:val="num" w:pos="360"/>
        </w:tabs>
        <w:ind w:left="360" w:hanging="360"/>
      </w:pPr>
      <w:r>
        <w:t>alternative lag windows and correlation thresholds in the lead–lag network construction</w:t>
      </w:r>
      <w:r>
        <w:br w:type="page"/>
      </w:r>
    </w:p>
    <w:p w14:paraId="2F5F09EF" w14:textId="77777777" w:rsidR="00900977" w:rsidRDefault="00900977" w:rsidP="00900977">
      <w:pPr>
        <w:pStyle w:val="Heading2"/>
      </w:pPr>
      <w:r>
        <w:t>A.4 Corpus flow and actor-family coding examples</w:t>
      </w:r>
    </w:p>
    <w:p w14:paraId="6C0CD2E3" w14:textId="77777777" w:rsidR="00900977" w:rsidRDefault="00900977" w:rsidP="00900977">
      <w:r>
        <w:rPr>
          <w:b/>
        </w:rPr>
        <w:t xml:space="preserve">Table A1. </w:t>
      </w:r>
      <w:r>
        <w:rPr>
          <w:i/>
        </w:rPr>
        <w:t>Corpus flow used to reconstruct the analytic sample.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12"/>
        <w:gridCol w:w="1440"/>
        <w:gridCol w:w="2304"/>
      </w:tblGrid>
      <w:tr w:rsidR="00900977" w14:paraId="30DB24BA" w14:textId="77777777" w:rsidTr="00203F02">
        <w:trPr>
          <w:jc w:val="center"/>
        </w:trPr>
        <w:tc>
          <w:tcPr>
            <w:tcW w:w="6912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035017" w14:textId="77777777" w:rsidR="00900977" w:rsidRDefault="00900977" w:rsidP="00203F02">
            <w:r>
              <w:rPr>
                <w:b/>
                <w:sz w:val="18"/>
              </w:rPr>
              <w:t>Step</w:t>
            </w:r>
          </w:p>
        </w:tc>
        <w:tc>
          <w:tcPr>
            <w:tcW w:w="144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24657C" w14:textId="77777777" w:rsidR="00900977" w:rsidRDefault="00900977" w:rsidP="00203F02">
            <w:r>
              <w:rPr>
                <w:b/>
                <w:sz w:val="18"/>
              </w:rPr>
              <w:t>N</w:t>
            </w:r>
          </w:p>
        </w:tc>
        <w:tc>
          <w:tcPr>
            <w:tcW w:w="2304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2BCD" w14:textId="77777777" w:rsidR="00900977" w:rsidRDefault="00900977" w:rsidP="00203F02">
            <w:r>
              <w:rPr>
                <w:b/>
                <w:sz w:val="18"/>
              </w:rPr>
              <w:t>Share of deduplicated universe</w:t>
            </w:r>
          </w:p>
        </w:tc>
      </w:tr>
      <w:tr w:rsidR="00900977" w14:paraId="2C916B06" w14:textId="77777777" w:rsidTr="00203F02">
        <w:trPr>
          <w:jc w:val="center"/>
        </w:trPr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1CB176" w14:textId="77777777" w:rsidR="00900977" w:rsidRDefault="00900977" w:rsidP="00203F02">
            <w:r>
              <w:t>Initial Overton export rows</w:t>
            </w:r>
          </w:p>
        </w:tc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D0D70F" w14:textId="77777777" w:rsidR="00900977" w:rsidRDefault="00900977" w:rsidP="00203F02">
            <w:r>
              <w:rPr>
                <w:sz w:val="18"/>
              </w:rPr>
              <w:t>209,188</w:t>
            </w:r>
          </w:p>
        </w:tc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D71019" w14:textId="77777777" w:rsidR="00900977" w:rsidRDefault="00900977" w:rsidP="00203F02">
            <w:r>
              <w:rPr>
                <w:sz w:val="18"/>
              </w:rPr>
              <w:t>—</w:t>
            </w:r>
          </w:p>
        </w:tc>
      </w:tr>
      <w:tr w:rsidR="00900977" w14:paraId="65DDA7F3" w14:textId="77777777" w:rsidTr="00203F02">
        <w:trPr>
          <w:jc w:val="center"/>
        </w:trPr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C38AC9" w14:textId="77777777" w:rsidR="00900977" w:rsidRDefault="00900977" w:rsidP="00203F02">
            <w:r>
              <w:rPr>
                <w:sz w:val="18"/>
              </w:rPr>
              <w:t>Unique documents after deduplication by Overton id</w:t>
            </w:r>
          </w:p>
        </w:tc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B03768" w14:textId="77777777" w:rsidR="00900977" w:rsidRDefault="00900977" w:rsidP="00203F02">
            <w:r>
              <w:rPr>
                <w:sz w:val="18"/>
              </w:rPr>
              <w:t>198,823</w:t>
            </w:r>
          </w:p>
        </w:tc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4A6A51" w14:textId="77777777" w:rsidR="00900977" w:rsidRDefault="00900977" w:rsidP="00203F02">
            <w:r>
              <w:rPr>
                <w:sz w:val="18"/>
              </w:rPr>
              <w:t>100.0%</w:t>
            </w:r>
          </w:p>
        </w:tc>
      </w:tr>
      <w:tr w:rsidR="00900977" w14:paraId="689F02FB" w14:textId="77777777" w:rsidTr="00203F02">
        <w:trPr>
          <w:jc w:val="center"/>
        </w:trPr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80FF4E" w14:textId="77777777" w:rsidR="00900977" w:rsidRDefault="00900977" w:rsidP="00203F02">
            <w:r>
              <w:rPr>
                <w:sz w:val="18"/>
              </w:rPr>
              <w:t>Documents with valid publication date</w:t>
            </w:r>
          </w:p>
        </w:tc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CF07A4" w14:textId="77777777" w:rsidR="00900977" w:rsidRDefault="00900977" w:rsidP="00203F02">
            <w:r>
              <w:rPr>
                <w:sz w:val="18"/>
              </w:rPr>
              <w:t>198,822</w:t>
            </w:r>
          </w:p>
        </w:tc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64C9D0" w14:textId="77777777" w:rsidR="00900977" w:rsidRDefault="00900977" w:rsidP="00203F02">
            <w:r>
              <w:rPr>
                <w:sz w:val="18"/>
              </w:rPr>
              <w:t>100.0%</w:t>
            </w:r>
          </w:p>
        </w:tc>
      </w:tr>
      <w:tr w:rsidR="00900977" w14:paraId="1F87F442" w14:textId="77777777" w:rsidTr="00203F02">
        <w:trPr>
          <w:jc w:val="center"/>
        </w:trPr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424FE5" w14:textId="77777777" w:rsidR="00900977" w:rsidRDefault="00900977" w:rsidP="00203F02">
            <w:r>
              <w:rPr>
                <w:sz w:val="18"/>
              </w:rPr>
              <w:t>Documents with non-empty metadata text blob</w:t>
            </w:r>
          </w:p>
        </w:tc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FFCF93" w14:textId="77777777" w:rsidR="00900977" w:rsidRDefault="00900977" w:rsidP="00203F02">
            <w:r>
              <w:rPr>
                <w:sz w:val="18"/>
              </w:rPr>
              <w:t>198,823</w:t>
            </w:r>
          </w:p>
        </w:tc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CAE38A" w14:textId="77777777" w:rsidR="00900977" w:rsidRDefault="00900977" w:rsidP="00203F02">
            <w:r>
              <w:rPr>
                <w:sz w:val="18"/>
              </w:rPr>
              <w:t>100.0%</w:t>
            </w:r>
          </w:p>
        </w:tc>
      </w:tr>
      <w:tr w:rsidR="00900977" w14:paraId="15B9594B" w14:textId="77777777" w:rsidTr="00203F02">
        <w:trPr>
          <w:jc w:val="center"/>
        </w:trPr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B25A9F" w14:textId="77777777" w:rsidR="00900977" w:rsidRDefault="00900977" w:rsidP="00203F02">
            <w:r>
              <w:rPr>
                <w:sz w:val="18"/>
              </w:rPr>
              <w:t>Documents with ≥1 Control/Rights/Safety hit</w:t>
            </w:r>
          </w:p>
        </w:tc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4B6D02" w14:textId="77777777" w:rsidR="00900977" w:rsidRDefault="00900977" w:rsidP="00203F02">
            <w:r>
              <w:rPr>
                <w:sz w:val="18"/>
              </w:rPr>
              <w:t>75,668</w:t>
            </w:r>
          </w:p>
        </w:tc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A1F178" w14:textId="77777777" w:rsidR="00900977" w:rsidRDefault="00900977" w:rsidP="00203F02">
            <w:r>
              <w:rPr>
                <w:sz w:val="18"/>
              </w:rPr>
              <w:t>38.1%</w:t>
            </w:r>
          </w:p>
        </w:tc>
      </w:tr>
      <w:tr w:rsidR="00900977" w14:paraId="3801C84E" w14:textId="77777777" w:rsidTr="00203F02">
        <w:trPr>
          <w:jc w:val="center"/>
        </w:trPr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A35DC7" w14:textId="77777777" w:rsidR="00900977" w:rsidRDefault="00900977" w:rsidP="00203F02">
            <w:r>
              <w:rPr>
                <w:sz w:val="18"/>
              </w:rPr>
              <w:t>Documents in 1994–2025 analysis window</w:t>
            </w:r>
          </w:p>
        </w:tc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51525D" w14:textId="77777777" w:rsidR="00900977" w:rsidRDefault="00900977" w:rsidP="00203F02">
            <w:r>
              <w:rPr>
                <w:sz w:val="18"/>
              </w:rPr>
              <w:t>192,669</w:t>
            </w:r>
          </w:p>
        </w:tc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D1A708" w14:textId="77777777" w:rsidR="00900977" w:rsidRDefault="00900977" w:rsidP="00203F02">
            <w:r>
              <w:rPr>
                <w:sz w:val="18"/>
              </w:rPr>
              <w:t>96.9%</w:t>
            </w:r>
          </w:p>
        </w:tc>
      </w:tr>
      <w:tr w:rsidR="00900977" w14:paraId="02E3172F" w14:textId="77777777" w:rsidTr="00203F02">
        <w:trPr>
          <w:jc w:val="center"/>
        </w:trPr>
        <w:tc>
          <w:tcPr>
            <w:tcW w:w="6912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6E2F7A" w14:textId="77777777" w:rsidR="00900977" w:rsidRDefault="00900977" w:rsidP="00203F02">
            <w:r>
              <w:rPr>
                <w:sz w:val="18"/>
              </w:rPr>
              <w:t>Documents in final analytic sample</w:t>
            </w:r>
          </w:p>
        </w:tc>
        <w:tc>
          <w:tcPr>
            <w:tcW w:w="144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203EAE" w14:textId="77777777" w:rsidR="00900977" w:rsidRDefault="00900977" w:rsidP="00203F02">
            <w:r>
              <w:rPr>
                <w:sz w:val="18"/>
              </w:rPr>
              <w:t>75,053</w:t>
            </w:r>
          </w:p>
        </w:tc>
        <w:tc>
          <w:tcPr>
            <w:tcW w:w="2304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114725" w14:textId="77777777" w:rsidR="00900977" w:rsidRDefault="00900977" w:rsidP="00203F02">
            <w:r>
              <w:rPr>
                <w:sz w:val="18"/>
              </w:rPr>
              <w:t>37.7%</w:t>
            </w:r>
          </w:p>
        </w:tc>
      </w:tr>
    </w:tbl>
    <w:p w14:paraId="5CFD1727" w14:textId="77777777" w:rsidR="00900977" w:rsidRDefault="00900977" w:rsidP="00900977">
      <w:r>
        <w:rPr>
          <w:i/>
        </w:rPr>
        <w:t xml:space="preserve">Note. </w:t>
      </w:r>
      <w:r>
        <w:t>The deduplicated universe is the 198,823-document corpus obtained after retaining the richest metadata row for each Overton id. The final analytic sample applies the date, metadata-availability, and regime-hit restrictions used in the main analyses.</w:t>
      </w:r>
    </w:p>
    <w:p w14:paraId="746E0C08" w14:textId="77777777" w:rsidR="00900977" w:rsidRDefault="00900977" w:rsidP="00900977">
      <w:r>
        <w:rPr>
          <w:b/>
        </w:rPr>
        <w:t xml:space="preserve">Table A2. </w:t>
      </w:r>
      <w:r>
        <w:rPr>
          <w:i/>
        </w:rPr>
        <w:t>Actor-family coding rules and representative source examples.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80"/>
        <w:gridCol w:w="3600"/>
        <w:gridCol w:w="3456"/>
      </w:tblGrid>
      <w:tr w:rsidR="00900977" w14:paraId="6501F9C8" w14:textId="77777777" w:rsidTr="00203F02">
        <w:trPr>
          <w:jc w:val="center"/>
        </w:trPr>
        <w:tc>
          <w:tcPr>
            <w:tcW w:w="288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D09015" w14:textId="77777777" w:rsidR="00900977" w:rsidRDefault="00900977" w:rsidP="00203F02">
            <w:r>
              <w:rPr>
                <w:b/>
                <w:sz w:val="16"/>
              </w:rPr>
              <w:t>Coding target</w:t>
            </w:r>
          </w:p>
        </w:tc>
        <w:tc>
          <w:tcPr>
            <w:tcW w:w="3600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34552A" w14:textId="77777777" w:rsidR="00900977" w:rsidRDefault="00900977" w:rsidP="00203F02">
            <w:r>
              <w:t>Metadata cues used</w:t>
            </w:r>
          </w:p>
        </w:tc>
        <w:tc>
          <w:tcPr>
            <w:tcW w:w="3456" w:type="dxa"/>
            <w:shd w:val="clear" w:color="auto" w:fill="D9E2F3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B3F66F" w14:textId="77777777" w:rsidR="00900977" w:rsidRDefault="00900977" w:rsidP="00203F02">
            <w:r>
              <w:rPr>
                <w:b/>
                <w:sz w:val="16"/>
              </w:rPr>
              <w:t>Representative source titles</w:t>
            </w:r>
          </w:p>
        </w:tc>
      </w:tr>
      <w:tr w:rsidR="00900977" w14:paraId="104DA6E9" w14:textId="77777777" w:rsidTr="00203F02">
        <w:trPr>
          <w:jc w:val="center"/>
        </w:trPr>
        <w:tc>
          <w:tcPr>
            <w:tcW w:w="28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D8586F" w14:textId="77777777" w:rsidR="00900977" w:rsidRDefault="00900977" w:rsidP="00203F02">
            <w:r>
              <w:rPr>
                <w:sz w:val="16"/>
              </w:rPr>
              <w:t>State (n = 120,895)</w:t>
            </w:r>
          </w:p>
        </w:tc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C54794" w14:textId="77777777" w:rsidR="00900977" w:rsidRDefault="00900977" w:rsidP="00203F02">
            <w:r>
              <w:rPr>
                <w:sz w:val="16"/>
              </w:rPr>
              <w:t>Org. type ∈ {government, legislative body, judicial body}.</w:t>
            </w:r>
          </w:p>
        </w:tc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57EDE0" w14:textId="77777777" w:rsidR="00900977" w:rsidRDefault="00900977" w:rsidP="00203F02">
            <w:r>
              <w:rPr>
                <w:sz w:val="16"/>
              </w:rPr>
              <w:t>Publications Office of the European Union; UK Government; Government of Singapore.</w:t>
            </w:r>
          </w:p>
        </w:tc>
      </w:tr>
      <w:tr w:rsidR="00900977" w14:paraId="6714E471" w14:textId="77777777" w:rsidTr="00203F02">
        <w:trPr>
          <w:jc w:val="center"/>
        </w:trPr>
        <w:tc>
          <w:tcPr>
            <w:tcW w:w="28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08E7C7" w14:textId="77777777" w:rsidR="00900977" w:rsidRDefault="00900977" w:rsidP="00203F02">
            <w:r>
              <w:rPr>
                <w:sz w:val="16"/>
              </w:rPr>
              <w:t>IGO (n = 36,699)</w:t>
            </w:r>
          </w:p>
        </w:tc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B07A70" w14:textId="77777777" w:rsidR="00900977" w:rsidRDefault="00900977" w:rsidP="00203F02">
            <w:r>
              <w:rPr>
                <w:sz w:val="16"/>
              </w:rPr>
              <w:t>Org. type = IGO.</w:t>
            </w:r>
          </w:p>
        </w:tc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55D68E" w14:textId="77777777" w:rsidR="00900977" w:rsidRDefault="00900977" w:rsidP="00203F02">
            <w:r>
              <w:rPr>
                <w:sz w:val="16"/>
              </w:rPr>
              <w:t>UNESCO; OECD; World Bank.</w:t>
            </w:r>
          </w:p>
        </w:tc>
      </w:tr>
      <w:tr w:rsidR="00900977" w14:paraId="467BEF69" w14:textId="77777777" w:rsidTr="00203F02">
        <w:trPr>
          <w:jc w:val="center"/>
        </w:trPr>
        <w:tc>
          <w:tcPr>
            <w:tcW w:w="28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8CC19B" w14:textId="77777777" w:rsidR="00900977" w:rsidRDefault="00900977" w:rsidP="00203F02">
            <w:r>
              <w:rPr>
                <w:sz w:val="16"/>
              </w:rPr>
              <w:t>Industry (n = 1,995)</w:t>
            </w:r>
          </w:p>
        </w:tc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EC2921" w14:textId="77777777" w:rsidR="00900977" w:rsidRDefault="00900977" w:rsidP="00203F02">
            <w:r>
              <w:t>Private-sector source OR title matches consulting/business-association names.</w:t>
            </w:r>
          </w:p>
        </w:tc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F2BE50" w14:textId="77777777" w:rsidR="00900977" w:rsidRDefault="00900977" w:rsidP="00203F02">
            <w:r>
              <w:rPr>
                <w:sz w:val="16"/>
              </w:rPr>
              <w:t>Accenture; Boston Consulting Group; Digital Europe.</w:t>
            </w:r>
          </w:p>
        </w:tc>
      </w:tr>
      <w:tr w:rsidR="00900977" w14:paraId="1EE4646F" w14:textId="77777777" w:rsidTr="00203F02">
        <w:trPr>
          <w:jc w:val="center"/>
        </w:trPr>
        <w:tc>
          <w:tcPr>
            <w:tcW w:w="28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9C5BA6" w14:textId="77777777" w:rsidR="00900977" w:rsidRDefault="00900977" w:rsidP="00203F02">
            <w:r>
              <w:rPr>
                <w:sz w:val="16"/>
              </w:rPr>
              <w:t>Standards/technical bodies: explicit rule (n = 91)</w:t>
            </w:r>
          </w:p>
        </w:tc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74B43D" w14:textId="77777777" w:rsidR="00900977" w:rsidRDefault="00900977" w:rsidP="00203F02">
            <w:r>
              <w:rPr>
                <w:sz w:val="16"/>
              </w:rPr>
              <w:t>Title contains ISO, standards, metrology, accredit, conformity, or national institute of standards.</w:t>
            </w:r>
          </w:p>
        </w:tc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336633" w14:textId="77777777" w:rsidR="00900977" w:rsidRDefault="00900977" w:rsidP="00203F02">
            <w:r>
              <w:rPr>
                <w:sz w:val="16"/>
              </w:rPr>
              <w:t>ISO; Food Standards Australia New Zealand; Australian Industry Standards.</w:t>
            </w:r>
          </w:p>
        </w:tc>
      </w:tr>
      <w:tr w:rsidR="00900977" w14:paraId="0B4451C5" w14:textId="77777777" w:rsidTr="00203F02">
        <w:trPr>
          <w:jc w:val="center"/>
        </w:trPr>
        <w:tc>
          <w:tcPr>
            <w:tcW w:w="28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EDA8C0" w14:textId="77777777" w:rsidR="00900977" w:rsidRDefault="00900977" w:rsidP="00203F02">
            <w:r>
              <w:rPr>
                <w:sz w:val="16"/>
              </w:rPr>
              <w:t>Standards/technical bodies: broad rule (n = 3,069; main only)</w:t>
            </w:r>
          </w:p>
        </w:tc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6FB0F4" w14:textId="77777777" w:rsidR="00900977" w:rsidRDefault="00900977" w:rsidP="00203F02">
            <w:r>
              <w:rPr>
                <w:sz w:val="16"/>
              </w:rPr>
              <w:t>Function includes Professional Network/Association/Union/Cooperative or Learned Society; org. type is NGO, think tank, or university; not industry.</w:t>
            </w:r>
          </w:p>
        </w:tc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E46D5D" w14:textId="77777777" w:rsidR="00900977" w:rsidRDefault="00900977" w:rsidP="00203F02">
            <w:r>
              <w:rPr>
                <w:sz w:val="16"/>
              </w:rPr>
              <w:t>Academy of Medical Sciences; Council of Learned Academies; CEPR.</w:t>
            </w:r>
          </w:p>
        </w:tc>
      </w:tr>
      <w:tr w:rsidR="00900977" w14:paraId="2779E960" w14:textId="77777777" w:rsidTr="00203F02">
        <w:trPr>
          <w:jc w:val="center"/>
        </w:trPr>
        <w:tc>
          <w:tcPr>
            <w:tcW w:w="288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01A2E5" w14:textId="77777777" w:rsidR="00900977" w:rsidRDefault="00900977" w:rsidP="00203F02">
            <w:r>
              <w:rPr>
                <w:sz w:val="16"/>
              </w:rPr>
              <w:t>Civil society/Experts (n = 36,083 in main mapping)</w:t>
            </w:r>
          </w:p>
        </w:tc>
        <w:tc>
          <w:tcPr>
            <w:tcW w:w="360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D30B19" w14:textId="77777777" w:rsidR="00900977" w:rsidRDefault="00900977" w:rsidP="00203F02">
            <w:r>
              <w:rPr>
                <w:sz w:val="16"/>
              </w:rPr>
              <w:t>Residual category; under the conservative mapping it also reabsorbs broad-rule standards cases.</w:t>
            </w:r>
          </w:p>
        </w:tc>
        <w:tc>
          <w:tcPr>
            <w:tcW w:w="3456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5DAB1A" w14:textId="77777777" w:rsidR="00900977" w:rsidRDefault="00900977" w:rsidP="00203F02">
            <w:r>
              <w:rPr>
                <w:sz w:val="16"/>
              </w:rPr>
              <w:t>RAND Corporation; Brookings Institution; CSIS.</w:t>
            </w:r>
          </w:p>
        </w:tc>
      </w:tr>
    </w:tbl>
    <w:p w14:paraId="0AFAD50E" w14:textId="77777777" w:rsidR="00900977" w:rsidRDefault="00900977" w:rsidP="00900977">
      <w:pPr>
        <w:spacing w:after="0"/>
      </w:pPr>
      <w:r>
        <w:rPr>
          <w:i/>
          <w:sz w:val="18"/>
        </w:rPr>
        <w:t xml:space="preserve">Note. </w:t>
      </w:r>
      <w:r>
        <w:rPr>
          <w:sz w:val="18"/>
        </w:rPr>
        <w:t>Under the conservative mapping, only the 91 explicit-rule cases remain in Standards/technical bodies; broad-rule cases revert to Civil society/Experts.</w:t>
      </w:r>
    </w:p>
    <w:p w14:paraId="53CC3102" w14:textId="77777777" w:rsidR="00900977" w:rsidRDefault="00900977" w:rsidP="00900977">
      <w:pPr>
        <w:pStyle w:val="Heading2"/>
      </w:pPr>
      <w:r>
        <w:t>A.5 Event-based panel robustness checks</w:t>
      </w:r>
    </w:p>
    <w:p w14:paraId="5B80F909" w14:textId="77777777" w:rsidR="00900977" w:rsidRDefault="00900977" w:rsidP="00900977">
      <w:r>
        <w:t>Table A3. Rights event-based robustness checks.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41"/>
        <w:gridCol w:w="959"/>
        <w:gridCol w:w="1005"/>
        <w:gridCol w:w="1005"/>
        <w:gridCol w:w="2940"/>
      </w:tblGrid>
      <w:tr w:rsidR="00900977" w14:paraId="17290D2A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EA9E7" w14:textId="77777777" w:rsidR="00900977" w:rsidRDefault="00900977" w:rsidP="00203F02">
            <w:pPr>
              <w:jc w:val="center"/>
            </w:pPr>
            <w:r>
              <w:rPr>
                <w:b/>
                <w:sz w:val="18"/>
              </w:rPr>
              <w:t>Specification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908BD" w14:textId="77777777" w:rsidR="00900977" w:rsidRDefault="00900977" w:rsidP="00203F02">
            <w:pPr>
              <w:jc w:val="center"/>
            </w:pPr>
            <w:r>
              <w:rPr>
                <w:b/>
                <w:sz w:val="18"/>
              </w:rPr>
              <w:t>Window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12462" w14:textId="77777777" w:rsidR="00900977" w:rsidRDefault="00900977" w:rsidP="00203F02">
            <w:pPr>
              <w:jc w:val="center"/>
            </w:pPr>
            <w:r>
              <w:rPr>
                <w:b/>
                <w:sz w:val="18"/>
              </w:rPr>
              <w:t>β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DA8C1" w14:textId="77777777" w:rsidR="00900977" w:rsidRDefault="00900977" w:rsidP="00203F02">
            <w:pPr>
              <w:jc w:val="center"/>
            </w:pPr>
            <w:r>
              <w:rPr>
                <w:b/>
                <w:sz w:val="18"/>
              </w:rPr>
              <w:t>p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FD632" w14:textId="77777777" w:rsidR="00900977" w:rsidRDefault="00900977" w:rsidP="00203F02">
            <w:pPr>
              <w:jc w:val="center"/>
            </w:pPr>
            <w:r>
              <w:rPr>
                <w:b/>
                <w:sz w:val="18"/>
              </w:rPr>
              <w:t>Reading</w:t>
            </w:r>
          </w:p>
        </w:tc>
      </w:tr>
      <w:tr w:rsidR="00900977" w14:paraId="2C383FE6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EAC54C" w14:textId="77777777" w:rsidR="00900977" w:rsidRDefault="00900977" w:rsidP="00203F02">
            <w:r>
              <w:rPr>
                <w:sz w:val="17"/>
              </w:rPr>
              <w:t>Full sample: log rights count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FC18F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±12m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179B2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0.056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6671F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0.047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EF8B6" w14:textId="77777777" w:rsidR="00900977" w:rsidRDefault="00900977" w:rsidP="00203F02">
            <w:r>
              <w:rPr>
                <w:sz w:val="17"/>
              </w:rPr>
              <w:t>Short-window signal</w:t>
            </w:r>
          </w:p>
        </w:tc>
      </w:tr>
      <w:tr w:rsidR="00900977" w14:paraId="6FA81F8B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835F9" w14:textId="77777777" w:rsidR="00900977" w:rsidRDefault="00900977" w:rsidP="00203F02">
            <w:r>
              <w:rPr>
                <w:sz w:val="17"/>
              </w:rPr>
              <w:t>Full sample: log rights count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B35A6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±24m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5F0E2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0.124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6BDD6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0.007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D62E7" w14:textId="77777777" w:rsidR="00900977" w:rsidRDefault="00900977" w:rsidP="00203F02">
            <w:r>
              <w:rPr>
                <w:sz w:val="17"/>
              </w:rPr>
              <w:t>Larger coefficient, but pretrend problem</w:t>
            </w:r>
          </w:p>
        </w:tc>
      </w:tr>
      <w:tr w:rsidR="00900977" w14:paraId="77A30F37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EF95B" w14:textId="77777777" w:rsidR="00900977" w:rsidRDefault="00900977" w:rsidP="00203F02">
            <w:r>
              <w:rPr>
                <w:sz w:val="17"/>
              </w:rPr>
              <w:t>Full sample: rights share of state docs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0D439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±12m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A8970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0.015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77BC2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0.439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394E0" w14:textId="77777777" w:rsidR="00900977" w:rsidRDefault="00900977" w:rsidP="00203F02">
            <w:r>
              <w:rPr>
                <w:sz w:val="17"/>
              </w:rPr>
              <w:t>Not significant</w:t>
            </w:r>
          </w:p>
        </w:tc>
      </w:tr>
      <w:tr w:rsidR="00900977" w14:paraId="07B6AA09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BB9E0" w14:textId="77777777" w:rsidR="00900977" w:rsidRDefault="00900977" w:rsidP="00203F02">
            <w:r>
              <w:rPr>
                <w:sz w:val="17"/>
              </w:rPr>
              <w:t>Full sample: rights share of state docs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69AD2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±24m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E38F7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0.006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C2AED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0.653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7C613" w14:textId="77777777" w:rsidR="00900977" w:rsidRDefault="00900977" w:rsidP="00203F02">
            <w:r>
              <w:rPr>
                <w:sz w:val="17"/>
              </w:rPr>
              <w:t>Not significant</w:t>
            </w:r>
          </w:p>
        </w:tc>
      </w:tr>
      <w:tr w:rsidR="00900977" w14:paraId="58062DF4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5DAAA" w14:textId="77777777" w:rsidR="00900977" w:rsidRDefault="00900977" w:rsidP="00203F02">
            <w:r>
              <w:rPr>
                <w:sz w:val="17"/>
              </w:rPr>
              <w:t>Full sample: rights vs. other regimes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2527F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±12m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3A875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0.010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24D92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0.790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6B54E" w14:textId="77777777" w:rsidR="00900977" w:rsidRDefault="00900977" w:rsidP="00203F02">
            <w:r>
              <w:rPr>
                <w:sz w:val="17"/>
              </w:rPr>
              <w:t>Not significant</w:t>
            </w:r>
          </w:p>
        </w:tc>
      </w:tr>
      <w:tr w:rsidR="00900977" w14:paraId="638703F4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DC176" w14:textId="77777777" w:rsidR="00900977" w:rsidRDefault="00900977" w:rsidP="00203F02">
            <w:r>
              <w:rPr>
                <w:sz w:val="17"/>
              </w:rPr>
              <w:t>Full sample: rights vs. other regimes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37ADA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±24m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CAC68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-0.032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EBDE6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0.273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7DB5B" w14:textId="77777777" w:rsidR="00900977" w:rsidRDefault="00900977" w:rsidP="00203F02">
            <w:r>
              <w:rPr>
                <w:sz w:val="17"/>
              </w:rPr>
              <w:t>Not significant</w:t>
            </w:r>
          </w:p>
        </w:tc>
      </w:tr>
      <w:tr w:rsidR="00900977" w14:paraId="1D94986A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AF95EF" w14:textId="77777777" w:rsidR="00900977" w:rsidRDefault="00900977" w:rsidP="00203F02">
            <w:r>
              <w:rPr>
                <w:sz w:val="17"/>
              </w:rPr>
              <w:t>Matched subset: log rights count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7DA0C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±12m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4F19A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0.050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5625B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0.092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B2CDB" w14:textId="77777777" w:rsidR="00900977" w:rsidRDefault="00900977" w:rsidP="00203F02">
            <w:r>
              <w:rPr>
                <w:sz w:val="17"/>
              </w:rPr>
              <w:t>Weaker after matching</w:t>
            </w:r>
          </w:p>
        </w:tc>
      </w:tr>
      <w:tr w:rsidR="00900977" w14:paraId="6F222250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A7DF97" w14:textId="77777777" w:rsidR="00900977" w:rsidRDefault="00900977" w:rsidP="00203F02">
            <w:r>
              <w:rPr>
                <w:sz w:val="17"/>
              </w:rPr>
              <w:t>Matched subset: log rights count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98FD5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±18m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F880A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0.035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2C12D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0.274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99126" w14:textId="77777777" w:rsidR="00900977" w:rsidRDefault="00900977" w:rsidP="00203F02">
            <w:r>
              <w:rPr>
                <w:sz w:val="17"/>
              </w:rPr>
              <w:t>Weaker after matching</w:t>
            </w:r>
          </w:p>
        </w:tc>
      </w:tr>
      <w:tr w:rsidR="00900977" w14:paraId="544EC61C" w14:textId="77777777" w:rsidTr="00203F02">
        <w:trPr>
          <w:jc w:val="center"/>
        </w:trPr>
        <w:tc>
          <w:tcPr>
            <w:tcW w:w="351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B4A28" w14:textId="77777777" w:rsidR="00900977" w:rsidRDefault="00900977" w:rsidP="00203F02">
            <w:r>
              <w:rPr>
                <w:sz w:val="17"/>
              </w:rPr>
              <w:t>Matched subset: log rights count</w:t>
            </w:r>
          </w:p>
        </w:tc>
        <w:tc>
          <w:tcPr>
            <w:tcW w:w="96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89401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±24m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2E266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0.059</w:t>
            </w: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43C98" w14:textId="77777777" w:rsidR="00900977" w:rsidRDefault="00900977" w:rsidP="00203F02">
            <w:pPr>
              <w:jc w:val="center"/>
            </w:pPr>
            <w:r>
              <w:rPr>
                <w:sz w:val="17"/>
              </w:rPr>
              <w:t>0.067</w:t>
            </w:r>
          </w:p>
        </w:tc>
        <w:tc>
          <w:tcPr>
            <w:tcW w:w="300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56F61" w14:textId="77777777" w:rsidR="00900977" w:rsidRDefault="00900977" w:rsidP="00203F02">
            <w:r>
              <w:rPr>
                <w:sz w:val="17"/>
              </w:rPr>
              <w:t>Weaker after matching</w:t>
            </w:r>
          </w:p>
        </w:tc>
      </w:tr>
    </w:tbl>
    <w:p w14:paraId="6D131356" w14:textId="77777777" w:rsidR="00900977" w:rsidRDefault="00900977" w:rsidP="00900977">
      <w:r>
        <w:t>Note. The matched subset pairs OECD and non-OECD jurisdictions on pre-2019 mean Rights levels, pre-2019 slopes, and pre-period state-document volume, yielding a 54-jurisdiction robustness sample. Together with the alternative outcome definitions and placebo-timing checks, these results narrow the main-text claim to a short-window uptake probe rather than a definitive diffusion estimate.</w:t>
      </w:r>
    </w:p>
    <w:p w14:paraId="082359E2" w14:textId="77777777" w:rsidR="004E780C" w:rsidRDefault="004E780C"/>
    <w:sectPr w:rsidR="004E780C" w:rsidSect="00900977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AB0E" w14:textId="77777777" w:rsidR="00900977" w:rsidRDefault="00900977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F2A0D8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7009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77"/>
    <w:rsid w:val="002978F5"/>
    <w:rsid w:val="003852CF"/>
    <w:rsid w:val="004E780C"/>
    <w:rsid w:val="00900977"/>
    <w:rsid w:val="00F50F1E"/>
    <w:rsid w:val="00F8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A7CEF"/>
  <w15:chartTrackingRefBased/>
  <w15:docId w15:val="{BBDE4785-4430-4753-A641-B9BCBB69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977"/>
    <w:pPr>
      <w:spacing w:after="120" w:line="276" w:lineRule="auto"/>
    </w:pPr>
    <w:rPr>
      <w:rFonts w:ascii="Times New Roman" w:eastAsia="Times New Roman" w:hAnsi="Times New Roman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0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0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00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9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9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9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9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9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9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9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9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9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9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97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9009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977"/>
    <w:rPr>
      <w:rFonts w:ascii="Times New Roman" w:eastAsia="Times New Roman" w:hAnsi="Times New Roman"/>
      <w:color w:val="000000"/>
      <w:kern w:val="0"/>
      <w:sz w:val="22"/>
      <w:szCs w:val="22"/>
      <w14:ligatures w14:val="none"/>
    </w:rPr>
  </w:style>
  <w:style w:type="paragraph" w:styleId="ListBullet">
    <w:name w:val="List Bullet"/>
    <w:basedOn w:val="Normal"/>
    <w:uiPriority w:val="99"/>
    <w:unhideWhenUsed/>
    <w:rsid w:val="00900977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TableGrid">
    <w:name w:val="Table Grid"/>
    <w:basedOn w:val="TableNormal"/>
    <w:uiPriority w:val="59"/>
    <w:rsid w:val="00900977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2026-05-18T13:50:00Z</dcterms:created>
  <dcterms:modified xsi:type="dcterms:W3CDTF">2026-05-18T13:50:00Z</dcterms:modified>
</cp:coreProperties>
</file>