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AE973" w14:textId="346B120E" w:rsidR="00F4375F" w:rsidRDefault="00F4375F" w:rsidP="00F4375F">
      <w:pPr>
        <w:spacing w:line="360" w:lineRule="auto"/>
        <w:rPr>
          <w:rFonts w:ascii="Times New Roman" w:hAnsi="Times New Roman" w:cs="Times New Roman"/>
          <w:sz w:val="24"/>
          <w:szCs w:val="28"/>
        </w:rPr>
      </w:pPr>
      <w:r w:rsidRPr="0011604C">
        <w:rPr>
          <w:rFonts w:ascii="Times New Roman" w:hAnsi="Times New Roman" w:cs="Times New Roman" w:hint="eastAsia"/>
          <w:sz w:val="24"/>
          <w:szCs w:val="28"/>
        </w:rPr>
        <w:t>2.</w:t>
      </w:r>
      <w:r w:rsidR="009F4C56">
        <w:rPr>
          <w:rFonts w:ascii="Times New Roman" w:hAnsi="Times New Roman" w:cs="Times New Roman" w:hint="eastAsia"/>
          <w:sz w:val="24"/>
          <w:szCs w:val="28"/>
        </w:rPr>
        <w:t>3</w:t>
      </w:r>
      <w:r w:rsidRPr="0011604C">
        <w:rPr>
          <w:rFonts w:ascii="Times New Roman" w:hAnsi="Times New Roman" w:cs="Times New Roman" w:hint="eastAsia"/>
          <w:sz w:val="24"/>
          <w:szCs w:val="28"/>
        </w:rPr>
        <w:t xml:space="preserve"> </w:t>
      </w:r>
      <w:r w:rsidRPr="0011604C">
        <w:rPr>
          <w:rFonts w:ascii="Times New Roman" w:hAnsi="Times New Roman" w:cs="Times New Roman"/>
          <w:sz w:val="24"/>
          <w:szCs w:val="28"/>
        </w:rPr>
        <w:t>Laboratory Study Conditions</w:t>
      </w:r>
    </w:p>
    <w:p w14:paraId="292BFC37" w14:textId="1FC11725" w:rsidR="00F4375F" w:rsidRDefault="00F4375F" w:rsidP="00F4375F">
      <w:pPr>
        <w:spacing w:line="360" w:lineRule="auto"/>
        <w:ind w:firstLine="420"/>
        <w:rPr>
          <w:rFonts w:ascii="Times New Roman" w:hAnsi="Times New Roman" w:cs="Times New Roman"/>
          <w:sz w:val="24"/>
          <w:szCs w:val="28"/>
        </w:rPr>
      </w:pPr>
      <w:r>
        <w:rPr>
          <w:rFonts w:ascii="Times New Roman" w:hAnsi="Times New Roman" w:cs="Times New Roman"/>
          <w:sz w:val="24"/>
          <w:szCs w:val="28"/>
        </w:rPr>
        <w:t xml:space="preserve">The overall study period lasted five days: Day 0 was baseline measurement (Baseline), Day 1 was a </w:t>
      </w:r>
      <w:r>
        <w:rPr>
          <w:rFonts w:ascii="Times New Roman" w:hAnsi="Times New Roman" w:cs="Times New Roman" w:hint="eastAsia"/>
          <w:sz w:val="24"/>
          <w:szCs w:val="28"/>
        </w:rPr>
        <w:t>q</w:t>
      </w:r>
      <w:r>
        <w:rPr>
          <w:rFonts w:ascii="Times New Roman" w:hAnsi="Times New Roman" w:cs="Times New Roman"/>
          <w:sz w:val="24"/>
          <w:szCs w:val="28"/>
        </w:rPr>
        <w:t xml:space="preserve">uiet day (Quiet), Day 2 was the first sound exposure (Treatment), Day 3 was a washout day (Washout), and Day 4 was the second sound exposure (Treatment). During this period, the exposure conditions were exchanged between the two groups. For example, the first group (n=13, 8 females) was exposed to noise on Day 2 and </w:t>
      </w:r>
      <w:r>
        <w:rPr>
          <w:rFonts w:ascii="Times New Roman" w:hAnsi="Times New Roman" w:cs="Times New Roman" w:hint="eastAsia"/>
          <w:sz w:val="24"/>
          <w:szCs w:val="28"/>
        </w:rPr>
        <w:t>mask</w:t>
      </w:r>
      <w:r>
        <w:rPr>
          <w:rFonts w:ascii="Times New Roman" w:hAnsi="Times New Roman" w:cs="Times New Roman"/>
          <w:sz w:val="24"/>
          <w:szCs w:val="28"/>
        </w:rPr>
        <w:t xml:space="preserve"> sound on Day 4; the second group (n=13, 5 females) experienced </w:t>
      </w:r>
      <w:r>
        <w:rPr>
          <w:rFonts w:ascii="Times New Roman" w:hAnsi="Times New Roman" w:cs="Times New Roman" w:hint="eastAsia"/>
          <w:sz w:val="24"/>
          <w:szCs w:val="28"/>
        </w:rPr>
        <w:t>mask</w:t>
      </w:r>
      <w:r>
        <w:rPr>
          <w:rFonts w:ascii="Times New Roman" w:hAnsi="Times New Roman" w:cs="Times New Roman"/>
          <w:sz w:val="24"/>
          <w:szCs w:val="28"/>
        </w:rPr>
        <w:t xml:space="preserve"> sound on Day 2 and noise on Day 4. On the right side of the illustration, icons indicate the various biological samples collected during the study (such as blood, urine, and saliva) and the physiological energy metabolism measurements conducted (including heart rate, blood pressure, energy expenditure, respiratory exchange ratio, </w:t>
      </w:r>
      <w:r w:rsidRPr="00794017">
        <w:rPr>
          <w:rFonts w:ascii="Times New Roman" w:hAnsi="Times New Roman" w:cs="Times New Roman" w:hint="eastAsia"/>
          <w:sz w:val="24"/>
          <w:szCs w:val="28"/>
        </w:rPr>
        <w:t>carbohydrate</w:t>
      </w:r>
      <w:r>
        <w:rPr>
          <w:rFonts w:ascii="Times New Roman" w:hAnsi="Times New Roman" w:cs="Times New Roman"/>
          <w:sz w:val="24"/>
          <w:szCs w:val="28"/>
        </w:rPr>
        <w:t xml:space="preserve"> oxidation, and fat oxidation). </w:t>
      </w:r>
    </w:p>
    <w:p w14:paraId="45DCF0EF" w14:textId="5E0831AA" w:rsidR="00F4375F" w:rsidRDefault="00F4375F" w:rsidP="009F4C56">
      <w:pPr>
        <w:spacing w:line="360" w:lineRule="auto"/>
        <w:ind w:firstLine="420"/>
        <w:rPr>
          <w:rFonts w:ascii="Times New Roman" w:hAnsi="Times New Roman" w:cs="Times New Roman" w:hint="eastAsia"/>
          <w:sz w:val="24"/>
          <w:szCs w:val="28"/>
        </w:rPr>
      </w:pPr>
      <w:r>
        <w:rPr>
          <w:rFonts w:ascii="Times New Roman" w:hAnsi="Times New Roman" w:cs="Times New Roman"/>
          <w:sz w:val="24"/>
          <w:szCs w:val="28"/>
        </w:rPr>
        <w:t xml:space="preserve"> The participants entered the metabolic chamber at 7:30 in the morning and came out of the metabolic chamber at 7:00 the next day. Daily routines included: breakfast from 8:30 to 9:00, lunch from 13:00 to 13:30, and dinner from 17:30 to 18:00. Three exercise periods were scheduled: from 11:00 to 11:30, 15:30 to 16:00, and 20:00 to 20:30. Sleep time was set from 22:00 to 6:00 the following day. Basal metabolic rate (BMR) measurements were taken between 6:00 and 7:00 AM. Blood and saliva samples were collected at 8:00 AM, 10:30 AM, 12:30 PM, 5:30 PM, 7:30 PM, and 9:30 PM (before sleep), with an additional saliva sample taken at 10:00 PM. Blood and saliva samples were collected again the next day at 8:00 AM. During sound exposure, participants completed subjective sensation questionnaires ((Visual Analog Scale (VAS)) hourly, with additional assessments at 6:00 AM and 7:00 AM the following day. The illustration also clarifies the light cycle, with lights off at 22:00 and on at 6:00 AM, utilizing indoor LED lights to simulate natural lighting with a color temperature of 5000K.</w:t>
      </w:r>
    </w:p>
    <w:p w14:paraId="3A8DB664" w14:textId="77777777" w:rsidR="00F4375F" w:rsidRDefault="00F4375F" w:rsidP="00F73FD7">
      <w:pPr>
        <w:spacing w:line="360" w:lineRule="auto"/>
        <w:rPr>
          <w:rFonts w:ascii="Times New Roman" w:hAnsi="Times New Roman" w:cs="Times New Roman"/>
          <w:sz w:val="24"/>
          <w:szCs w:val="28"/>
        </w:rPr>
      </w:pPr>
    </w:p>
    <w:p w14:paraId="47E6E43A" w14:textId="4E8879D0" w:rsidR="00F73FD7" w:rsidRDefault="00F73FD7" w:rsidP="00F73FD7">
      <w:pPr>
        <w:spacing w:line="360" w:lineRule="auto"/>
        <w:rPr>
          <w:rFonts w:ascii="Times New Roman" w:hAnsi="Times New Roman" w:cs="Times New Roman"/>
          <w:sz w:val="24"/>
          <w:szCs w:val="28"/>
        </w:rPr>
      </w:pPr>
      <w:r w:rsidRPr="00EE406C">
        <w:rPr>
          <w:rFonts w:ascii="Times New Roman" w:hAnsi="Times New Roman" w:cs="Times New Roman" w:hint="eastAsia"/>
          <w:sz w:val="24"/>
          <w:szCs w:val="28"/>
        </w:rPr>
        <w:t>2.</w:t>
      </w:r>
      <w:r w:rsidR="009F4C56">
        <w:rPr>
          <w:rFonts w:ascii="Times New Roman" w:hAnsi="Times New Roman" w:cs="Times New Roman" w:hint="eastAsia"/>
          <w:sz w:val="24"/>
          <w:szCs w:val="28"/>
        </w:rPr>
        <w:t>4</w:t>
      </w:r>
      <w:r w:rsidRPr="00EE406C">
        <w:rPr>
          <w:rFonts w:ascii="Times New Roman" w:hAnsi="Times New Roman" w:cs="Times New Roman" w:hint="eastAsia"/>
          <w:sz w:val="24"/>
          <w:szCs w:val="28"/>
        </w:rPr>
        <w:t xml:space="preserve"> </w:t>
      </w:r>
      <w:r w:rsidRPr="00EE406C">
        <w:rPr>
          <w:rFonts w:ascii="Times New Roman" w:hAnsi="Times New Roman" w:cs="Times New Roman"/>
          <w:sz w:val="24"/>
          <w:szCs w:val="28"/>
        </w:rPr>
        <w:t>Characteristics of traffic noise and mask sound</w:t>
      </w:r>
    </w:p>
    <w:p w14:paraId="769EDF3B" w14:textId="77777777" w:rsidR="00F73FD7" w:rsidRPr="00F73FD7" w:rsidRDefault="00F73FD7" w:rsidP="00F73FD7">
      <w:pPr>
        <w:spacing w:line="360" w:lineRule="auto"/>
        <w:ind w:firstLine="420"/>
        <w:rPr>
          <w:rFonts w:ascii="Times New Roman" w:hAnsi="Times New Roman" w:cs="Times New Roman"/>
          <w:sz w:val="24"/>
          <w:szCs w:val="28"/>
        </w:rPr>
      </w:pPr>
    </w:p>
    <w:p w14:paraId="4CB8E66D" w14:textId="58D7CCE4" w:rsidR="00F73FD7" w:rsidRDefault="00F73FD7" w:rsidP="00F73FD7">
      <w:pPr>
        <w:spacing w:line="360" w:lineRule="auto"/>
        <w:ind w:firstLine="420"/>
        <w:rPr>
          <w:rFonts w:ascii="Times New Roman" w:hAnsi="Times New Roman" w:cs="Times New Roman"/>
          <w:sz w:val="24"/>
          <w:szCs w:val="28"/>
        </w:rPr>
      </w:pPr>
      <w:r>
        <w:rPr>
          <w:rFonts w:ascii="Times New Roman" w:hAnsi="Times New Roman" w:cs="Times New Roman"/>
          <w:sz w:val="24"/>
          <w:szCs w:val="28"/>
        </w:rPr>
        <w:t xml:space="preserve">The noise sound pressure levels for the left and right audio channels were set to </w:t>
      </w:r>
      <w:r>
        <w:rPr>
          <w:rFonts w:ascii="Times New Roman" w:hAnsi="Times New Roman" w:cs="Times New Roman"/>
          <w:sz w:val="24"/>
          <w:szCs w:val="28"/>
        </w:rPr>
        <w:lastRenderedPageBreak/>
        <w:t xml:space="preserve">1.35 Pa, with a sampling frequency of 48 kHz, and both channels were recorded in a synchronized manner to ensure accurate data capture. The noise detection was performed using the professional device </w:t>
      </w:r>
      <w:proofErr w:type="spellStart"/>
      <w:r>
        <w:rPr>
          <w:rFonts w:ascii="Times New Roman" w:hAnsi="Times New Roman" w:cs="Times New Roman"/>
          <w:sz w:val="24"/>
          <w:szCs w:val="28"/>
        </w:rPr>
        <w:t>SQobold</w:t>
      </w:r>
      <w:proofErr w:type="spellEnd"/>
      <w:r>
        <w:rPr>
          <w:rFonts w:ascii="Times New Roman" w:hAnsi="Times New Roman" w:cs="Times New Roman"/>
          <w:sz w:val="24"/>
          <w:szCs w:val="28"/>
        </w:rPr>
        <w:t>, manufactured by HEAD acoustics GmbH (</w:t>
      </w:r>
      <w:proofErr w:type="spellStart"/>
      <w:r>
        <w:rPr>
          <w:rFonts w:ascii="Times New Roman" w:hAnsi="Times New Roman" w:cs="Times New Roman"/>
          <w:sz w:val="24"/>
          <w:szCs w:val="28"/>
        </w:rPr>
        <w:t>Herzogenrath</w:t>
      </w:r>
      <w:proofErr w:type="spellEnd"/>
      <w:r>
        <w:rPr>
          <w:rFonts w:ascii="Times New Roman" w:hAnsi="Times New Roman" w:cs="Times New Roman"/>
          <w:sz w:val="24"/>
          <w:szCs w:val="28"/>
        </w:rPr>
        <w:t xml:space="preserve">, Germany), version T/N A08. HEAD acoustics is a renowned company in the field of acoustic measurement, and their products are widely used for high-precision acoustic testing, ensuring the professionalism and reliability of the data collected. The data collection personnel were positioned on the sidewalk facing the direction of traffic to ensure direct capture of the traffic noise. The microphone was positioned at a height of 1.5 m with a windscreen, and the measurements complied with IEC 61672. The noise data collection was conducted by researchers from the Noise Pollution and Control Laboratory at the School of Environmental Science and Engineering, Shanghai Jiao Tong University, who have professional backgrounds and extensive experience in acoustic measurements. The traffic environment during the noise data collection was consistent with typical characteristics of urban arterial roads: there were four lanes of bidirectional traffic, with a vehicle flow rate of approximately 90 ± 10 vehicles per minute, of which about 10 were large vehicles per minute. This high density of traffic, particularly the presence of large vehicles, is a primary source of urban traffic noise. The 1/3‑octave band spectrum analysis indicates that the noise energy is mainly concentrated in the 125–2000 Hz range, consistent with the spectral characteristics of typical traffic noise. The measurement method involved connecting the sound level meter and averaging the readings over 10 seconds in 1/3 octave band analysis mode, with a time constant of 125 </w:t>
      </w:r>
      <w:proofErr w:type="spellStart"/>
      <w:r>
        <w:rPr>
          <w:rFonts w:ascii="Times New Roman" w:hAnsi="Times New Roman" w:cs="Times New Roman"/>
          <w:sz w:val="24"/>
          <w:szCs w:val="28"/>
        </w:rPr>
        <w:t>ms</w:t>
      </w:r>
      <w:proofErr w:type="spellEnd"/>
      <w:r>
        <w:rPr>
          <w:rFonts w:ascii="Times New Roman" w:hAnsi="Times New Roman" w:cs="Times New Roman"/>
          <w:sz w:val="24"/>
          <w:szCs w:val="28"/>
        </w:rPr>
        <w:t xml:space="preserve"> for frequency weighting. The A-weighting network was used to adjust the dB data to dBA, reflecting the actual subjective perception of the human ear. Dynamic characteristics of the traffic noise:</w:t>
      </w:r>
      <w:bookmarkStart w:id="0" w:name="OLE_LINK1"/>
      <w:r>
        <w:rPr>
          <w:rFonts w:ascii="Times New Roman" w:hAnsi="Times New Roman" w:cs="Times New Roman"/>
          <w:sz w:val="24"/>
          <w:szCs w:val="28"/>
        </w:rPr>
        <w:t xml:space="preserve"> </w:t>
      </w:r>
      <w:bookmarkStart w:id="1" w:name="_Hlk208222413"/>
      <w:r>
        <w:rPr>
          <w:rFonts w:ascii="Times New Roman" w:hAnsi="Times New Roman" w:cs="Times New Roman"/>
          <w:sz w:val="24"/>
          <w:szCs w:val="28"/>
        </w:rPr>
        <w:t>A‑weighted equivalent continuous sound level (</w:t>
      </w:r>
      <w:proofErr w:type="spellStart"/>
      <w:r>
        <w:rPr>
          <w:rFonts w:ascii="Times New Roman" w:hAnsi="Times New Roman" w:cs="Times New Roman"/>
          <w:sz w:val="24"/>
          <w:szCs w:val="28"/>
        </w:rPr>
        <w:t>L</w:t>
      </w:r>
      <w:r>
        <w:rPr>
          <w:rFonts w:ascii="Times New Roman" w:hAnsi="Times New Roman" w:cs="Times New Roman"/>
          <w:sz w:val="24"/>
          <w:szCs w:val="28"/>
          <w:vertAlign w:val="subscript"/>
        </w:rPr>
        <w:t>Aeq</w:t>
      </w:r>
      <w:proofErr w:type="spellEnd"/>
      <w:r>
        <w:rPr>
          <w:rFonts w:ascii="Times New Roman" w:hAnsi="Times New Roman" w:cs="Times New Roman"/>
          <w:sz w:val="24"/>
          <w:szCs w:val="28"/>
        </w:rPr>
        <w:t>), 76 dBA; L</w:t>
      </w:r>
      <w:r>
        <w:rPr>
          <w:rFonts w:ascii="Times New Roman" w:hAnsi="Times New Roman" w:cs="Times New Roman"/>
          <w:sz w:val="24"/>
          <w:szCs w:val="28"/>
          <w:vertAlign w:val="subscript"/>
        </w:rPr>
        <w:t>A10</w:t>
      </w:r>
      <w:r>
        <w:rPr>
          <w:rFonts w:ascii="Times New Roman" w:hAnsi="Times New Roman" w:cs="Times New Roman"/>
          <w:sz w:val="24"/>
          <w:szCs w:val="28"/>
        </w:rPr>
        <w:t>, 76.9 dBA; L</w:t>
      </w:r>
      <w:r>
        <w:rPr>
          <w:rFonts w:ascii="Times New Roman" w:hAnsi="Times New Roman" w:cs="Times New Roman"/>
          <w:sz w:val="24"/>
          <w:szCs w:val="28"/>
          <w:vertAlign w:val="subscript"/>
        </w:rPr>
        <w:t>A50</w:t>
      </w:r>
      <w:r>
        <w:rPr>
          <w:rFonts w:ascii="Times New Roman" w:hAnsi="Times New Roman" w:cs="Times New Roman"/>
          <w:sz w:val="24"/>
          <w:szCs w:val="28"/>
        </w:rPr>
        <w:t xml:space="preserve"> (median level), 73.8 dBA; L</w:t>
      </w:r>
      <w:r>
        <w:rPr>
          <w:rFonts w:ascii="Times New Roman" w:hAnsi="Times New Roman" w:cs="Times New Roman"/>
          <w:sz w:val="24"/>
          <w:szCs w:val="28"/>
          <w:vertAlign w:val="subscript"/>
        </w:rPr>
        <w:t>90</w:t>
      </w:r>
      <w:r>
        <w:rPr>
          <w:rFonts w:ascii="Times New Roman" w:hAnsi="Times New Roman" w:cs="Times New Roman"/>
          <w:sz w:val="24"/>
          <w:szCs w:val="28"/>
        </w:rPr>
        <w:t xml:space="preserve">, 74.9 dBA; </w:t>
      </w:r>
      <w:proofErr w:type="spellStart"/>
      <w:r>
        <w:rPr>
          <w:rFonts w:ascii="Times New Roman" w:hAnsi="Times New Roman" w:cs="Times New Roman"/>
          <w:sz w:val="24"/>
          <w:szCs w:val="28"/>
        </w:rPr>
        <w:t>L</w:t>
      </w:r>
      <w:r>
        <w:rPr>
          <w:rFonts w:ascii="Times New Roman" w:hAnsi="Times New Roman" w:cs="Times New Roman"/>
          <w:sz w:val="24"/>
          <w:szCs w:val="28"/>
          <w:vertAlign w:val="subscript"/>
        </w:rPr>
        <w:t>Aeq</w:t>
      </w:r>
      <w:proofErr w:type="spellEnd"/>
      <w:r>
        <w:rPr>
          <w:rFonts w:ascii="Times New Roman" w:hAnsi="Times New Roman" w:cs="Times New Roman"/>
          <w:sz w:val="24"/>
          <w:szCs w:val="28"/>
        </w:rPr>
        <w:t xml:space="preserve"> - L</w:t>
      </w:r>
      <w:r>
        <w:rPr>
          <w:rFonts w:ascii="Times New Roman" w:hAnsi="Times New Roman" w:cs="Times New Roman"/>
          <w:sz w:val="24"/>
          <w:szCs w:val="28"/>
          <w:vertAlign w:val="subscript"/>
        </w:rPr>
        <w:t>A50</w:t>
      </w:r>
      <w:r>
        <w:rPr>
          <w:rFonts w:ascii="Times New Roman" w:hAnsi="Times New Roman" w:cs="Times New Roman"/>
          <w:sz w:val="24"/>
          <w:szCs w:val="28"/>
        </w:rPr>
        <w:t>, 2.2 dBA</w:t>
      </w:r>
      <w:bookmarkEnd w:id="1"/>
      <w:r>
        <w:rPr>
          <w:rFonts w:ascii="Times New Roman" w:hAnsi="Times New Roman" w:cs="Times New Roman"/>
          <w:sz w:val="24"/>
          <w:szCs w:val="28"/>
        </w:rPr>
        <w:t>; L</w:t>
      </w:r>
      <w:r>
        <w:rPr>
          <w:rFonts w:ascii="Times New Roman" w:hAnsi="Times New Roman" w:cs="Times New Roman"/>
          <w:sz w:val="24"/>
          <w:szCs w:val="28"/>
          <w:vertAlign w:val="subscript"/>
        </w:rPr>
        <w:t>A10</w:t>
      </w:r>
      <w:r>
        <w:rPr>
          <w:rFonts w:ascii="Times New Roman" w:hAnsi="Times New Roman" w:cs="Times New Roman"/>
          <w:sz w:val="24"/>
          <w:szCs w:val="28"/>
        </w:rPr>
        <w:t xml:space="preserve"> - L</w:t>
      </w:r>
      <w:r>
        <w:rPr>
          <w:rFonts w:ascii="Times New Roman" w:hAnsi="Times New Roman" w:cs="Times New Roman"/>
          <w:sz w:val="24"/>
          <w:szCs w:val="28"/>
          <w:vertAlign w:val="subscript"/>
        </w:rPr>
        <w:t>A90</w:t>
      </w:r>
      <w:r>
        <w:rPr>
          <w:rFonts w:ascii="Times New Roman" w:hAnsi="Times New Roman" w:cs="Times New Roman"/>
          <w:sz w:val="24"/>
          <w:szCs w:val="28"/>
        </w:rPr>
        <w:t>, 2 dBA; intermittency ratio, 0.8</w:t>
      </w:r>
      <w:bookmarkEnd w:id="0"/>
      <w:r>
        <w:rPr>
          <w:rFonts w:ascii="Times New Roman" w:hAnsi="Times New Roman" w:cs="Times New Roman"/>
          <w:sz w:val="24"/>
          <w:szCs w:val="28"/>
        </w:rPr>
        <w:t xml:space="preserve">; </w:t>
      </w:r>
      <w:proofErr w:type="spellStart"/>
      <w:r>
        <w:rPr>
          <w:rFonts w:ascii="Times New Roman" w:hAnsi="Times New Roman" w:cs="Times New Roman"/>
          <w:sz w:val="24"/>
          <w:szCs w:val="28"/>
        </w:rPr>
        <w:t>LC</w:t>
      </w:r>
      <w:r>
        <w:rPr>
          <w:rFonts w:ascii="Times New Roman" w:hAnsi="Times New Roman" w:cs="Times New Roman"/>
          <w:sz w:val="24"/>
          <w:szCs w:val="28"/>
          <w:vertAlign w:val="subscript"/>
        </w:rPr>
        <w:t>peak</w:t>
      </w:r>
      <w:proofErr w:type="spellEnd"/>
      <w:r>
        <w:rPr>
          <w:rFonts w:ascii="Times New Roman" w:hAnsi="Times New Roman" w:cs="Times New Roman"/>
          <w:sz w:val="24"/>
          <w:szCs w:val="28"/>
        </w:rPr>
        <w:t>, 93 dB; L</w:t>
      </w:r>
      <w:r>
        <w:rPr>
          <w:rFonts w:ascii="Times New Roman" w:hAnsi="Times New Roman" w:cs="Times New Roman"/>
          <w:sz w:val="24"/>
          <w:szCs w:val="28"/>
          <w:vertAlign w:val="subscript"/>
        </w:rPr>
        <w:t>N</w:t>
      </w:r>
      <w:r>
        <w:rPr>
          <w:rFonts w:ascii="Times New Roman" w:hAnsi="Times New Roman" w:cs="Times New Roman"/>
          <w:sz w:val="24"/>
          <w:szCs w:val="28"/>
        </w:rPr>
        <w:t xml:space="preserve">, 3.2 sone; Sharpness (S), 1.98 </w:t>
      </w:r>
      <w:proofErr w:type="spellStart"/>
      <w:r>
        <w:rPr>
          <w:rFonts w:ascii="Times New Roman" w:hAnsi="Times New Roman" w:cs="Times New Roman"/>
          <w:sz w:val="24"/>
          <w:szCs w:val="28"/>
        </w:rPr>
        <w:t>acum</w:t>
      </w:r>
      <w:proofErr w:type="spellEnd"/>
      <w:r>
        <w:rPr>
          <w:rFonts w:ascii="Times New Roman" w:hAnsi="Times New Roman" w:cs="Times New Roman"/>
          <w:sz w:val="24"/>
          <w:szCs w:val="28"/>
        </w:rPr>
        <w:t xml:space="preserve">; Fluctuation Strength (FS), 0.031 </w:t>
      </w:r>
      <w:proofErr w:type="spellStart"/>
      <w:r>
        <w:rPr>
          <w:rFonts w:ascii="Times New Roman" w:hAnsi="Times New Roman" w:cs="Times New Roman"/>
          <w:sz w:val="24"/>
          <w:szCs w:val="28"/>
        </w:rPr>
        <w:t>vacil</w:t>
      </w:r>
      <w:proofErr w:type="spellEnd"/>
      <w:r>
        <w:rPr>
          <w:rFonts w:ascii="Times New Roman" w:hAnsi="Times New Roman" w:cs="Times New Roman" w:hint="eastAsia"/>
          <w:sz w:val="24"/>
          <w:szCs w:val="28"/>
        </w:rPr>
        <w:t xml:space="preserve">. </w:t>
      </w:r>
      <w:r>
        <w:rPr>
          <w:rFonts w:ascii="Times New Roman" w:hAnsi="Times New Roman" w:cs="Times New Roman"/>
          <w:sz w:val="24"/>
          <w:szCs w:val="28"/>
        </w:rPr>
        <w:t xml:space="preserve">Dynamic characteristics of the </w:t>
      </w:r>
      <w:r>
        <w:rPr>
          <w:rFonts w:ascii="Times New Roman" w:hAnsi="Times New Roman" w:cs="Times New Roman" w:hint="eastAsia"/>
          <w:sz w:val="24"/>
          <w:szCs w:val="28"/>
        </w:rPr>
        <w:t>mask</w:t>
      </w:r>
      <w:r>
        <w:rPr>
          <w:rFonts w:ascii="Times New Roman" w:hAnsi="Times New Roman" w:cs="Times New Roman"/>
          <w:sz w:val="24"/>
          <w:szCs w:val="28"/>
        </w:rPr>
        <w:t xml:space="preserve"> sound: </w:t>
      </w:r>
      <w:proofErr w:type="spellStart"/>
      <w:r>
        <w:rPr>
          <w:rFonts w:ascii="Times New Roman" w:hAnsi="Times New Roman" w:cs="Times New Roman"/>
          <w:sz w:val="24"/>
          <w:szCs w:val="28"/>
        </w:rPr>
        <w:t>L</w:t>
      </w:r>
      <w:r>
        <w:rPr>
          <w:rFonts w:ascii="Times New Roman" w:hAnsi="Times New Roman" w:cs="Times New Roman"/>
          <w:sz w:val="24"/>
          <w:szCs w:val="28"/>
          <w:vertAlign w:val="subscript"/>
        </w:rPr>
        <w:t>Aeq</w:t>
      </w:r>
      <w:proofErr w:type="spellEnd"/>
      <w:r>
        <w:rPr>
          <w:rFonts w:ascii="Times New Roman" w:hAnsi="Times New Roman" w:cs="Times New Roman"/>
          <w:sz w:val="24"/>
          <w:szCs w:val="28"/>
        </w:rPr>
        <w:t>, 76 dBA; L</w:t>
      </w:r>
      <w:r>
        <w:rPr>
          <w:rFonts w:ascii="Times New Roman" w:hAnsi="Times New Roman" w:cs="Times New Roman"/>
          <w:sz w:val="24"/>
          <w:szCs w:val="28"/>
          <w:vertAlign w:val="subscript"/>
        </w:rPr>
        <w:t>A10</w:t>
      </w:r>
      <w:r>
        <w:rPr>
          <w:rFonts w:ascii="Times New Roman" w:hAnsi="Times New Roman" w:cs="Times New Roman"/>
          <w:sz w:val="24"/>
          <w:szCs w:val="28"/>
        </w:rPr>
        <w:t>, 76.6 dBA; L</w:t>
      </w:r>
      <w:r>
        <w:rPr>
          <w:rFonts w:ascii="Times New Roman" w:hAnsi="Times New Roman" w:cs="Times New Roman"/>
          <w:sz w:val="24"/>
          <w:szCs w:val="28"/>
          <w:vertAlign w:val="subscript"/>
        </w:rPr>
        <w:t>A50</w:t>
      </w:r>
      <w:r>
        <w:rPr>
          <w:rFonts w:ascii="Times New Roman" w:hAnsi="Times New Roman" w:cs="Times New Roman"/>
          <w:sz w:val="24"/>
          <w:szCs w:val="28"/>
        </w:rPr>
        <w:t>, 74.</w:t>
      </w:r>
      <w:r>
        <w:rPr>
          <w:rFonts w:ascii="Times New Roman" w:hAnsi="Times New Roman" w:cs="Times New Roman" w:hint="eastAsia"/>
          <w:sz w:val="24"/>
          <w:szCs w:val="28"/>
        </w:rPr>
        <w:t>3</w:t>
      </w:r>
      <w:r>
        <w:rPr>
          <w:rFonts w:ascii="Times New Roman" w:hAnsi="Times New Roman" w:cs="Times New Roman"/>
          <w:sz w:val="24"/>
          <w:szCs w:val="28"/>
        </w:rPr>
        <w:t xml:space="preserve"> dBA; L</w:t>
      </w:r>
      <w:r>
        <w:rPr>
          <w:rFonts w:ascii="Times New Roman" w:hAnsi="Times New Roman" w:cs="Times New Roman"/>
          <w:sz w:val="24"/>
          <w:szCs w:val="28"/>
          <w:vertAlign w:val="subscript"/>
        </w:rPr>
        <w:t>90</w:t>
      </w:r>
      <w:r>
        <w:rPr>
          <w:rFonts w:ascii="Times New Roman" w:hAnsi="Times New Roman" w:cs="Times New Roman"/>
          <w:sz w:val="24"/>
          <w:szCs w:val="28"/>
        </w:rPr>
        <w:t xml:space="preserve">, 74.7 dBA; </w:t>
      </w:r>
      <w:proofErr w:type="spellStart"/>
      <w:r>
        <w:rPr>
          <w:rFonts w:ascii="Times New Roman" w:hAnsi="Times New Roman" w:cs="Times New Roman"/>
          <w:sz w:val="24"/>
          <w:szCs w:val="28"/>
        </w:rPr>
        <w:t>L</w:t>
      </w:r>
      <w:r>
        <w:rPr>
          <w:rFonts w:ascii="Times New Roman" w:hAnsi="Times New Roman" w:cs="Times New Roman"/>
          <w:sz w:val="24"/>
          <w:szCs w:val="28"/>
          <w:vertAlign w:val="subscript"/>
        </w:rPr>
        <w:t>Aeq</w:t>
      </w:r>
      <w:proofErr w:type="spellEnd"/>
      <w:r>
        <w:rPr>
          <w:rFonts w:ascii="Times New Roman" w:hAnsi="Times New Roman" w:cs="Times New Roman"/>
          <w:sz w:val="24"/>
          <w:szCs w:val="28"/>
        </w:rPr>
        <w:t xml:space="preserve"> - L</w:t>
      </w:r>
      <w:r>
        <w:rPr>
          <w:rFonts w:ascii="Times New Roman" w:hAnsi="Times New Roman" w:cs="Times New Roman"/>
          <w:sz w:val="24"/>
          <w:szCs w:val="28"/>
          <w:vertAlign w:val="subscript"/>
        </w:rPr>
        <w:t>A50</w:t>
      </w:r>
      <w:r>
        <w:rPr>
          <w:rFonts w:ascii="Times New Roman" w:hAnsi="Times New Roman" w:cs="Times New Roman"/>
          <w:sz w:val="24"/>
          <w:szCs w:val="28"/>
        </w:rPr>
        <w:t>, 1.</w:t>
      </w:r>
      <w:r>
        <w:rPr>
          <w:rFonts w:ascii="Times New Roman" w:hAnsi="Times New Roman" w:cs="Times New Roman" w:hint="eastAsia"/>
          <w:sz w:val="24"/>
          <w:szCs w:val="28"/>
        </w:rPr>
        <w:t>7</w:t>
      </w:r>
      <w:r>
        <w:rPr>
          <w:rFonts w:ascii="Times New Roman" w:hAnsi="Times New Roman" w:cs="Times New Roman"/>
          <w:sz w:val="24"/>
          <w:szCs w:val="28"/>
        </w:rPr>
        <w:t xml:space="preserve"> dBA; L</w:t>
      </w:r>
      <w:r>
        <w:rPr>
          <w:rFonts w:ascii="Times New Roman" w:hAnsi="Times New Roman" w:cs="Times New Roman"/>
          <w:sz w:val="24"/>
          <w:szCs w:val="28"/>
          <w:vertAlign w:val="subscript"/>
        </w:rPr>
        <w:t>A10</w:t>
      </w:r>
      <w:r>
        <w:rPr>
          <w:rFonts w:ascii="Times New Roman" w:hAnsi="Times New Roman" w:cs="Times New Roman"/>
          <w:sz w:val="24"/>
          <w:szCs w:val="28"/>
        </w:rPr>
        <w:t xml:space="preserve"> - L</w:t>
      </w:r>
      <w:r>
        <w:rPr>
          <w:rFonts w:ascii="Times New Roman" w:hAnsi="Times New Roman" w:cs="Times New Roman"/>
          <w:sz w:val="24"/>
          <w:szCs w:val="28"/>
          <w:vertAlign w:val="subscript"/>
        </w:rPr>
        <w:t>A90</w:t>
      </w:r>
      <w:r>
        <w:rPr>
          <w:rFonts w:ascii="Times New Roman" w:hAnsi="Times New Roman" w:cs="Times New Roman"/>
          <w:sz w:val="24"/>
          <w:szCs w:val="28"/>
        </w:rPr>
        <w:t>, 1.</w:t>
      </w:r>
      <w:r>
        <w:rPr>
          <w:rFonts w:ascii="Times New Roman" w:hAnsi="Times New Roman" w:cs="Times New Roman" w:hint="eastAsia"/>
          <w:sz w:val="24"/>
          <w:szCs w:val="28"/>
        </w:rPr>
        <w:t>9</w:t>
      </w:r>
      <w:r>
        <w:rPr>
          <w:rFonts w:ascii="Times New Roman" w:hAnsi="Times New Roman" w:cs="Times New Roman"/>
          <w:sz w:val="24"/>
          <w:szCs w:val="28"/>
        </w:rPr>
        <w:t xml:space="preserve"> dBA; intermittency ratio, 0.6; </w:t>
      </w:r>
      <w:proofErr w:type="spellStart"/>
      <w:r>
        <w:rPr>
          <w:rFonts w:ascii="Times New Roman" w:hAnsi="Times New Roman" w:cs="Times New Roman"/>
          <w:sz w:val="24"/>
          <w:szCs w:val="28"/>
        </w:rPr>
        <w:t>LC</w:t>
      </w:r>
      <w:r>
        <w:rPr>
          <w:rFonts w:ascii="Times New Roman" w:hAnsi="Times New Roman" w:cs="Times New Roman"/>
          <w:sz w:val="24"/>
          <w:szCs w:val="28"/>
          <w:vertAlign w:val="subscript"/>
        </w:rPr>
        <w:t>peak</w:t>
      </w:r>
      <w:proofErr w:type="spellEnd"/>
      <w:r>
        <w:rPr>
          <w:rFonts w:ascii="Times New Roman" w:hAnsi="Times New Roman" w:cs="Times New Roman"/>
          <w:sz w:val="24"/>
          <w:szCs w:val="28"/>
        </w:rPr>
        <w:t>, 89 dB; L</w:t>
      </w:r>
      <w:r>
        <w:rPr>
          <w:rFonts w:ascii="Times New Roman" w:hAnsi="Times New Roman" w:cs="Times New Roman"/>
          <w:sz w:val="24"/>
          <w:szCs w:val="28"/>
          <w:vertAlign w:val="subscript"/>
        </w:rPr>
        <w:t>N</w:t>
      </w:r>
      <w:r>
        <w:rPr>
          <w:rFonts w:ascii="Times New Roman" w:hAnsi="Times New Roman" w:cs="Times New Roman"/>
          <w:sz w:val="24"/>
          <w:szCs w:val="28"/>
        </w:rPr>
        <w:t xml:space="preserve">, 9.56 sone; S, 3.54 </w:t>
      </w:r>
      <w:proofErr w:type="spellStart"/>
      <w:r>
        <w:rPr>
          <w:rFonts w:ascii="Times New Roman" w:hAnsi="Times New Roman" w:cs="Times New Roman"/>
          <w:sz w:val="24"/>
          <w:szCs w:val="28"/>
        </w:rPr>
        <w:t>acum</w:t>
      </w:r>
      <w:proofErr w:type="spellEnd"/>
      <w:r>
        <w:rPr>
          <w:rFonts w:ascii="Times New Roman" w:hAnsi="Times New Roman" w:cs="Times New Roman"/>
          <w:sz w:val="24"/>
          <w:szCs w:val="28"/>
        </w:rPr>
        <w:t xml:space="preserve">; FS, </w:t>
      </w:r>
      <w:r>
        <w:rPr>
          <w:rFonts w:ascii="Times New Roman" w:hAnsi="Times New Roman" w:cs="Times New Roman"/>
          <w:sz w:val="24"/>
          <w:szCs w:val="28"/>
        </w:rPr>
        <w:lastRenderedPageBreak/>
        <w:t xml:space="preserve">0.029 </w:t>
      </w:r>
      <w:proofErr w:type="spellStart"/>
      <w:r>
        <w:rPr>
          <w:rFonts w:ascii="Times New Roman" w:hAnsi="Times New Roman" w:cs="Times New Roman"/>
          <w:sz w:val="24"/>
          <w:szCs w:val="28"/>
        </w:rPr>
        <w:t>vacil</w:t>
      </w:r>
      <w:proofErr w:type="spellEnd"/>
      <w:r>
        <w:rPr>
          <w:rFonts w:ascii="Times New Roman" w:hAnsi="Times New Roman" w:cs="Times New Roman"/>
          <w:sz w:val="24"/>
          <w:szCs w:val="28"/>
        </w:rPr>
        <w:t>.</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The reason for selecting this natural mixed sound as </w:t>
      </w:r>
      <w:r>
        <w:rPr>
          <w:rFonts w:ascii="Times New Roman" w:hAnsi="Times New Roman" w:cs="Times New Roman" w:hint="eastAsia"/>
          <w:sz w:val="24"/>
          <w:szCs w:val="28"/>
        </w:rPr>
        <w:t>mask</w:t>
      </w:r>
      <w:r>
        <w:rPr>
          <w:rFonts w:ascii="Times New Roman" w:hAnsi="Times New Roman" w:cs="Times New Roman"/>
          <w:sz w:val="24"/>
          <w:szCs w:val="28"/>
        </w:rPr>
        <w:t xml:space="preserve"> sound is based on the findings of Cai et al., who explored the effectiveness of </w:t>
      </w:r>
      <w:r>
        <w:rPr>
          <w:rFonts w:ascii="Times New Roman" w:hAnsi="Times New Roman" w:cs="Times New Roman" w:hint="eastAsia"/>
          <w:sz w:val="24"/>
          <w:szCs w:val="28"/>
        </w:rPr>
        <w:t>mask</w:t>
      </w:r>
      <w:r>
        <w:rPr>
          <w:rFonts w:ascii="Times New Roman" w:hAnsi="Times New Roman" w:cs="Times New Roman"/>
          <w:sz w:val="24"/>
          <w:szCs w:val="28"/>
        </w:rPr>
        <w:t xml:space="preserve"> industrial noise, particularly welding noise, by adding natural sounds. They found that the three-sound blend of natural sounds provided the best </w:t>
      </w:r>
      <w:r>
        <w:rPr>
          <w:rFonts w:ascii="Times New Roman" w:hAnsi="Times New Roman" w:cs="Times New Roman" w:hint="eastAsia"/>
          <w:sz w:val="24"/>
          <w:szCs w:val="28"/>
        </w:rPr>
        <w:t>mask</w:t>
      </w:r>
      <w:r>
        <w:rPr>
          <w:rFonts w:ascii="Times New Roman" w:hAnsi="Times New Roman" w:cs="Times New Roman"/>
          <w:sz w:val="24"/>
          <w:szCs w:val="28"/>
        </w:rPr>
        <w:t xml:space="preserve"> effect, achieving an average </w:t>
      </w:r>
      <w:r>
        <w:rPr>
          <w:rFonts w:ascii="Times New Roman" w:hAnsi="Times New Roman" w:cs="Times New Roman" w:hint="eastAsia"/>
          <w:sz w:val="24"/>
          <w:szCs w:val="28"/>
        </w:rPr>
        <w:t>mask</w:t>
      </w:r>
      <w:r>
        <w:rPr>
          <w:rFonts w:ascii="Times New Roman" w:hAnsi="Times New Roman" w:cs="Times New Roman"/>
          <w:sz w:val="24"/>
          <w:szCs w:val="28"/>
        </w:rPr>
        <w:t xml:space="preserve"> efficacy of 22.56%; single natural sounds provided a secondary effect with an average </w:t>
      </w:r>
      <w:r>
        <w:rPr>
          <w:rFonts w:ascii="Times New Roman" w:hAnsi="Times New Roman" w:cs="Times New Roman" w:hint="eastAsia"/>
          <w:sz w:val="24"/>
          <w:szCs w:val="28"/>
        </w:rPr>
        <w:t>mask</w:t>
      </w:r>
      <w:r>
        <w:rPr>
          <w:rFonts w:ascii="Times New Roman" w:hAnsi="Times New Roman" w:cs="Times New Roman"/>
          <w:sz w:val="24"/>
          <w:szCs w:val="28"/>
        </w:rPr>
        <w:t xml:space="preserve"> efficacy of 19.95%; while combinations of two natural sounds had the least effectiveness, achieving an average </w:t>
      </w:r>
      <w:r>
        <w:rPr>
          <w:rFonts w:ascii="Times New Roman" w:hAnsi="Times New Roman" w:cs="Times New Roman" w:hint="eastAsia"/>
          <w:sz w:val="24"/>
          <w:szCs w:val="28"/>
        </w:rPr>
        <w:t>mask</w:t>
      </w:r>
      <w:r>
        <w:rPr>
          <w:rFonts w:ascii="Times New Roman" w:hAnsi="Times New Roman" w:cs="Times New Roman"/>
          <w:sz w:val="24"/>
          <w:szCs w:val="28"/>
        </w:rPr>
        <w:t xml:space="preserve"> efficacy of 15.67% </w:t>
      </w:r>
      <w:r w:rsidRPr="009F4C56">
        <w:rPr>
          <w:rFonts w:ascii="Times New Roman" w:hAnsi="Times New Roman" w:cs="Times New Roman"/>
          <w:sz w:val="24"/>
          <w:szCs w:val="28"/>
        </w:rPr>
        <w:t>[</w:t>
      </w:r>
      <w:r w:rsidR="009F4C56" w:rsidRPr="009F4C56">
        <w:rPr>
          <w:rFonts w:ascii="Times New Roman" w:hAnsi="Times New Roman" w:cs="Times New Roman" w:hint="eastAsia"/>
          <w:noProof/>
          <w:sz w:val="24"/>
          <w:szCs w:val="28"/>
          <w:vertAlign w:val="superscript"/>
        </w:rPr>
        <w:t>1</w:t>
      </w:r>
      <w:r w:rsidRPr="009F4C56">
        <w:rPr>
          <w:rFonts w:ascii="Times New Roman" w:hAnsi="Times New Roman" w:cs="Times New Roman"/>
          <w:sz w:val="24"/>
          <w:szCs w:val="28"/>
        </w:rPr>
        <w:t>]</w:t>
      </w:r>
      <w:r>
        <w:rPr>
          <w:rFonts w:ascii="Times New Roman" w:hAnsi="Times New Roman" w:cs="Times New Roman"/>
          <w:sz w:val="24"/>
          <w:szCs w:val="28"/>
        </w:rPr>
        <w:t xml:space="preserve">. In our pilot study, participants showed an 87.5% preference for the </w:t>
      </w:r>
      <w:r>
        <w:rPr>
          <w:rFonts w:ascii="Times New Roman" w:hAnsi="Times New Roman" w:cs="Times New Roman" w:hint="eastAsia"/>
          <w:sz w:val="24"/>
          <w:szCs w:val="28"/>
        </w:rPr>
        <w:t>mask</w:t>
      </w:r>
      <w:r>
        <w:rPr>
          <w:rFonts w:ascii="Times New Roman" w:hAnsi="Times New Roman" w:cs="Times New Roman"/>
          <w:sz w:val="24"/>
          <w:szCs w:val="28"/>
        </w:rPr>
        <w:t xml:space="preserve"> sound. The use of noise and </w:t>
      </w:r>
      <w:r>
        <w:rPr>
          <w:rFonts w:ascii="Times New Roman" w:hAnsi="Times New Roman" w:cs="Times New Roman" w:hint="eastAsia"/>
          <w:sz w:val="24"/>
          <w:szCs w:val="28"/>
        </w:rPr>
        <w:t>mask</w:t>
      </w:r>
      <w:r>
        <w:rPr>
          <w:rFonts w:ascii="Times New Roman" w:hAnsi="Times New Roman" w:cs="Times New Roman"/>
          <w:sz w:val="24"/>
          <w:szCs w:val="28"/>
        </w:rPr>
        <w:t xml:space="preserve"> sound conforms to the acoustical standards ISO 1996, ANSI S1.4, and ASA S1.4.</w:t>
      </w:r>
      <w:bookmarkStart w:id="2" w:name="_Hlk204931400"/>
      <w:r>
        <w:rPr>
          <w:rFonts w:ascii="Times New Roman" w:hAnsi="Times New Roman" w:cs="Times New Roman" w:hint="eastAsia"/>
          <w:sz w:val="24"/>
          <w:szCs w:val="28"/>
        </w:rPr>
        <w:t xml:space="preserve"> </w:t>
      </w:r>
      <w:r>
        <w:rPr>
          <w:rFonts w:ascii="Times New Roman" w:hAnsi="Times New Roman" w:cs="Times New Roman"/>
          <w:sz w:val="24"/>
          <w:szCs w:val="28"/>
        </w:rPr>
        <w:t xml:space="preserve">The sound signal duration for both types of stimuli was 20 seconds, and they were played in a loop for 14 hours daily (from 8:00 to 22:00). The audio files for traffic noise and </w:t>
      </w:r>
      <w:r>
        <w:rPr>
          <w:rFonts w:ascii="Times New Roman" w:hAnsi="Times New Roman" w:cs="Times New Roman" w:hint="eastAsia"/>
          <w:sz w:val="24"/>
          <w:szCs w:val="28"/>
        </w:rPr>
        <w:t>mask</w:t>
      </w:r>
      <w:r>
        <w:rPr>
          <w:rFonts w:ascii="Times New Roman" w:hAnsi="Times New Roman" w:cs="Times New Roman"/>
          <w:sz w:val="24"/>
          <w:szCs w:val="28"/>
        </w:rPr>
        <w:t xml:space="preserve"> sound played in the metabolic chamber were processed using an equalizer (</w:t>
      </w:r>
      <w:proofErr w:type="spellStart"/>
      <w:r>
        <w:rPr>
          <w:rFonts w:ascii="Times New Roman" w:hAnsi="Times New Roman" w:cs="Times New Roman"/>
          <w:sz w:val="24"/>
          <w:szCs w:val="28"/>
        </w:rPr>
        <w:t>dbx</w:t>
      </w:r>
      <w:proofErr w:type="spellEnd"/>
      <w:r>
        <w:rPr>
          <w:rFonts w:ascii="Times New Roman" w:hAnsi="Times New Roman" w:cs="Times New Roman" w:hint="eastAsia"/>
          <w:sz w:val="24"/>
          <w:szCs w:val="28"/>
          <w:vertAlign w:val="superscript"/>
        </w:rPr>
        <w:t>®</w:t>
      </w:r>
      <w:r>
        <w:rPr>
          <w:rFonts w:ascii="Times New Roman" w:hAnsi="Times New Roman" w:cs="Times New Roman"/>
          <w:sz w:val="24"/>
          <w:szCs w:val="28"/>
        </w:rPr>
        <w:t xml:space="preserve"> professional product, WINTER NAMM SHOW, ANAHEIM, CA, USA) and an audio processor (Tesira FORTÉ DAN AI) with the software Biamp Canvas (Biamp</w:t>
      </w:r>
      <w:r>
        <w:rPr>
          <w:rFonts w:ascii="Times New Roman" w:hAnsi="Times New Roman" w:cs="Times New Roman" w:hint="eastAsia"/>
          <w:sz w:val="24"/>
          <w:szCs w:val="28"/>
          <w:vertAlign w:val="superscript"/>
        </w:rPr>
        <w:t>®</w:t>
      </w:r>
      <w:r>
        <w:rPr>
          <w:rFonts w:ascii="Times New Roman" w:hAnsi="Times New Roman" w:cs="Times New Roman"/>
          <w:sz w:val="24"/>
          <w:szCs w:val="28"/>
        </w:rPr>
        <w:t>, USA). The sounds were played through a MYMEI music player (MYMEI</w:t>
      </w:r>
      <w:r>
        <w:rPr>
          <w:rFonts w:ascii="Times New Roman" w:hAnsi="Times New Roman" w:cs="Times New Roman" w:hint="eastAsia"/>
          <w:sz w:val="24"/>
          <w:szCs w:val="28"/>
          <w:vertAlign w:val="superscript"/>
        </w:rPr>
        <w:t>®</w:t>
      </w:r>
      <w:r>
        <w:rPr>
          <w:rFonts w:ascii="Times New Roman" w:hAnsi="Times New Roman" w:cs="Times New Roman"/>
          <w:sz w:val="24"/>
          <w:szCs w:val="28"/>
        </w:rPr>
        <w:t>, Shenzhen, China), positioned at the top of the metabolic chamber, approximately 2 meters above the ground. The player has a frequency response range of 45</w:t>
      </w:r>
      <w:r w:rsidRPr="00404587">
        <w:rPr>
          <w:rFonts w:ascii="Times New Roman" w:hAnsi="Times New Roman" w:cs="Times New Roman" w:hint="eastAsia"/>
          <w:sz w:val="24"/>
          <w:szCs w:val="28"/>
        </w:rPr>
        <w:t>-</w:t>
      </w:r>
      <w:r>
        <w:rPr>
          <w:rFonts w:ascii="Times New Roman" w:hAnsi="Times New Roman" w:cs="Times New Roman"/>
          <w:sz w:val="24"/>
          <w:szCs w:val="28"/>
        </w:rPr>
        <w:t xml:space="preserve">22,000 Hz, with a relatively pronounced low-to-mid frequency region. The background noise levels inside the metabolic chamber without external noise, along with those during the playback of traffic noise and </w:t>
      </w:r>
      <w:r>
        <w:rPr>
          <w:rFonts w:ascii="Times New Roman" w:hAnsi="Times New Roman" w:cs="Times New Roman" w:hint="eastAsia"/>
          <w:sz w:val="24"/>
          <w:szCs w:val="28"/>
        </w:rPr>
        <w:t>mask</w:t>
      </w:r>
      <w:r>
        <w:rPr>
          <w:rFonts w:ascii="Times New Roman" w:hAnsi="Times New Roman" w:cs="Times New Roman"/>
          <w:sz w:val="24"/>
          <w:szCs w:val="28"/>
        </w:rPr>
        <w:t xml:space="preserve"> sound, were measured using the SA-02 multi-channel analyzer (Rion Co., Ltd., Japan). Prior to these measurements, the sound level meter was calibrated using internal signal correction according to the operation manual, coupled with a sound calibrator (NC-74). Calibration was completed two days before the experiment began, assessing both the background noise levels without external noise and during traffic noise playback. Throughout the experiment, background noise levels inside the chamber were continuously monitored to ensure the sound level data accurately reflected the actual values on the day of the experiment, minimizing bias and error compared to pre-experiment measurement values. During the experiment, the background noise level in the quiet day chamber was measured at 46.52 dBA (± 0.31), which meets the WHO's indoor quiet sound level requirements. The average </w:t>
      </w:r>
      <w:r>
        <w:rPr>
          <w:rFonts w:ascii="Times New Roman" w:hAnsi="Times New Roman" w:cs="Times New Roman"/>
          <w:sz w:val="24"/>
          <w:szCs w:val="28"/>
        </w:rPr>
        <w:lastRenderedPageBreak/>
        <w:t>reverberation time (T60) of the metabolic chamber is 0.12 s. The spectral characteristics show that the energy is mainly concentrated in the 63</w:t>
      </w:r>
      <w:r w:rsidRPr="00404587">
        <w:rPr>
          <w:rFonts w:ascii="Times New Roman" w:hAnsi="Times New Roman" w:cs="Times New Roman" w:hint="eastAsia"/>
          <w:sz w:val="24"/>
          <w:szCs w:val="28"/>
        </w:rPr>
        <w:t>-</w:t>
      </w:r>
      <w:r>
        <w:rPr>
          <w:rFonts w:ascii="Times New Roman" w:hAnsi="Times New Roman" w:cs="Times New Roman"/>
          <w:sz w:val="24"/>
          <w:szCs w:val="28"/>
        </w:rPr>
        <w:t xml:space="preserve">250 Hz range. Intermittency ratio = 0.4. </w:t>
      </w:r>
    </w:p>
    <w:bookmarkEnd w:id="2"/>
    <w:p w14:paraId="1A936A61" w14:textId="77777777" w:rsidR="00A13EA0" w:rsidRDefault="00A13EA0"/>
    <w:p w14:paraId="54FDF4AE" w14:textId="4CD27D93" w:rsidR="009F4C56" w:rsidRDefault="009F4C56" w:rsidP="009F4C56">
      <w:pPr>
        <w:spacing w:line="360" w:lineRule="auto"/>
        <w:rPr>
          <w:rFonts w:ascii="Times New Roman" w:hAnsi="Times New Roman" w:cs="Times New Roman"/>
          <w:sz w:val="24"/>
          <w:szCs w:val="28"/>
        </w:rPr>
      </w:pPr>
      <w:r w:rsidRPr="00C515CC">
        <w:rPr>
          <w:rFonts w:ascii="Times New Roman" w:hAnsi="Times New Roman" w:cs="Times New Roman" w:hint="eastAsia"/>
          <w:sz w:val="24"/>
          <w:szCs w:val="28"/>
        </w:rPr>
        <w:t>2.</w:t>
      </w:r>
      <w:r>
        <w:rPr>
          <w:rFonts w:ascii="Times New Roman" w:hAnsi="Times New Roman" w:cs="Times New Roman" w:hint="eastAsia"/>
          <w:sz w:val="24"/>
          <w:szCs w:val="28"/>
        </w:rPr>
        <w:t>5</w:t>
      </w:r>
      <w:r w:rsidRPr="00C515CC">
        <w:rPr>
          <w:rFonts w:ascii="Times New Roman" w:hAnsi="Times New Roman" w:cs="Times New Roman" w:hint="eastAsia"/>
          <w:sz w:val="24"/>
          <w:szCs w:val="28"/>
        </w:rPr>
        <w:t xml:space="preserve"> </w:t>
      </w:r>
      <w:r w:rsidR="00E5728B" w:rsidRPr="00E5728B">
        <w:rPr>
          <w:rFonts w:ascii="Times New Roman" w:hAnsi="Times New Roman" w:cs="Times New Roman" w:hint="eastAsia"/>
          <w:sz w:val="24"/>
          <w:szCs w:val="28"/>
        </w:rPr>
        <w:t>Energy Expenditure and Substrate Oxidation</w:t>
      </w:r>
    </w:p>
    <w:p w14:paraId="2DA09BC4" w14:textId="77777777" w:rsidR="009F4C56" w:rsidRPr="00C515CC" w:rsidRDefault="009F4C56" w:rsidP="009F4C56">
      <w:pPr>
        <w:spacing w:line="360" w:lineRule="auto"/>
        <w:rPr>
          <w:rFonts w:ascii="Times New Roman" w:hAnsi="Times New Roman" w:cs="Times New Roman"/>
          <w:sz w:val="24"/>
          <w:szCs w:val="28"/>
        </w:rPr>
      </w:pPr>
    </w:p>
    <w:p w14:paraId="75757DC7" w14:textId="376734C1" w:rsidR="004C3974" w:rsidRDefault="009F4C56" w:rsidP="004C3974">
      <w:pPr>
        <w:spacing w:line="360" w:lineRule="auto"/>
        <w:ind w:firstLine="420"/>
        <w:rPr>
          <w:rFonts w:ascii="Times New Roman" w:hAnsi="Times New Roman" w:cs="Times New Roman"/>
          <w:sz w:val="24"/>
          <w:szCs w:val="28"/>
        </w:rPr>
      </w:pPr>
      <w:r>
        <w:rPr>
          <w:rFonts w:ascii="Times New Roman" w:hAnsi="Times New Roman" w:cs="Times New Roman"/>
          <w:sz w:val="24"/>
          <w:szCs w:val="28"/>
        </w:rPr>
        <w:t>Participants underwent a 2-hour resting metabolic rate (RMR) measurement on the screening day. Their individualized daily energy intake was calculated based on the measured BMR during the screening period, multiplied by a physical activity level (PAL) of 1.3. Meal times were standardized (</w:t>
      </w:r>
      <w:r>
        <w:rPr>
          <w:rFonts w:ascii="Times New Roman" w:hAnsi="Times New Roman" w:cs="Times New Roman"/>
          <w:b/>
          <w:bCs/>
          <w:sz w:val="24"/>
          <w:szCs w:val="28"/>
        </w:rPr>
        <w:t>Fig</w:t>
      </w:r>
      <w:r>
        <w:rPr>
          <w:rFonts w:ascii="Times New Roman" w:hAnsi="Times New Roman" w:cs="Times New Roman" w:hint="eastAsia"/>
          <w:b/>
          <w:bCs/>
          <w:sz w:val="24"/>
          <w:szCs w:val="28"/>
        </w:rPr>
        <w:t>.</w:t>
      </w:r>
      <w:r>
        <w:rPr>
          <w:rFonts w:ascii="Times New Roman" w:hAnsi="Times New Roman" w:cs="Times New Roman"/>
          <w:b/>
          <w:bCs/>
          <w:sz w:val="24"/>
          <w:szCs w:val="28"/>
        </w:rPr>
        <w:t xml:space="preserve"> 1B</w:t>
      </w:r>
      <w:r>
        <w:rPr>
          <w:rFonts w:ascii="Times New Roman" w:hAnsi="Times New Roman" w:cs="Times New Roman"/>
          <w:sz w:val="24"/>
          <w:szCs w:val="28"/>
        </w:rPr>
        <w:t xml:space="preserve">). On the quiet day, </w:t>
      </w:r>
      <w:r>
        <w:rPr>
          <w:rFonts w:ascii="Times New Roman" w:hAnsi="Times New Roman" w:cs="Times New Roman" w:hint="eastAsia"/>
          <w:sz w:val="24"/>
          <w:szCs w:val="28"/>
        </w:rPr>
        <w:t>n</w:t>
      </w:r>
      <w:r>
        <w:rPr>
          <w:rFonts w:ascii="Times New Roman" w:hAnsi="Times New Roman" w:cs="Times New Roman"/>
          <w:sz w:val="24"/>
          <w:szCs w:val="28"/>
        </w:rPr>
        <w:t xml:space="preserve">oise day, and </w:t>
      </w:r>
      <w:r>
        <w:rPr>
          <w:rFonts w:ascii="Times New Roman" w:hAnsi="Times New Roman" w:cs="Times New Roman" w:hint="eastAsia"/>
          <w:sz w:val="24"/>
          <w:szCs w:val="28"/>
        </w:rPr>
        <w:t>mask</w:t>
      </w:r>
      <w:r>
        <w:rPr>
          <w:rFonts w:ascii="Times New Roman" w:hAnsi="Times New Roman" w:cs="Times New Roman"/>
          <w:sz w:val="24"/>
          <w:szCs w:val="28"/>
        </w:rPr>
        <w:t xml:space="preserve"> day, participants resided in the metabolic chamber for 24 hours to measure energy metabolism indicators. To ensure light physical activity, participants engaged in cycling exercise on a stationary bike three times during their stay in the chamber, with a constant power output of 25 watts and a rotational speed maintained at 60 RPM for 30 minutes each session. The start and end times for these exercise sessions were standardized (</w:t>
      </w:r>
      <w:r>
        <w:rPr>
          <w:rFonts w:ascii="Times New Roman" w:hAnsi="Times New Roman" w:cs="Times New Roman"/>
          <w:b/>
          <w:bCs/>
          <w:sz w:val="24"/>
          <w:szCs w:val="28"/>
        </w:rPr>
        <w:t>Fig</w:t>
      </w:r>
      <w:r>
        <w:rPr>
          <w:rFonts w:ascii="Times New Roman" w:hAnsi="Times New Roman" w:cs="Times New Roman" w:hint="eastAsia"/>
          <w:b/>
          <w:bCs/>
          <w:sz w:val="24"/>
          <w:szCs w:val="28"/>
        </w:rPr>
        <w:t>.</w:t>
      </w:r>
      <w:r>
        <w:rPr>
          <w:rFonts w:ascii="Times New Roman" w:hAnsi="Times New Roman" w:cs="Times New Roman"/>
          <w:b/>
          <w:bCs/>
          <w:sz w:val="24"/>
          <w:szCs w:val="28"/>
        </w:rPr>
        <w:t xml:space="preserve"> 1B</w:t>
      </w:r>
      <w:r>
        <w:rPr>
          <w:rFonts w:ascii="Times New Roman" w:hAnsi="Times New Roman" w:cs="Times New Roman"/>
          <w:sz w:val="24"/>
          <w:szCs w:val="28"/>
        </w:rPr>
        <w:t>). Excluding times for using the restroom and sleep, participants were required to remain seated at a designated workspace. They were allowed to use recreational devices, but playing music or wearing noise-canceling headphones was strictly prohibited. Additionally, participants were not permitted to sleep outside of designated sleep periods.</w:t>
      </w:r>
    </w:p>
    <w:p w14:paraId="26D1AC4D" w14:textId="77777777" w:rsidR="004C3974" w:rsidRDefault="004C3974" w:rsidP="004C3974">
      <w:pPr>
        <w:spacing w:line="360" w:lineRule="auto"/>
        <w:ind w:firstLine="420"/>
        <w:rPr>
          <w:rFonts w:ascii="Times New Roman" w:hAnsi="Times New Roman" w:cs="Times New Roman"/>
          <w:sz w:val="24"/>
          <w:szCs w:val="28"/>
        </w:rPr>
      </w:pPr>
    </w:p>
    <w:p w14:paraId="7F2741CC" w14:textId="77777777" w:rsidR="004C3974" w:rsidRDefault="004C3974" w:rsidP="004C3974">
      <w:pPr>
        <w:spacing w:line="360" w:lineRule="auto"/>
        <w:rPr>
          <w:rFonts w:ascii="Times New Roman" w:hAnsi="Times New Roman" w:cs="Times New Roman"/>
          <w:sz w:val="24"/>
          <w:szCs w:val="28"/>
        </w:rPr>
      </w:pPr>
      <w:r w:rsidRPr="00395D25">
        <w:rPr>
          <w:rFonts w:ascii="Times New Roman" w:hAnsi="Times New Roman" w:cs="Times New Roman" w:hint="eastAsia"/>
          <w:sz w:val="24"/>
          <w:szCs w:val="28"/>
        </w:rPr>
        <w:t>2.</w:t>
      </w:r>
      <w:r>
        <w:rPr>
          <w:rFonts w:ascii="Times New Roman" w:hAnsi="Times New Roman" w:cs="Times New Roman" w:hint="eastAsia"/>
          <w:sz w:val="24"/>
          <w:szCs w:val="28"/>
        </w:rPr>
        <w:t xml:space="preserve">6 </w:t>
      </w:r>
      <w:r w:rsidRPr="00395D25">
        <w:rPr>
          <w:rFonts w:ascii="Times New Roman" w:hAnsi="Times New Roman" w:cs="Times New Roman"/>
          <w:sz w:val="24"/>
          <w:szCs w:val="28"/>
        </w:rPr>
        <w:t>Physiological Measures</w:t>
      </w:r>
    </w:p>
    <w:p w14:paraId="2AAC9360" w14:textId="77777777" w:rsidR="004C3974" w:rsidRDefault="004C3974" w:rsidP="004C3974">
      <w:pPr>
        <w:spacing w:line="360" w:lineRule="auto"/>
        <w:ind w:firstLine="420"/>
        <w:rPr>
          <w:rFonts w:ascii="Times New Roman" w:hAnsi="Times New Roman" w:cs="Times New Roman"/>
          <w:sz w:val="24"/>
          <w:szCs w:val="28"/>
        </w:rPr>
      </w:pPr>
    </w:p>
    <w:p w14:paraId="2AB83A6A" w14:textId="09C4BE4E" w:rsidR="004C3974" w:rsidRDefault="00A0483F" w:rsidP="00A0483F">
      <w:pPr>
        <w:spacing w:line="360" w:lineRule="auto"/>
        <w:ind w:firstLine="420"/>
        <w:rPr>
          <w:rFonts w:ascii="Times New Roman" w:hAnsi="Times New Roman" w:cs="Times New Roman" w:hint="eastAsia"/>
          <w:sz w:val="24"/>
          <w:szCs w:val="28"/>
        </w:rPr>
      </w:pPr>
      <w:r>
        <w:rPr>
          <w:rFonts w:ascii="Times New Roman" w:hAnsi="Times New Roman" w:cs="Times New Roman"/>
          <w:sz w:val="24"/>
          <w:szCs w:val="28"/>
        </w:rPr>
        <w:t>Physical activity was assessed using the GT3X monitoring device (</w:t>
      </w:r>
      <w:proofErr w:type="spellStart"/>
      <w:r>
        <w:rPr>
          <w:rFonts w:ascii="Times New Roman" w:hAnsi="Times New Roman" w:cs="Times New Roman"/>
          <w:sz w:val="24"/>
          <w:szCs w:val="28"/>
        </w:rPr>
        <w:t>ActiGraph</w:t>
      </w:r>
      <w:proofErr w:type="spellEnd"/>
      <w:r>
        <w:rPr>
          <w:rFonts w:ascii="Times New Roman" w:hAnsi="Times New Roman" w:cs="Times New Roman"/>
          <w:sz w:val="24"/>
          <w:szCs w:val="28"/>
        </w:rPr>
        <w:t>, Pensacola, Florida, USA), which quantified movement in three orthogonal axes</w:t>
      </w:r>
      <w:r w:rsidRPr="00BC522B">
        <w:rPr>
          <w:rFonts w:ascii="Times New Roman" w:hAnsi="Times New Roman" w:cs="Times New Roman" w:hint="eastAsia"/>
          <w:sz w:val="24"/>
          <w:szCs w:val="28"/>
        </w:rPr>
        <w:t>-</w:t>
      </w:r>
      <w:r>
        <w:rPr>
          <w:rFonts w:ascii="Times New Roman" w:hAnsi="Times New Roman" w:cs="Times New Roman"/>
          <w:sz w:val="24"/>
          <w:szCs w:val="28"/>
        </w:rPr>
        <w:t>vertical, anterior-posterior, and medio-lateral</w:t>
      </w:r>
      <w:r w:rsidRPr="00BC522B">
        <w:rPr>
          <w:rFonts w:ascii="Times New Roman" w:hAnsi="Times New Roman" w:cs="Times New Roman" w:hint="eastAsia"/>
          <w:sz w:val="24"/>
          <w:szCs w:val="28"/>
        </w:rPr>
        <w:t>-</w:t>
      </w:r>
      <w:r>
        <w:rPr>
          <w:rFonts w:ascii="Times New Roman" w:hAnsi="Times New Roman" w:cs="Times New Roman"/>
          <w:sz w:val="24"/>
          <w:szCs w:val="28"/>
        </w:rPr>
        <w:t xml:space="preserve">collectively referred to as vector magnitude (VM). VM was calculated as the square root of the sum of squares of the activity counts from the three axes. </w:t>
      </w:r>
      <w:r w:rsidR="004C3974">
        <w:rPr>
          <w:rFonts w:ascii="Times New Roman" w:hAnsi="Times New Roman" w:cs="Times New Roman"/>
          <w:sz w:val="24"/>
          <w:szCs w:val="28"/>
        </w:rPr>
        <w:t xml:space="preserve">The GT3X monitor was worn on the mid-thigh of the right leg throughout the study, except during dual-energy X-ray absorptiometry (DXA) assessments or while showering. All GT3X devices were initialized with a sampling </w:t>
      </w:r>
      <w:r w:rsidR="004C3974">
        <w:rPr>
          <w:rFonts w:ascii="Times New Roman" w:hAnsi="Times New Roman" w:cs="Times New Roman"/>
          <w:sz w:val="24"/>
          <w:szCs w:val="28"/>
        </w:rPr>
        <w:lastRenderedPageBreak/>
        <w:t xml:space="preserve">rate of 30 Hz, and data were downloaded using 60-second epochs, followed by analysis using </w:t>
      </w:r>
      <w:proofErr w:type="spellStart"/>
      <w:r w:rsidR="004C3974">
        <w:rPr>
          <w:rFonts w:ascii="Times New Roman" w:hAnsi="Times New Roman" w:cs="Times New Roman"/>
          <w:sz w:val="24"/>
          <w:szCs w:val="28"/>
        </w:rPr>
        <w:t>ActiLife</w:t>
      </w:r>
      <w:proofErr w:type="spellEnd"/>
      <w:r w:rsidR="004C3974">
        <w:rPr>
          <w:rFonts w:ascii="Times New Roman" w:hAnsi="Times New Roman" w:cs="Times New Roman"/>
          <w:sz w:val="24"/>
          <w:szCs w:val="28"/>
        </w:rPr>
        <w:t xml:space="preserve"> software (version 6.13.4). Body weight and composition were measured separately using InBody (InBody 770, InBody Co., Seoul, South Korea) and DXA (GE Lunar </w:t>
      </w:r>
      <w:proofErr w:type="spellStart"/>
      <w:r w:rsidR="004C3974">
        <w:rPr>
          <w:rFonts w:ascii="Times New Roman" w:hAnsi="Times New Roman" w:cs="Times New Roman"/>
          <w:sz w:val="24"/>
          <w:szCs w:val="28"/>
        </w:rPr>
        <w:t>iDXA</w:t>
      </w:r>
      <w:proofErr w:type="spellEnd"/>
      <w:r w:rsidR="004C3974">
        <w:rPr>
          <w:rFonts w:ascii="Times New Roman" w:hAnsi="Times New Roman" w:cs="Times New Roman"/>
          <w:sz w:val="24"/>
          <w:szCs w:val="28"/>
        </w:rPr>
        <w:t>, GE Healthcare, Madison, Wisconsin, USA). Height was measured in centimeters using an ultrasonic measuring device (OMRON HNH-318; Omron Corporation, Kyoto, Japan).</w:t>
      </w:r>
    </w:p>
    <w:p w14:paraId="012A7603" w14:textId="77777777" w:rsidR="009F4C56" w:rsidRDefault="009F4C56"/>
    <w:p w14:paraId="059AC61E" w14:textId="308F7CFA" w:rsidR="00E5728B" w:rsidRDefault="00E5728B" w:rsidP="00E5728B">
      <w:pPr>
        <w:spacing w:line="360" w:lineRule="auto"/>
        <w:rPr>
          <w:rFonts w:ascii="Times New Roman" w:hAnsi="Times New Roman" w:cs="Times New Roman"/>
          <w:sz w:val="24"/>
          <w:szCs w:val="28"/>
        </w:rPr>
      </w:pPr>
      <w:r w:rsidRPr="00395D25">
        <w:rPr>
          <w:rFonts w:ascii="Times New Roman" w:hAnsi="Times New Roman" w:cs="Times New Roman" w:hint="eastAsia"/>
          <w:sz w:val="24"/>
          <w:szCs w:val="28"/>
        </w:rPr>
        <w:t xml:space="preserve">2.7 </w:t>
      </w:r>
      <w:r w:rsidRPr="00395D25">
        <w:rPr>
          <w:rFonts w:ascii="Times New Roman" w:hAnsi="Times New Roman" w:cs="Times New Roman"/>
          <w:sz w:val="24"/>
          <w:szCs w:val="28"/>
        </w:rPr>
        <w:t>Laboratory test</w:t>
      </w:r>
    </w:p>
    <w:p w14:paraId="086AD5DA" w14:textId="77777777" w:rsidR="00E5728B" w:rsidRDefault="00E5728B">
      <w:pPr>
        <w:rPr>
          <w:rFonts w:hint="eastAsia"/>
        </w:rPr>
      </w:pPr>
    </w:p>
    <w:p w14:paraId="3ECBCBD5" w14:textId="77777777" w:rsidR="00E5728B" w:rsidRDefault="00E5728B" w:rsidP="00E5728B">
      <w:pPr>
        <w:spacing w:line="360" w:lineRule="auto"/>
        <w:ind w:firstLine="420"/>
        <w:rPr>
          <w:rFonts w:ascii="Times New Roman" w:hAnsi="Times New Roman" w:cs="Times New Roman"/>
          <w:sz w:val="24"/>
          <w:szCs w:val="28"/>
        </w:rPr>
      </w:pPr>
      <w:r w:rsidRPr="00F13291">
        <w:rPr>
          <w:rFonts w:ascii="Times New Roman" w:hAnsi="Times New Roman" w:cs="Times New Roman"/>
          <w:sz w:val="24"/>
          <w:szCs w:val="28"/>
        </w:rPr>
        <w:t>Blood samples were drawn into vacuum blood collection tubes (BD Vacutainer, BD, Essex, Switzerland) for the analysis of blood metabolites. Samples were centrifuged at 4°C, with immediate analysis or storage at -80°C until further analysis. MN and NMN were quantified using reversed-phase high-performance liquid chromatography (HPLC) with electrochemical detection (Agilent 1100 series, Santa Clara, California, USA). Serum cortisol levels were measured using the Access Immunoassay System (Beckman Coulter Inc., Fullerton, California, USA). Adrenocorticotropic hormone (ACTH) levels were assessed via ELSA-ACTH radioimmunoassay (</w:t>
      </w:r>
      <w:proofErr w:type="spellStart"/>
      <w:r w:rsidRPr="00F13291">
        <w:rPr>
          <w:rFonts w:ascii="Times New Roman" w:hAnsi="Times New Roman" w:cs="Times New Roman"/>
          <w:sz w:val="24"/>
          <w:szCs w:val="28"/>
        </w:rPr>
        <w:t>Cisbio</w:t>
      </w:r>
      <w:proofErr w:type="spellEnd"/>
      <w:r w:rsidRPr="00F13291">
        <w:rPr>
          <w:rFonts w:ascii="Times New Roman" w:hAnsi="Times New Roman" w:cs="Times New Roman"/>
          <w:sz w:val="24"/>
          <w:szCs w:val="28"/>
        </w:rPr>
        <w:t xml:space="preserve"> Bioassays, </w:t>
      </w:r>
      <w:proofErr w:type="spellStart"/>
      <w:r w:rsidRPr="00F13291">
        <w:rPr>
          <w:rFonts w:ascii="Times New Roman" w:hAnsi="Times New Roman" w:cs="Times New Roman"/>
          <w:sz w:val="24"/>
          <w:szCs w:val="28"/>
        </w:rPr>
        <w:t>Codolet</w:t>
      </w:r>
      <w:proofErr w:type="spellEnd"/>
      <w:r w:rsidRPr="00F13291">
        <w:rPr>
          <w:rFonts w:ascii="Times New Roman" w:hAnsi="Times New Roman" w:cs="Times New Roman"/>
          <w:sz w:val="24"/>
          <w:szCs w:val="28"/>
        </w:rPr>
        <w:t>, France). Levels of total T3, total T4, TSH, TBG, FT3, FT4, and insulin were determined using automated chemiluminescent immunoassays (ARCHITECT ci16200 Analyzer, Abbott Laboratories, Abbott Park, Illinois, USA). VBG concentrations were measured with an automated analyzer (Modular P800, Roche, Basel, Switzerland). Salivary melatonin was quantified using an enzyme immunoassa</w:t>
      </w:r>
      <w:r>
        <w:rPr>
          <w:rFonts w:ascii="Times New Roman" w:hAnsi="Times New Roman" w:cs="Times New Roman"/>
          <w:sz w:val="24"/>
          <w:szCs w:val="28"/>
        </w:rPr>
        <w:t>y (Melatonin direct Saliva ELISA, IBL International GmbH, Hamburg, Germany).</w:t>
      </w:r>
    </w:p>
    <w:p w14:paraId="6033D052" w14:textId="77777777" w:rsidR="00E5728B" w:rsidRPr="00E5728B" w:rsidRDefault="00E5728B">
      <w:pPr>
        <w:rPr>
          <w:rFonts w:hint="eastAsia"/>
        </w:rPr>
      </w:pPr>
    </w:p>
    <w:p w14:paraId="1D8295C5" w14:textId="292551C9" w:rsidR="009F4C56" w:rsidRPr="000C59E6" w:rsidRDefault="009F4C56" w:rsidP="009F4C56">
      <w:pPr>
        <w:pStyle w:val="11"/>
        <w:spacing w:after="0"/>
        <w:ind w:firstLineChars="0" w:firstLine="0"/>
        <w:rPr>
          <w:rFonts w:ascii="Times New Roman" w:eastAsia="Times New Roman" w:hAnsi="Times New Roman"/>
          <w:color w:val="333333"/>
          <w:sz w:val="20"/>
          <w:szCs w:val="20"/>
        </w:rPr>
      </w:pPr>
      <w:r w:rsidRPr="000C59E6">
        <w:rPr>
          <w:rFonts w:ascii="Times New Roman" w:hAnsi="Times New Roman"/>
        </w:rPr>
        <w:t xml:space="preserve">[1] </w:t>
      </w:r>
      <w:r w:rsidRPr="000C59E6">
        <w:rPr>
          <w:rFonts w:ascii="Times New Roman" w:eastAsia="Times New Roman" w:hAnsi="Times New Roman"/>
          <w:color w:val="333333"/>
          <w:sz w:val="20"/>
          <w:szCs w:val="20"/>
        </w:rPr>
        <w:t xml:space="preserve">Cai J, Liu J, Yu N, Liu B (2019) Effect of water sound masking on perception of the industrial noise. </w:t>
      </w:r>
      <w:r w:rsidRPr="000C59E6">
        <w:rPr>
          <w:rFonts w:ascii="Times New Roman" w:eastAsia="Times New Roman" w:hAnsi="Times New Roman"/>
          <w:i/>
          <w:iCs/>
          <w:color w:val="333333"/>
          <w:sz w:val="20"/>
          <w:szCs w:val="20"/>
        </w:rPr>
        <w:t xml:space="preserve">Appl </w:t>
      </w:r>
      <w:proofErr w:type="spellStart"/>
      <w:r w:rsidRPr="000C59E6">
        <w:rPr>
          <w:rFonts w:ascii="Times New Roman" w:eastAsia="Times New Roman" w:hAnsi="Times New Roman"/>
          <w:i/>
          <w:iCs/>
          <w:color w:val="333333"/>
          <w:sz w:val="20"/>
          <w:szCs w:val="20"/>
        </w:rPr>
        <w:t>Acoust</w:t>
      </w:r>
      <w:proofErr w:type="spellEnd"/>
      <w:r w:rsidRPr="000C59E6">
        <w:rPr>
          <w:rFonts w:ascii="Times New Roman" w:eastAsia="Times New Roman" w:hAnsi="Times New Roman"/>
          <w:color w:val="333333"/>
          <w:sz w:val="20"/>
          <w:szCs w:val="20"/>
        </w:rPr>
        <w:t xml:space="preserve"> 150:307-312. </w:t>
      </w:r>
    </w:p>
    <w:p w14:paraId="19994D51" w14:textId="35B8613C" w:rsidR="009F4C56" w:rsidRPr="009F4C56" w:rsidRDefault="009F4C56">
      <w:pPr>
        <w:rPr>
          <w:rFonts w:hint="eastAsia"/>
        </w:rPr>
      </w:pPr>
    </w:p>
    <w:sectPr w:rsidR="009F4C56" w:rsidRPr="009F4C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A451A"/>
    <w:multiLevelType w:val="multilevel"/>
    <w:tmpl w:val="6AD2680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16cid:durableId="1420248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3C"/>
    <w:rsid w:val="000C59E6"/>
    <w:rsid w:val="004C3974"/>
    <w:rsid w:val="0064483C"/>
    <w:rsid w:val="006A78C1"/>
    <w:rsid w:val="00762182"/>
    <w:rsid w:val="00931CF4"/>
    <w:rsid w:val="009F4C56"/>
    <w:rsid w:val="00A0483F"/>
    <w:rsid w:val="00A13EA0"/>
    <w:rsid w:val="00E5728B"/>
    <w:rsid w:val="00F4375F"/>
    <w:rsid w:val="00F73FD7"/>
    <w:rsid w:val="00FA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31F30"/>
  <w15:chartTrackingRefBased/>
  <w15:docId w15:val="{62CF7308-4456-4A83-A5B0-328DAD04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4483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4483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4483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4483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4483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4483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4483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4483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4483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4483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4483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4483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4483C"/>
    <w:rPr>
      <w:rFonts w:cstheme="majorBidi"/>
      <w:color w:val="0F4761" w:themeColor="accent1" w:themeShade="BF"/>
      <w:sz w:val="28"/>
      <w:szCs w:val="28"/>
    </w:rPr>
  </w:style>
  <w:style w:type="character" w:customStyle="1" w:styleId="50">
    <w:name w:val="标题 5 字符"/>
    <w:basedOn w:val="a0"/>
    <w:link w:val="5"/>
    <w:uiPriority w:val="9"/>
    <w:semiHidden/>
    <w:rsid w:val="0064483C"/>
    <w:rPr>
      <w:rFonts w:cstheme="majorBidi"/>
      <w:color w:val="0F4761" w:themeColor="accent1" w:themeShade="BF"/>
      <w:sz w:val="24"/>
      <w:szCs w:val="24"/>
    </w:rPr>
  </w:style>
  <w:style w:type="character" w:customStyle="1" w:styleId="60">
    <w:name w:val="标题 6 字符"/>
    <w:basedOn w:val="a0"/>
    <w:link w:val="6"/>
    <w:uiPriority w:val="9"/>
    <w:semiHidden/>
    <w:rsid w:val="0064483C"/>
    <w:rPr>
      <w:rFonts w:cstheme="majorBidi"/>
      <w:b/>
      <w:bCs/>
      <w:color w:val="0F4761" w:themeColor="accent1" w:themeShade="BF"/>
    </w:rPr>
  </w:style>
  <w:style w:type="character" w:customStyle="1" w:styleId="70">
    <w:name w:val="标题 7 字符"/>
    <w:basedOn w:val="a0"/>
    <w:link w:val="7"/>
    <w:uiPriority w:val="9"/>
    <w:semiHidden/>
    <w:rsid w:val="0064483C"/>
    <w:rPr>
      <w:rFonts w:cstheme="majorBidi"/>
      <w:b/>
      <w:bCs/>
      <w:color w:val="595959" w:themeColor="text1" w:themeTint="A6"/>
    </w:rPr>
  </w:style>
  <w:style w:type="character" w:customStyle="1" w:styleId="80">
    <w:name w:val="标题 8 字符"/>
    <w:basedOn w:val="a0"/>
    <w:link w:val="8"/>
    <w:uiPriority w:val="9"/>
    <w:semiHidden/>
    <w:rsid w:val="0064483C"/>
    <w:rPr>
      <w:rFonts w:cstheme="majorBidi"/>
      <w:color w:val="595959" w:themeColor="text1" w:themeTint="A6"/>
    </w:rPr>
  </w:style>
  <w:style w:type="character" w:customStyle="1" w:styleId="90">
    <w:name w:val="标题 9 字符"/>
    <w:basedOn w:val="a0"/>
    <w:link w:val="9"/>
    <w:uiPriority w:val="9"/>
    <w:semiHidden/>
    <w:rsid w:val="0064483C"/>
    <w:rPr>
      <w:rFonts w:eastAsiaTheme="majorEastAsia" w:cstheme="majorBidi"/>
      <w:color w:val="595959" w:themeColor="text1" w:themeTint="A6"/>
    </w:rPr>
  </w:style>
  <w:style w:type="paragraph" w:styleId="a3">
    <w:name w:val="Title"/>
    <w:basedOn w:val="a"/>
    <w:next w:val="a"/>
    <w:link w:val="a4"/>
    <w:uiPriority w:val="10"/>
    <w:qFormat/>
    <w:rsid w:val="006448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448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48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448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4483C"/>
    <w:pPr>
      <w:spacing w:before="160" w:after="160"/>
      <w:jc w:val="center"/>
    </w:pPr>
    <w:rPr>
      <w:i/>
      <w:iCs/>
      <w:color w:val="404040" w:themeColor="text1" w:themeTint="BF"/>
    </w:rPr>
  </w:style>
  <w:style w:type="character" w:customStyle="1" w:styleId="a8">
    <w:name w:val="引用 字符"/>
    <w:basedOn w:val="a0"/>
    <w:link w:val="a7"/>
    <w:uiPriority w:val="29"/>
    <w:rsid w:val="0064483C"/>
    <w:rPr>
      <w:i/>
      <w:iCs/>
      <w:color w:val="404040" w:themeColor="text1" w:themeTint="BF"/>
    </w:rPr>
  </w:style>
  <w:style w:type="paragraph" w:styleId="a9">
    <w:name w:val="List Paragraph"/>
    <w:basedOn w:val="a"/>
    <w:uiPriority w:val="34"/>
    <w:qFormat/>
    <w:rsid w:val="0064483C"/>
    <w:pPr>
      <w:ind w:left="720"/>
      <w:contextualSpacing/>
    </w:pPr>
  </w:style>
  <w:style w:type="character" w:styleId="aa">
    <w:name w:val="Intense Emphasis"/>
    <w:basedOn w:val="a0"/>
    <w:uiPriority w:val="21"/>
    <w:qFormat/>
    <w:rsid w:val="0064483C"/>
    <w:rPr>
      <w:i/>
      <w:iCs/>
      <w:color w:val="0F4761" w:themeColor="accent1" w:themeShade="BF"/>
    </w:rPr>
  </w:style>
  <w:style w:type="paragraph" w:styleId="ab">
    <w:name w:val="Intense Quote"/>
    <w:basedOn w:val="a"/>
    <w:next w:val="a"/>
    <w:link w:val="ac"/>
    <w:uiPriority w:val="30"/>
    <w:qFormat/>
    <w:rsid w:val="00644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4483C"/>
    <w:rPr>
      <w:i/>
      <w:iCs/>
      <w:color w:val="0F4761" w:themeColor="accent1" w:themeShade="BF"/>
    </w:rPr>
  </w:style>
  <w:style w:type="character" w:styleId="ad">
    <w:name w:val="Intense Reference"/>
    <w:basedOn w:val="a0"/>
    <w:uiPriority w:val="32"/>
    <w:qFormat/>
    <w:rsid w:val="0064483C"/>
    <w:rPr>
      <w:b/>
      <w:bCs/>
      <w:smallCaps/>
      <w:color w:val="0F4761" w:themeColor="accent1" w:themeShade="BF"/>
      <w:spacing w:val="5"/>
    </w:rPr>
  </w:style>
  <w:style w:type="paragraph" w:customStyle="1" w:styleId="11">
    <w:name w:val="列表段落1"/>
    <w:basedOn w:val="a"/>
    <w:rsid w:val="009F4C56"/>
    <w:pPr>
      <w:widowControl/>
      <w:spacing w:before="100" w:beforeAutospacing="1" w:after="200"/>
      <w:ind w:firstLineChars="200" w:firstLine="420"/>
      <w:jc w:val="left"/>
    </w:pPr>
    <w:rPr>
      <w:rFonts w:ascii="Calibri" w:eastAsia="宋体"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1444</Words>
  <Characters>9318</Characters>
  <Application>Microsoft Office Word</Application>
  <DocSecurity>0</DocSecurity>
  <Lines>166</Lines>
  <Paragraphs>58</Paragraphs>
  <ScaleCrop>false</ScaleCrop>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xu</dc:creator>
  <cp:keywords/>
  <dc:description/>
  <cp:lastModifiedBy>rui xu</cp:lastModifiedBy>
  <cp:revision>9</cp:revision>
  <dcterms:created xsi:type="dcterms:W3CDTF">2026-03-13T02:13:00Z</dcterms:created>
  <dcterms:modified xsi:type="dcterms:W3CDTF">2026-03-13T02:27:00Z</dcterms:modified>
</cp:coreProperties>
</file>