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3A021" w14:textId="0C73A498" w:rsidR="005C3E6D" w:rsidRDefault="004B14CD" w:rsidP="00B14502">
      <w:pPr>
        <w:pStyle w:val="Title"/>
      </w:pPr>
      <w:r w:rsidRPr="004B14CD">
        <w:t>Supplementary Information</w:t>
      </w:r>
      <w:r w:rsidR="005B1973">
        <w:t xml:space="preserve"> 1</w:t>
      </w:r>
    </w:p>
    <w:p w14:paraId="6D460D6B" w14:textId="77777777" w:rsidR="004B14CD" w:rsidRDefault="004B14CD" w:rsidP="004B14CD"/>
    <w:p w14:paraId="0894C73C" w14:textId="77777777" w:rsidR="00651B9B" w:rsidRDefault="00651B9B" w:rsidP="004D2052">
      <w:pPr>
        <w:rPr>
          <w:b/>
          <w:bCs/>
          <w:sz w:val="32"/>
          <w:szCs w:val="32"/>
        </w:rPr>
      </w:pPr>
      <w:r w:rsidRPr="00651B9B">
        <w:rPr>
          <w:b/>
          <w:bCs/>
          <w:sz w:val="32"/>
          <w:szCs w:val="32"/>
        </w:rPr>
        <w:t>Equitable nature-based solutions begin with addressing the root causes of inequity</w:t>
      </w:r>
    </w:p>
    <w:p w14:paraId="52EA4699" w14:textId="3A4873F1" w:rsidR="004D2052" w:rsidRDefault="004D2052" w:rsidP="004D2052">
      <w:pPr>
        <w:rPr>
          <w:rFonts w:eastAsia="Calibri" w:cs="Calibri"/>
        </w:rPr>
      </w:pPr>
      <w:r w:rsidRPr="5BE45B4C">
        <w:rPr>
          <w:rFonts w:eastAsia="Calibri" w:cs="Calibri"/>
        </w:rPr>
        <w:t>Holden P</w:t>
      </w:r>
      <w:r w:rsidRPr="008B761E">
        <w:rPr>
          <w:rFonts w:eastAsia="Calibri" w:cs="Calibri"/>
          <w:vertAlign w:val="superscript"/>
        </w:rPr>
        <w:t>1</w:t>
      </w:r>
      <w:r>
        <w:rPr>
          <w:rFonts w:eastAsia="Calibri" w:cs="Calibri"/>
          <w:vertAlign w:val="superscript"/>
        </w:rPr>
        <w:t>,2</w:t>
      </w:r>
      <w:r w:rsidRPr="5BE45B4C">
        <w:rPr>
          <w:rFonts w:eastAsia="Calibri" w:cs="Calibri"/>
        </w:rPr>
        <w:t>, Hoffman T</w:t>
      </w:r>
      <w:r>
        <w:rPr>
          <w:rFonts w:eastAsia="Calibri" w:cs="Calibri"/>
          <w:vertAlign w:val="superscript"/>
        </w:rPr>
        <w:t>3</w:t>
      </w:r>
      <w:r w:rsidRPr="5BE45B4C">
        <w:rPr>
          <w:rFonts w:eastAsia="Calibri" w:cs="Calibri"/>
        </w:rPr>
        <w:t>, Shackleton S</w:t>
      </w:r>
      <w:r>
        <w:rPr>
          <w:rFonts w:eastAsia="Calibri" w:cs="Calibri"/>
          <w:vertAlign w:val="superscript"/>
        </w:rPr>
        <w:t>2</w:t>
      </w:r>
      <w:r w:rsidRPr="5BE45B4C">
        <w:rPr>
          <w:rFonts w:eastAsia="Calibri" w:cs="Calibri"/>
        </w:rPr>
        <w:t>, Anderson M</w:t>
      </w:r>
      <w:r w:rsidRPr="00D54E5F">
        <w:rPr>
          <w:rFonts w:eastAsia="Calibri" w:cs="Calibri"/>
          <w:vertAlign w:val="superscript"/>
        </w:rPr>
        <w:t>1,</w:t>
      </w:r>
      <w:r>
        <w:rPr>
          <w:rFonts w:eastAsia="Calibri" w:cs="Calibri"/>
          <w:vertAlign w:val="superscript"/>
        </w:rPr>
        <w:t>2</w:t>
      </w:r>
      <w:r w:rsidRPr="5BE45B4C">
        <w:rPr>
          <w:rFonts w:eastAsia="Calibri" w:cs="Calibri"/>
        </w:rPr>
        <w:t xml:space="preserve">, </w:t>
      </w:r>
      <w:r>
        <w:rPr>
          <w:rFonts w:eastAsia="Calibri" w:cs="Calibri"/>
        </w:rPr>
        <w:t>Forbes</w:t>
      </w:r>
      <w:r w:rsidRPr="5BE45B4C">
        <w:rPr>
          <w:rFonts w:eastAsia="Calibri" w:cs="Calibri"/>
        </w:rPr>
        <w:t xml:space="preserve"> C</w:t>
      </w:r>
      <w:r w:rsidRPr="008B761E">
        <w:rPr>
          <w:rFonts w:eastAsia="Calibri" w:cs="Calibri"/>
          <w:vertAlign w:val="superscript"/>
        </w:rPr>
        <w:t>1</w:t>
      </w:r>
      <w:r>
        <w:rPr>
          <w:rFonts w:eastAsia="Calibri" w:cs="Calibri"/>
          <w:vertAlign w:val="superscript"/>
        </w:rPr>
        <w:t>,2</w:t>
      </w:r>
      <w:r w:rsidRPr="00F352D8">
        <w:rPr>
          <w:rFonts w:eastAsia="Calibri" w:cs="Calibri"/>
        </w:rPr>
        <w:t>,</w:t>
      </w:r>
      <w:r>
        <w:rPr>
          <w:rFonts w:eastAsia="Calibri" w:cs="Calibri"/>
          <w:vertAlign w:val="superscript"/>
        </w:rPr>
        <w:t xml:space="preserve"> </w:t>
      </w:r>
      <w:r w:rsidRPr="5BE45B4C">
        <w:rPr>
          <w:rFonts w:eastAsia="Calibri" w:cs="Calibri"/>
        </w:rPr>
        <w:t>Humphrey G</w:t>
      </w:r>
      <w:r w:rsidRPr="008B761E">
        <w:rPr>
          <w:rFonts w:eastAsia="Calibri" w:cs="Calibri"/>
          <w:vertAlign w:val="superscript"/>
        </w:rPr>
        <w:t>1</w:t>
      </w:r>
      <w:r>
        <w:rPr>
          <w:rFonts w:eastAsia="Calibri" w:cs="Calibri"/>
          <w:vertAlign w:val="superscript"/>
        </w:rPr>
        <w:t>,2</w:t>
      </w:r>
      <w:r w:rsidRPr="5BE45B4C">
        <w:rPr>
          <w:rFonts w:eastAsia="Calibri" w:cs="Calibri"/>
        </w:rPr>
        <w:t>, Onyeagoziri A</w:t>
      </w:r>
      <w:r w:rsidRPr="008B761E">
        <w:rPr>
          <w:rFonts w:eastAsia="Calibri" w:cs="Calibri"/>
          <w:vertAlign w:val="superscript"/>
        </w:rPr>
        <w:t>1</w:t>
      </w:r>
      <w:r>
        <w:rPr>
          <w:rFonts w:eastAsia="Calibri" w:cs="Calibri"/>
          <w:vertAlign w:val="superscript"/>
        </w:rPr>
        <w:t>,2</w:t>
      </w:r>
      <w:r w:rsidRPr="5BE45B4C">
        <w:rPr>
          <w:rFonts w:eastAsia="Calibri" w:cs="Calibri"/>
        </w:rPr>
        <w:t>, Ziervogel G</w:t>
      </w:r>
      <w:r>
        <w:rPr>
          <w:rFonts w:eastAsia="Calibri" w:cs="Calibri"/>
          <w:vertAlign w:val="superscript"/>
        </w:rPr>
        <w:t>2</w:t>
      </w:r>
      <w:r w:rsidRPr="5BE45B4C">
        <w:rPr>
          <w:rFonts w:eastAsia="Calibri" w:cs="Calibri"/>
        </w:rPr>
        <w:t>, New M</w:t>
      </w:r>
      <w:r>
        <w:rPr>
          <w:rFonts w:eastAsia="Calibri" w:cs="Calibri"/>
          <w:vertAlign w:val="superscript"/>
        </w:rPr>
        <w:t>2</w:t>
      </w:r>
      <w:r w:rsidRPr="5BE45B4C">
        <w:rPr>
          <w:rFonts w:eastAsia="Calibri" w:cs="Calibri"/>
        </w:rPr>
        <w:t>, Visser V</w:t>
      </w:r>
      <w:r>
        <w:rPr>
          <w:rFonts w:eastAsia="Calibri" w:cs="Calibri"/>
        </w:rPr>
        <w:t xml:space="preserve"> </w:t>
      </w:r>
      <w:r w:rsidRPr="002F7DB8">
        <w:rPr>
          <w:rFonts w:eastAsia="Calibri" w:cs="Calibri"/>
          <w:vertAlign w:val="superscript"/>
        </w:rPr>
        <w:t>1,</w:t>
      </w:r>
      <w:r w:rsidRPr="00607994">
        <w:rPr>
          <w:rFonts w:eastAsia="Calibri" w:cs="Calibri"/>
          <w:vertAlign w:val="superscript"/>
        </w:rPr>
        <w:t>4</w:t>
      </w:r>
      <w:r w:rsidRPr="5BE45B4C">
        <w:rPr>
          <w:rFonts w:eastAsia="Calibri" w:cs="Calibri"/>
        </w:rPr>
        <w:t xml:space="preserve"> </w:t>
      </w:r>
    </w:p>
    <w:p w14:paraId="00A34157" w14:textId="5EA19E12" w:rsidR="004D2052" w:rsidRPr="00607994" w:rsidRDefault="004D2052" w:rsidP="004D2052">
      <w:pPr>
        <w:spacing w:after="0"/>
        <w:rPr>
          <w:rFonts w:eastAsia="Calibri" w:cs="Calibri"/>
          <w:i/>
          <w:iCs/>
        </w:rPr>
      </w:pPr>
      <w:r w:rsidRPr="00607994">
        <w:rPr>
          <w:rFonts w:eastAsia="Calibri" w:cs="Calibri"/>
          <w:i/>
          <w:iCs/>
          <w:vertAlign w:val="superscript"/>
        </w:rPr>
        <w:t>1</w:t>
      </w:r>
      <w:r w:rsidRPr="00607994">
        <w:rPr>
          <w:rFonts w:eastAsia="Calibri" w:cs="Calibri"/>
          <w:i/>
          <w:iCs/>
        </w:rPr>
        <w:t xml:space="preserve"> People in Nature </w:t>
      </w:r>
      <w:r w:rsidR="7A4FA056" w:rsidRPr="7A4FA056">
        <w:rPr>
          <w:rFonts w:eastAsia="Calibri" w:cs="Calibri"/>
          <w:i/>
          <w:iCs/>
        </w:rPr>
        <w:t>and</w:t>
      </w:r>
      <w:r w:rsidRPr="00607994">
        <w:rPr>
          <w:rFonts w:eastAsia="Calibri" w:cs="Calibri"/>
          <w:i/>
          <w:iCs/>
        </w:rPr>
        <w:t xml:space="preserve"> Climate Lab, African Climate </w:t>
      </w:r>
      <w:r w:rsidR="7A4FA056" w:rsidRPr="7A4FA056">
        <w:rPr>
          <w:rFonts w:eastAsia="Calibri" w:cs="Calibri"/>
          <w:i/>
          <w:iCs/>
        </w:rPr>
        <w:t>and</w:t>
      </w:r>
      <w:r w:rsidRPr="00607994">
        <w:rPr>
          <w:rFonts w:eastAsia="Calibri" w:cs="Calibri"/>
          <w:i/>
          <w:iCs/>
        </w:rPr>
        <w:t xml:space="preserve"> Development Initiative, University of Cape Town, Cape Town, South Africa</w:t>
      </w:r>
    </w:p>
    <w:p w14:paraId="120E4D59" w14:textId="5FC72356" w:rsidR="004D2052" w:rsidRPr="00607994" w:rsidRDefault="004D2052" w:rsidP="004D2052">
      <w:pPr>
        <w:spacing w:after="0"/>
        <w:rPr>
          <w:rFonts w:eastAsia="Calibri" w:cs="Calibri"/>
          <w:i/>
          <w:iCs/>
        </w:rPr>
      </w:pPr>
      <w:r w:rsidRPr="00607994">
        <w:rPr>
          <w:rFonts w:eastAsia="Calibri" w:cs="Calibri"/>
          <w:i/>
          <w:iCs/>
          <w:vertAlign w:val="superscript"/>
        </w:rPr>
        <w:t>2</w:t>
      </w:r>
      <w:r w:rsidRPr="00607994">
        <w:rPr>
          <w:rFonts w:eastAsia="Calibri" w:cs="Calibri"/>
          <w:i/>
          <w:iCs/>
        </w:rPr>
        <w:t xml:space="preserve"> African Climate </w:t>
      </w:r>
      <w:r w:rsidR="7A4FA056" w:rsidRPr="7A4FA056">
        <w:rPr>
          <w:rFonts w:eastAsia="Calibri" w:cs="Calibri"/>
          <w:i/>
          <w:iCs/>
        </w:rPr>
        <w:t>and</w:t>
      </w:r>
      <w:r w:rsidRPr="00607994">
        <w:rPr>
          <w:rFonts w:eastAsia="Calibri" w:cs="Calibri"/>
          <w:i/>
          <w:iCs/>
        </w:rPr>
        <w:t xml:space="preserve"> Development Initiative, University of Cape Town, Cape Town, South Africa</w:t>
      </w:r>
    </w:p>
    <w:p w14:paraId="49B9FF49" w14:textId="1FECA6AF" w:rsidR="004D2052" w:rsidRPr="00607994" w:rsidRDefault="004D2052" w:rsidP="004D2052">
      <w:pPr>
        <w:spacing w:after="0"/>
        <w:rPr>
          <w:rFonts w:eastAsia="Calibri" w:cs="Calibri"/>
          <w:i/>
          <w:iCs/>
        </w:rPr>
      </w:pPr>
      <w:r w:rsidRPr="00607994">
        <w:rPr>
          <w:rFonts w:eastAsia="Calibri" w:cs="Calibri"/>
          <w:i/>
          <w:iCs/>
          <w:vertAlign w:val="superscript"/>
        </w:rPr>
        <w:t>3</w:t>
      </w:r>
      <w:r w:rsidRPr="00607994">
        <w:rPr>
          <w:rFonts w:eastAsia="Calibri" w:cs="Calibri"/>
          <w:i/>
          <w:iCs/>
        </w:rPr>
        <w:t xml:space="preserve"> </w:t>
      </w:r>
      <w:r>
        <w:rPr>
          <w:rFonts w:eastAsia="Calibri" w:cs="Calibri"/>
          <w:i/>
          <w:iCs/>
        </w:rPr>
        <w:t>Honeyguide</w:t>
      </w:r>
      <w:r w:rsidR="7A4FA056" w:rsidRPr="7A4FA056">
        <w:rPr>
          <w:rFonts w:eastAsia="Calibri" w:cs="Calibri"/>
          <w:i/>
          <w:iCs/>
        </w:rPr>
        <w:t xml:space="preserve"> Strategic Communication</w:t>
      </w:r>
      <w:r>
        <w:rPr>
          <w:rFonts w:eastAsia="Calibri" w:cs="Calibri"/>
          <w:i/>
          <w:iCs/>
        </w:rPr>
        <w:t>, Cape Town, South Africa</w:t>
      </w:r>
    </w:p>
    <w:p w14:paraId="7F838273" w14:textId="77777777" w:rsidR="004D2052" w:rsidRDefault="004D2052" w:rsidP="004D2052">
      <w:pPr>
        <w:spacing w:after="0"/>
        <w:rPr>
          <w:rFonts w:eastAsia="Calibri" w:cs="Calibri"/>
        </w:rPr>
      </w:pPr>
      <w:r w:rsidRPr="00607994">
        <w:rPr>
          <w:rFonts w:eastAsia="Calibri" w:cs="Calibri"/>
          <w:i/>
          <w:iCs/>
          <w:vertAlign w:val="superscript"/>
        </w:rPr>
        <w:t>4</w:t>
      </w:r>
      <w:r w:rsidRPr="00607994">
        <w:rPr>
          <w:rFonts w:eastAsia="Calibri" w:cs="Calibri"/>
          <w:i/>
          <w:iCs/>
        </w:rPr>
        <w:t xml:space="preserve"> </w:t>
      </w:r>
      <w:r w:rsidRPr="00BD0240">
        <w:rPr>
          <w:rFonts w:eastAsia="Calibri" w:cs="Calibri"/>
          <w:i/>
          <w:iCs/>
        </w:rPr>
        <w:t>Centre for Statistics in Ecology, the Environment and Conservation</w:t>
      </w:r>
      <w:r>
        <w:rPr>
          <w:rFonts w:eastAsia="Calibri" w:cs="Calibri"/>
          <w:i/>
          <w:iCs/>
        </w:rPr>
        <w:t>, Department of Statistical Sciences, University of Cape Town, South Africa</w:t>
      </w:r>
    </w:p>
    <w:p w14:paraId="662C0F6D" w14:textId="77777777" w:rsidR="003823AE" w:rsidRPr="003823AE" w:rsidRDefault="003823AE" w:rsidP="003823AE"/>
    <w:p w14:paraId="1B04277A" w14:textId="237942EE" w:rsidR="004B14CD" w:rsidRDefault="00761276" w:rsidP="19FC05BD">
      <w:pPr>
        <w:pStyle w:val="Heading1"/>
        <w:numPr>
          <w:ilvl w:val="0"/>
          <w:numId w:val="3"/>
        </w:numPr>
        <w:jc w:val="left"/>
      </w:pPr>
      <w:r>
        <w:t>Description of s</w:t>
      </w:r>
      <w:r w:rsidR="004B14CD">
        <w:t>tudies identified</w:t>
      </w:r>
      <w:r w:rsidR="00DE7040">
        <w:t xml:space="preserve"> for review</w:t>
      </w:r>
    </w:p>
    <w:p w14:paraId="38DE0CDB" w14:textId="3BA17517" w:rsidR="00DB2948" w:rsidRDefault="00AF2B5E" w:rsidP="00DB2948">
      <w:r>
        <w:t>Our</w:t>
      </w:r>
      <w:r w:rsidR="004B14CD" w:rsidRPr="004E5D26">
        <w:t xml:space="preserve"> search of the scientific literature on </w:t>
      </w:r>
      <w:r w:rsidR="004B14CD">
        <w:t xml:space="preserve">social </w:t>
      </w:r>
      <w:r w:rsidR="00D1017C">
        <w:t>in</w:t>
      </w:r>
      <w:r w:rsidR="004B14CD">
        <w:t xml:space="preserve">equity and NbS </w:t>
      </w:r>
      <w:r w:rsidR="00D1017C">
        <w:t>in southern Africa</w:t>
      </w:r>
      <w:r w:rsidR="004B14CD" w:rsidRPr="004E5D26">
        <w:t xml:space="preserve"> identified a total of </w:t>
      </w:r>
      <w:r w:rsidR="00A23450">
        <w:t>634</w:t>
      </w:r>
      <w:r w:rsidR="004B14CD" w:rsidRPr="004E5D26">
        <w:t xml:space="preserve"> </w:t>
      </w:r>
      <w:r w:rsidR="00A23450">
        <w:t>articles</w:t>
      </w:r>
      <w:r>
        <w:t xml:space="preserve">. </w:t>
      </w:r>
      <w:r w:rsidRPr="00993C8F">
        <w:t>We</w:t>
      </w:r>
      <w:r w:rsidR="00A23450" w:rsidRPr="00993C8F">
        <w:t xml:space="preserve"> </w:t>
      </w:r>
      <w:r w:rsidR="0081331D" w:rsidRPr="00993C8F">
        <w:t>analysed</w:t>
      </w:r>
      <w:r w:rsidR="00A23450" w:rsidRPr="00993C8F">
        <w:t xml:space="preserve"> </w:t>
      </w:r>
      <w:r w:rsidR="0081331D" w:rsidRPr="00993C8F">
        <w:t>9</w:t>
      </w:r>
      <w:r w:rsidR="00656756" w:rsidRPr="00993C8F">
        <w:t>3</w:t>
      </w:r>
      <w:r w:rsidR="00422454" w:rsidRPr="00993C8F">
        <w:t xml:space="preserve"> peer</w:t>
      </w:r>
      <w:r w:rsidR="7A4FA056">
        <w:t>-</w:t>
      </w:r>
      <w:r w:rsidR="00422454" w:rsidRPr="00993C8F">
        <w:t>reviewed</w:t>
      </w:r>
      <w:r w:rsidR="0081331D" w:rsidRPr="00993C8F">
        <w:t xml:space="preserve"> papers</w:t>
      </w:r>
      <w:r w:rsidR="00A23450" w:rsidRPr="00993C8F">
        <w:t xml:space="preserve"> given our </w:t>
      </w:r>
      <w:r w:rsidR="00AE63D7" w:rsidRPr="00993C8F">
        <w:t xml:space="preserve">inclusion and </w:t>
      </w:r>
      <w:r w:rsidR="00A23450" w:rsidRPr="00993C8F">
        <w:t>exclusion criteria and time-based review stopping criteria (</w:t>
      </w:r>
      <w:r w:rsidR="003915D4" w:rsidRPr="00993C8F">
        <w:t>Supplementary</w:t>
      </w:r>
      <w:r w:rsidR="00AE63D7" w:rsidRPr="00993C8F">
        <w:t xml:space="preserve"> 1</w:t>
      </w:r>
      <w:r w:rsidR="003915D4" w:rsidRPr="00993C8F">
        <w:t xml:space="preserve"> </w:t>
      </w:r>
      <w:r w:rsidR="00A23450" w:rsidRPr="00993C8F">
        <w:t>Fig</w:t>
      </w:r>
      <w:r w:rsidR="003915D4" w:rsidRPr="00993C8F">
        <w:t>.</w:t>
      </w:r>
      <w:r w:rsidR="00A23450" w:rsidRPr="00993C8F">
        <w:t xml:space="preserve"> </w:t>
      </w:r>
      <w:r w:rsidR="003915D4" w:rsidRPr="00993C8F">
        <w:t>1</w:t>
      </w:r>
      <w:r w:rsidR="00AE63D7" w:rsidRPr="00993C8F">
        <w:t xml:space="preserve">, Supplementary 2 Table </w:t>
      </w:r>
      <w:r w:rsidR="00993C8F" w:rsidRPr="00993C8F">
        <w:t>3</w:t>
      </w:r>
      <w:r w:rsidR="00A23450" w:rsidRPr="00993C8F">
        <w:t>).</w:t>
      </w:r>
      <w:r w:rsidR="00A23450">
        <w:t xml:space="preserve"> </w:t>
      </w:r>
    </w:p>
    <w:p w14:paraId="70A438F0" w14:textId="7A01C107" w:rsidR="00583783" w:rsidRDefault="004D2052" w:rsidP="004D2052">
      <w:r>
        <w:t>These reviewed and coded</w:t>
      </w:r>
      <w:r w:rsidR="7A4FA056">
        <w:t xml:space="preserve"> studies</w:t>
      </w:r>
      <w:r>
        <w:t xml:space="preserve"> </w:t>
      </w:r>
      <w:r w:rsidRPr="00BC4DD1">
        <w:t xml:space="preserve">were published across </w:t>
      </w:r>
      <w:r>
        <w:t>70</w:t>
      </w:r>
      <w:r w:rsidRPr="00BC4DD1">
        <w:t xml:space="preserve"> academic journals, from 19</w:t>
      </w:r>
      <w:r>
        <w:t>97</w:t>
      </w:r>
      <w:r w:rsidRPr="00BC4DD1">
        <w:t xml:space="preserve"> to 20</w:t>
      </w:r>
      <w:r>
        <w:t xml:space="preserve">21 and followed a similar distribution to the 351 papers for potential review </w:t>
      </w:r>
      <w:r w:rsidRPr="00993C8F">
        <w:t xml:space="preserve">(Main paper, Fig </w:t>
      </w:r>
      <w:r w:rsidR="00E82755" w:rsidRPr="00993C8F">
        <w:t>1</w:t>
      </w:r>
      <w:r w:rsidR="004C4CBC">
        <w:t>a</w:t>
      </w:r>
      <w:r w:rsidRPr="00993C8F">
        <w:t>)</w:t>
      </w:r>
      <w:r>
        <w:t xml:space="preserve">. More than three quarters (78%) of the papers reviewed were published from 2012 with more than half (59%) from 2015. Less than 10% were published before 2005. Top journals with highest numbers of articles were </w:t>
      </w:r>
      <w:r w:rsidRPr="7A4FA056">
        <w:rPr>
          <w:i/>
        </w:rPr>
        <w:t>Ecosystem Services</w:t>
      </w:r>
      <w:r>
        <w:t xml:space="preserve">, </w:t>
      </w:r>
      <w:r w:rsidRPr="7A4FA056">
        <w:rPr>
          <w:i/>
        </w:rPr>
        <w:t xml:space="preserve">Journal of Environmental Management, </w:t>
      </w:r>
      <w:r w:rsidR="002B52F4" w:rsidRPr="7A4FA056">
        <w:rPr>
          <w:i/>
        </w:rPr>
        <w:t>Society and Natural Resources</w:t>
      </w:r>
      <w:r w:rsidR="002B52F4">
        <w:t xml:space="preserve">, </w:t>
      </w:r>
      <w:r w:rsidRPr="7A4FA056">
        <w:rPr>
          <w:i/>
        </w:rPr>
        <w:t>Ecological Economics</w:t>
      </w:r>
      <w:r w:rsidR="00C85F4D">
        <w:t>, and</w:t>
      </w:r>
      <w:r w:rsidR="00C85F4D" w:rsidRPr="7A4FA056">
        <w:rPr>
          <w:i/>
        </w:rPr>
        <w:t xml:space="preserve"> Land Use Policy</w:t>
      </w:r>
      <w:r w:rsidR="00C85F4D">
        <w:t>.</w:t>
      </w:r>
    </w:p>
    <w:p w14:paraId="36284DF3" w14:textId="77777777" w:rsidR="004D2052" w:rsidRDefault="004D2052" w:rsidP="00DB2948"/>
    <w:p w14:paraId="09888D04" w14:textId="77777777" w:rsidR="004C4CBC" w:rsidRDefault="004C4CBC" w:rsidP="19FC05BD">
      <w:pPr>
        <w:pStyle w:val="Heading1"/>
        <w:numPr>
          <w:ilvl w:val="0"/>
          <w:numId w:val="3"/>
        </w:numPr>
        <w:jc w:val="left"/>
      </w:pPr>
      <w:r>
        <w:t>Assessment type used for determining NbS outcomes</w:t>
      </w:r>
    </w:p>
    <w:p w14:paraId="56969404" w14:textId="218424E7" w:rsidR="004C4CBC" w:rsidRDefault="004C4CBC" w:rsidP="004C4CBC">
      <w:r>
        <w:t>Most studies were qualitative (51%) or used mixed methods (29</w:t>
      </w:r>
      <w:r w:rsidR="7A4FA056">
        <w:t>%),</w:t>
      </w:r>
      <w:r>
        <w:t xml:space="preserve"> with 20% using quantitative data. Assessments were primarily empirical (76%), followed by literature syntheses (23%), and modelling with observed data (1%). Empirical studies comprised fully empirical </w:t>
      </w:r>
      <w:r w:rsidR="7A4FA056">
        <w:t>studies (58%),</w:t>
      </w:r>
      <w:r>
        <w:t xml:space="preserve"> and those which integrated empirical data with modelling and/or literature syntheses (18%). Literature syntheses including narrative reviews based on academic literature (8%), systematic reviews (4%), document analysis (2%), and those that integrated narrative reviews with document analysis (9%). </w:t>
      </w:r>
    </w:p>
    <w:p w14:paraId="5E047602" w14:textId="77777777" w:rsidR="004D2052" w:rsidRDefault="004D2052" w:rsidP="00DB2948"/>
    <w:p w14:paraId="5FF53D65" w14:textId="569877E3" w:rsidR="0001541E" w:rsidRDefault="00A735ED" w:rsidP="19FC05BD">
      <w:pPr>
        <w:keepNext/>
      </w:pPr>
      <w:r>
        <w:rPr>
          <w:noProof/>
        </w:rPr>
        <w:lastRenderedPageBreak/>
        <w:drawing>
          <wp:inline distT="0" distB="0" distL="0" distR="0" wp14:anchorId="323C1257" wp14:editId="0D2E062F">
            <wp:extent cx="5642377" cy="3441940"/>
            <wp:effectExtent l="0" t="0" r="0" b="6350"/>
            <wp:docPr id="94118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80702" name="Picture 9411807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87414" cy="3469413"/>
                    </a:xfrm>
                    <a:prstGeom prst="rect">
                      <a:avLst/>
                    </a:prstGeom>
                  </pic:spPr>
                </pic:pic>
              </a:graphicData>
            </a:graphic>
          </wp:inline>
        </w:drawing>
      </w:r>
    </w:p>
    <w:p w14:paraId="6E750A95" w14:textId="1AF1CDD3" w:rsidR="001F7200" w:rsidRDefault="003915D4" w:rsidP="0001541E">
      <w:pPr>
        <w:pStyle w:val="Caption"/>
        <w:jc w:val="left"/>
      </w:pPr>
      <w:r w:rsidRPr="00A07351">
        <w:rPr>
          <w:b/>
          <w:bCs/>
        </w:rPr>
        <w:t xml:space="preserve">Supplementary </w:t>
      </w:r>
      <w:r w:rsidR="7A4FA056" w:rsidRPr="7A4FA056">
        <w:rPr>
          <w:b/>
          <w:bCs/>
        </w:rPr>
        <w:t xml:space="preserve">1 </w:t>
      </w:r>
      <w:r w:rsidR="0001541E" w:rsidRPr="00A07351">
        <w:rPr>
          <w:b/>
          <w:bCs/>
        </w:rPr>
        <w:t>Fi</w:t>
      </w:r>
      <w:r w:rsidRPr="00A07351">
        <w:rPr>
          <w:b/>
          <w:bCs/>
        </w:rPr>
        <w:t>g.</w:t>
      </w:r>
      <w:r w:rsidR="0001541E" w:rsidRPr="00A07351">
        <w:rPr>
          <w:b/>
          <w:bCs/>
        </w:rPr>
        <w:t xml:space="preserve"> </w:t>
      </w:r>
      <w:r w:rsidRPr="00A07351">
        <w:rPr>
          <w:b/>
          <w:bCs/>
        </w:rPr>
        <w:fldChar w:fldCharType="begin"/>
      </w:r>
      <w:r w:rsidRPr="00A07351">
        <w:rPr>
          <w:b/>
          <w:bCs/>
        </w:rPr>
        <w:instrText>SEQ Figure \* ARABIC</w:instrText>
      </w:r>
      <w:r w:rsidRPr="00A07351">
        <w:rPr>
          <w:b/>
          <w:bCs/>
        </w:rPr>
        <w:fldChar w:fldCharType="separate"/>
      </w:r>
      <w:r w:rsidR="00934D05" w:rsidRPr="00A07351">
        <w:rPr>
          <w:b/>
          <w:bCs/>
          <w:noProof/>
        </w:rPr>
        <w:t>1</w:t>
      </w:r>
      <w:r w:rsidRPr="00A07351">
        <w:rPr>
          <w:b/>
          <w:bCs/>
        </w:rPr>
        <w:fldChar w:fldCharType="end"/>
      </w:r>
      <w:r w:rsidR="0001541E" w:rsidRPr="0001541E">
        <w:t xml:space="preserve"> </w:t>
      </w:r>
      <w:r w:rsidR="001F7200" w:rsidRPr="20276A16">
        <w:t>Protocol for screening and reviewing the papers identified through a search of Scopus and Web of Science databases.</w:t>
      </w:r>
      <w:r w:rsidR="001F7200">
        <w:t xml:space="preserve"> </w:t>
      </w:r>
      <w:r w:rsidR="00E4504E">
        <w:t xml:space="preserve">We analysed (reviewed and coded in step 4) </w:t>
      </w:r>
      <w:r w:rsidR="000855A4">
        <w:t xml:space="preserve">93 papers </w:t>
      </w:r>
      <w:r w:rsidR="005C3CEF">
        <w:t>identified for inclusion</w:t>
      </w:r>
      <w:r w:rsidR="000855A4">
        <w:t xml:space="preserve"> from a</w:t>
      </w:r>
      <w:r w:rsidR="005C3CEF">
        <w:t>n initial</w:t>
      </w:r>
      <w:r w:rsidR="000855A4">
        <w:t xml:space="preserve"> full set of </w:t>
      </w:r>
      <w:r w:rsidR="7A4FA056">
        <w:t>634</w:t>
      </w:r>
      <w:r w:rsidR="000855A4">
        <w:t xml:space="preserve"> papers identified </w:t>
      </w:r>
      <w:r w:rsidR="00BA0FC7">
        <w:t>spanning the years 1960-2021.</w:t>
      </w:r>
    </w:p>
    <w:p w14:paraId="46ED08B1" w14:textId="77777777" w:rsidR="00A06EE7" w:rsidRDefault="00A06EE7" w:rsidP="00DB2948"/>
    <w:p w14:paraId="7DC9297F" w14:textId="06512FFE" w:rsidR="004B14CD" w:rsidRPr="00F578B0" w:rsidRDefault="00072646" w:rsidP="19FC05BD">
      <w:pPr>
        <w:pStyle w:val="Heading1"/>
        <w:numPr>
          <w:ilvl w:val="0"/>
          <w:numId w:val="3"/>
        </w:numPr>
        <w:jc w:val="left"/>
      </w:pPr>
      <w:bookmarkStart w:id="0" w:name="_Hlk214351312"/>
      <w:r>
        <w:t>A</w:t>
      </w:r>
      <w:r w:rsidR="00761276">
        <w:t>uthor affiliations</w:t>
      </w:r>
    </w:p>
    <w:bookmarkEnd w:id="0"/>
    <w:p w14:paraId="2F6AB665" w14:textId="14122E4E" w:rsidR="00190044" w:rsidRDefault="6152CD6A" w:rsidP="004B14CD">
      <w:r>
        <w:t>The authors had affiliations across 3</w:t>
      </w:r>
      <w:r w:rsidR="0011128D">
        <w:t>2</w:t>
      </w:r>
      <w:r>
        <w:t xml:space="preserve"> countries </w:t>
      </w:r>
      <w:r w:rsidR="55E7B349">
        <w:t>from 6 continents, but a</w:t>
      </w:r>
      <w:r w:rsidR="5D9456CA">
        <w:t xml:space="preserve">uthor affiliations were mostly </w:t>
      </w:r>
      <w:r w:rsidR="00BD659E">
        <w:t>from</w:t>
      </w:r>
      <w:r w:rsidR="00F55AD3">
        <w:t xml:space="preserve"> </w:t>
      </w:r>
      <w:r w:rsidR="5D9456CA">
        <w:t>Southern Africa (</w:t>
      </w:r>
      <w:r w:rsidR="4F799B6F">
        <w:t>8</w:t>
      </w:r>
      <w:r w:rsidR="001C036F">
        <w:t>7</w:t>
      </w:r>
      <w:r w:rsidR="5D9456CA">
        <w:t>%), Europe (</w:t>
      </w:r>
      <w:r w:rsidR="001C036F">
        <w:t>66</w:t>
      </w:r>
      <w:r w:rsidR="5D9456CA">
        <w:t xml:space="preserve">%) </w:t>
      </w:r>
      <w:r w:rsidR="0069114C">
        <w:t>and</w:t>
      </w:r>
      <w:r w:rsidR="5D9456CA">
        <w:t xml:space="preserve"> North America </w:t>
      </w:r>
      <w:r w:rsidR="4F799B6F">
        <w:t>(3</w:t>
      </w:r>
      <w:r w:rsidR="00ED6DFF">
        <w:t>4</w:t>
      </w:r>
      <w:r w:rsidR="5D9456CA">
        <w:t>%), with a few from other African institutions (</w:t>
      </w:r>
      <w:r w:rsidR="4F799B6F">
        <w:t>1</w:t>
      </w:r>
      <w:r w:rsidR="002C0A28">
        <w:t>8</w:t>
      </w:r>
      <w:r w:rsidR="5D9456CA">
        <w:t>%)</w:t>
      </w:r>
      <w:r w:rsidR="001E09AD">
        <w:t xml:space="preserve"> (Supplementary</w:t>
      </w:r>
      <w:r w:rsidR="004C4CBC">
        <w:t xml:space="preserve"> 1</w:t>
      </w:r>
      <w:r w:rsidR="001E09AD">
        <w:t xml:space="preserve"> Fig. </w:t>
      </w:r>
      <w:r w:rsidR="00190044">
        <w:t>2</w:t>
      </w:r>
      <w:r w:rsidR="001E09AD">
        <w:t>a)</w:t>
      </w:r>
      <w:r w:rsidR="00922FC3">
        <w:t xml:space="preserve">. </w:t>
      </w:r>
    </w:p>
    <w:p w14:paraId="3739404F" w14:textId="0B1799EE" w:rsidR="001E09AD" w:rsidRDefault="5D9456CA" w:rsidP="004B14CD">
      <w:r>
        <w:t>Of those with Southern African author affiliations, most were South African (</w:t>
      </w:r>
      <w:r w:rsidR="003D25EF">
        <w:t>37</w:t>
      </w:r>
      <w:r w:rsidR="7A4FA056">
        <w:t>%)</w:t>
      </w:r>
      <w:r>
        <w:t xml:space="preserve"> or Zimbabwean (2</w:t>
      </w:r>
      <w:r w:rsidR="4F799B6F">
        <w:t>4</w:t>
      </w:r>
      <w:r w:rsidR="7A4FA056">
        <w:t>%), followed by affiliations from</w:t>
      </w:r>
      <w:r w:rsidR="4F799B6F">
        <w:t xml:space="preserve"> Malawi, Madagascar, Zambia, Botswana, Namibia and Mozambique </w:t>
      </w:r>
      <w:r w:rsidR="55E7B349">
        <w:t xml:space="preserve">(1-10%) </w:t>
      </w:r>
      <w:r>
        <w:t xml:space="preserve">with zero affiliations from Angola, Eswatini, </w:t>
      </w:r>
      <w:r w:rsidR="4F799B6F">
        <w:t xml:space="preserve">or </w:t>
      </w:r>
      <w:r>
        <w:t>Lesotho</w:t>
      </w:r>
      <w:r w:rsidR="55E7B349">
        <w:t xml:space="preserve"> (Supplementary</w:t>
      </w:r>
      <w:r w:rsidR="004C4CBC">
        <w:t xml:space="preserve"> 1</w:t>
      </w:r>
      <w:r w:rsidR="55E7B349">
        <w:t xml:space="preserve"> Fig. </w:t>
      </w:r>
      <w:r w:rsidR="00190044">
        <w:t>2</w:t>
      </w:r>
      <w:r w:rsidR="55E7B349">
        <w:t>b)</w:t>
      </w:r>
      <w:r>
        <w:t xml:space="preserve">. </w:t>
      </w:r>
    </w:p>
    <w:p w14:paraId="03E81915" w14:textId="4A522500" w:rsidR="003909CA" w:rsidRDefault="003909CA" w:rsidP="004B14CD">
      <w:r>
        <w:t xml:space="preserve">The lead author affiliations followed a similar distribution </w:t>
      </w:r>
      <w:r w:rsidR="00560E72">
        <w:t xml:space="preserve">to all authors listed </w:t>
      </w:r>
      <w:r>
        <w:t xml:space="preserve">with most of the lead authors being based at institutions </w:t>
      </w:r>
      <w:r w:rsidR="00B761E8">
        <w:t>in Southern Africa (52%)</w:t>
      </w:r>
      <w:r w:rsidR="001E09AD">
        <w:t xml:space="preserve"> (Supplementary</w:t>
      </w:r>
      <w:r w:rsidR="009F6F4F">
        <w:t xml:space="preserve"> 1</w:t>
      </w:r>
      <w:r w:rsidR="001E09AD">
        <w:t xml:space="preserve"> Fig. </w:t>
      </w:r>
      <w:r w:rsidR="00190044">
        <w:t>2</w:t>
      </w:r>
      <w:r w:rsidR="001E09AD">
        <w:t>c)</w:t>
      </w:r>
      <w:r w:rsidR="00B9193C">
        <w:t xml:space="preserve"> and with most of these coming from South Africa (28%)</w:t>
      </w:r>
      <w:r w:rsidR="001E09AD">
        <w:t xml:space="preserve"> (Supplementary</w:t>
      </w:r>
      <w:r w:rsidR="009F6F4F">
        <w:t xml:space="preserve"> 1</w:t>
      </w:r>
      <w:r w:rsidR="001E09AD">
        <w:t xml:space="preserve"> Fig</w:t>
      </w:r>
      <w:r w:rsidR="009F6F4F">
        <w:t>.</w:t>
      </w:r>
      <w:r w:rsidR="001E09AD">
        <w:t xml:space="preserve"> </w:t>
      </w:r>
      <w:r w:rsidR="00190044">
        <w:t>2</w:t>
      </w:r>
      <w:r w:rsidR="001E09AD">
        <w:t>d)</w:t>
      </w:r>
      <w:r w:rsidR="00B9193C">
        <w:t>.</w:t>
      </w:r>
    </w:p>
    <w:p w14:paraId="3E1AA9DC" w14:textId="77777777" w:rsidR="005B01D9" w:rsidRDefault="005B01D9" w:rsidP="004B14CD"/>
    <w:p w14:paraId="7FBA1EC2" w14:textId="073A19FE" w:rsidR="006B4B95" w:rsidRDefault="005B01D9" w:rsidP="004B14CD">
      <w:r>
        <w:rPr>
          <w:noProof/>
        </w:rPr>
        <w:lastRenderedPageBreak/>
        <w:drawing>
          <wp:inline distT="0" distB="0" distL="0" distR="0" wp14:anchorId="3D10804D" wp14:editId="1FF344ED">
            <wp:extent cx="5734050" cy="5686425"/>
            <wp:effectExtent l="0" t="0" r="0" b="9525"/>
            <wp:docPr id="1443332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5686425"/>
                    </a:xfrm>
                    <a:prstGeom prst="rect">
                      <a:avLst/>
                    </a:prstGeom>
                    <a:noFill/>
                    <a:ln>
                      <a:noFill/>
                    </a:ln>
                  </pic:spPr>
                </pic:pic>
              </a:graphicData>
            </a:graphic>
          </wp:inline>
        </w:drawing>
      </w:r>
    </w:p>
    <w:p w14:paraId="0FD70A69" w14:textId="2A305FB4" w:rsidR="00FC4FC6" w:rsidRDefault="006B4B95" w:rsidP="41FD5F3B">
      <w:pPr>
        <w:pStyle w:val="Caption"/>
        <w:jc w:val="left"/>
      </w:pPr>
      <w:r w:rsidRPr="41FD5F3B">
        <w:rPr>
          <w:b/>
          <w:bCs/>
        </w:rPr>
        <w:t xml:space="preserve">Supplementary Fig. </w:t>
      </w:r>
      <w:r w:rsidR="00190044" w:rsidRPr="41FD5F3B">
        <w:rPr>
          <w:b/>
          <w:bCs/>
        </w:rPr>
        <w:t>2</w:t>
      </w:r>
      <w:r>
        <w:t xml:space="preserve"> </w:t>
      </w:r>
      <w:r w:rsidRPr="41FD5F3B">
        <w:rPr>
          <w:b/>
          <w:bCs/>
        </w:rPr>
        <w:t xml:space="preserve">Author affiliations </w:t>
      </w:r>
      <w:r w:rsidR="007B6EFC" w:rsidRPr="41FD5F3B">
        <w:rPr>
          <w:b/>
          <w:bCs/>
        </w:rPr>
        <w:t xml:space="preserve">of </w:t>
      </w:r>
      <w:r w:rsidRPr="41FD5F3B">
        <w:rPr>
          <w:b/>
          <w:bCs/>
        </w:rPr>
        <w:t>research on inequitable impacts of NbS in Southern Africa</w:t>
      </w:r>
      <w:r w:rsidR="007B6EFC" w:rsidRPr="41FD5F3B">
        <w:rPr>
          <w:b/>
          <w:bCs/>
        </w:rPr>
        <w:t xml:space="preserve"> </w:t>
      </w:r>
      <w:r>
        <w:t xml:space="preserve">a) </w:t>
      </w:r>
      <w:r w:rsidR="007B6EFC">
        <w:t xml:space="preserve">All </w:t>
      </w:r>
      <w:r>
        <w:t>author affiliations of the reviewed studies grouped by continent</w:t>
      </w:r>
      <w:r w:rsidR="7A4FA056">
        <w:t>;</w:t>
      </w:r>
      <w:r>
        <w:t xml:space="preserve"> </w:t>
      </w:r>
      <w:r w:rsidR="00133C01">
        <w:t xml:space="preserve">(b) </w:t>
      </w:r>
      <w:r w:rsidR="0080339A">
        <w:t>Southern African all author affiliations grouped by countries</w:t>
      </w:r>
      <w:r w:rsidR="00190044">
        <w:t>; (c) Lead author affiliations of the reviewed studies grouped by continent</w:t>
      </w:r>
      <w:r w:rsidR="7A4FA056">
        <w:t>;</w:t>
      </w:r>
      <w:r w:rsidR="00190044">
        <w:t xml:space="preserve"> (d) Lead Southern African all author affiliations grouped by countries. </w:t>
      </w:r>
    </w:p>
    <w:p w14:paraId="157E1434" w14:textId="77777777" w:rsidR="006B4B95" w:rsidRDefault="006B4B95" w:rsidP="004B14CD"/>
    <w:p w14:paraId="5C68640C" w14:textId="62381452" w:rsidR="00FC4FC6" w:rsidRPr="00FC4FC6" w:rsidRDefault="00FC4FC6" w:rsidP="19FC05BD">
      <w:pPr>
        <w:pStyle w:val="Heading1"/>
        <w:numPr>
          <w:ilvl w:val="0"/>
          <w:numId w:val="3"/>
        </w:numPr>
        <w:jc w:val="left"/>
      </w:pPr>
      <w:r>
        <w:t>NbS location</w:t>
      </w:r>
    </w:p>
    <w:p w14:paraId="4A95200A" w14:textId="050CAA8B" w:rsidR="00233514" w:rsidRDefault="4F799B6F" w:rsidP="00072646">
      <w:r>
        <w:t xml:space="preserve">Evidence </w:t>
      </w:r>
      <w:r w:rsidR="6152CD6A">
        <w:t>of inequitable impacts w</w:t>
      </w:r>
      <w:r>
        <w:t xml:space="preserve">as reported </w:t>
      </w:r>
      <w:r w:rsidR="20EC0F6E">
        <w:t>for NbS that had been implemented in all</w:t>
      </w:r>
      <w:r>
        <w:t xml:space="preserve"> eleven </w:t>
      </w:r>
      <w:r w:rsidR="20EC0F6E">
        <w:t>focal s</w:t>
      </w:r>
      <w:r>
        <w:t>outhern African countries with the highest concentration being almost equal between South Africa (</w:t>
      </w:r>
      <w:r w:rsidR="20EC0F6E">
        <w:t>2</w:t>
      </w:r>
      <w:r w:rsidR="00327F41">
        <w:t>9</w:t>
      </w:r>
      <w:r>
        <w:t>%)</w:t>
      </w:r>
      <w:r w:rsidR="20EC0F6E">
        <w:t xml:space="preserve">, Malawi (27%) </w:t>
      </w:r>
      <w:r>
        <w:t>and Zimbabwe (</w:t>
      </w:r>
      <w:r w:rsidR="6152CD6A">
        <w:t>2</w:t>
      </w:r>
      <w:r w:rsidR="00B6284B">
        <w:t>8</w:t>
      </w:r>
      <w:r>
        <w:t>%)</w:t>
      </w:r>
      <w:r w:rsidR="55E7B349">
        <w:t xml:space="preserve"> (</w:t>
      </w:r>
      <w:r w:rsidR="7A4FA056">
        <w:t xml:space="preserve">Main paper, Fig 4a). </w:t>
      </w:r>
      <w:r>
        <w:t>This was following by</w:t>
      </w:r>
      <w:r w:rsidR="6152CD6A">
        <w:t xml:space="preserve"> Madagascar,</w:t>
      </w:r>
      <w:r>
        <w:t xml:space="preserve"> Mozambique, </w:t>
      </w:r>
      <w:r w:rsidR="6152CD6A">
        <w:t xml:space="preserve">Zambia, </w:t>
      </w:r>
      <w:r>
        <w:t xml:space="preserve">Namibia </w:t>
      </w:r>
      <w:r w:rsidR="6152CD6A">
        <w:t xml:space="preserve">and Botswana </w:t>
      </w:r>
      <w:r>
        <w:t>(</w:t>
      </w:r>
      <w:r w:rsidR="6152CD6A">
        <w:t>1</w:t>
      </w:r>
      <w:r w:rsidR="006B4B95">
        <w:t>2</w:t>
      </w:r>
      <w:r w:rsidR="6152CD6A">
        <w:t>-1</w:t>
      </w:r>
      <w:r w:rsidR="006B4B95">
        <w:t>8</w:t>
      </w:r>
      <w:r>
        <w:t>%) with few studies from Angola, Eswatini and Lesotho (2</w:t>
      </w:r>
      <w:r w:rsidR="6152CD6A" w:rsidRPr="00F5473D">
        <w:t>-3</w:t>
      </w:r>
      <w:r w:rsidR="7A4FA056">
        <w:t xml:space="preserve">%). </w:t>
      </w:r>
    </w:p>
    <w:p w14:paraId="43E77C03" w14:textId="77777777" w:rsidR="003823AE" w:rsidRDefault="003823AE" w:rsidP="003823AE"/>
    <w:p w14:paraId="703CA980" w14:textId="77777777" w:rsidR="00A8519D" w:rsidRPr="008E0162" w:rsidRDefault="00A8519D" w:rsidP="19FC05BD">
      <w:pPr>
        <w:pStyle w:val="Heading1"/>
        <w:numPr>
          <w:ilvl w:val="0"/>
          <w:numId w:val="3"/>
        </w:numPr>
        <w:jc w:val="left"/>
      </w:pPr>
      <w:r>
        <w:lastRenderedPageBreak/>
        <w:t>NbS targeted societal challenges</w:t>
      </w:r>
    </w:p>
    <w:p w14:paraId="1BE7012A" w14:textId="37E42535" w:rsidR="005E4D37" w:rsidRDefault="00A8519D" w:rsidP="00A8519D">
      <w:r>
        <w:t xml:space="preserve">The NbS </w:t>
      </w:r>
      <w:r w:rsidRPr="00F5473D">
        <w:t>reviewed in the papers were described as aiming to address a wide range of societal challenges (Main paper Fig 4b). Most of the NbS set out to address societal challenges related to local economic development</w:t>
      </w:r>
      <w:r>
        <w:t xml:space="preserve">, </w:t>
      </w:r>
      <w:r w:rsidR="00BC1C8C">
        <w:t>environmental degradation</w:t>
      </w:r>
      <w:r>
        <w:t xml:space="preserve">, </w:t>
      </w:r>
      <w:r w:rsidR="00BC1C8C">
        <w:t>un</w:t>
      </w:r>
      <w:r>
        <w:t>sustainable livelihoods, local social development, food security, and poverty</w:t>
      </w:r>
      <w:r w:rsidR="00F5473D">
        <w:t xml:space="preserve">. </w:t>
      </w:r>
      <w:r>
        <w:t xml:space="preserve">Just over a third of the NbS had a specific focus on biodiversity loss and 15-16% on climate change adaptation or mitigation. There were only a few examples associated with societal challenges related to human health, water security, energy security and disaster risk reduction (&lt;11%). </w:t>
      </w:r>
      <w:r w:rsidR="005E4D37">
        <w:t>Almost all (92%) focused on addressing more than one societal challenge. A total of 50% aimed to address 5-8 different societal challenges. while 43% aimed to address 2-4 societal challenges.</w:t>
      </w:r>
    </w:p>
    <w:p w14:paraId="343BABDA" w14:textId="77777777" w:rsidR="00A8519D" w:rsidRPr="003823AE" w:rsidRDefault="00A8519D" w:rsidP="003823AE"/>
    <w:p w14:paraId="7F8F308B" w14:textId="67D18629" w:rsidR="00A53FB0" w:rsidRPr="00A53FB0" w:rsidRDefault="005B3939" w:rsidP="19FC05BD">
      <w:pPr>
        <w:pStyle w:val="Heading1"/>
        <w:numPr>
          <w:ilvl w:val="0"/>
          <w:numId w:val="3"/>
        </w:numPr>
        <w:jc w:val="left"/>
      </w:pPr>
      <w:r>
        <w:t>N</w:t>
      </w:r>
      <w:r w:rsidR="004B14CD">
        <w:t xml:space="preserve">ature-based </w:t>
      </w:r>
      <w:r w:rsidR="0011416A">
        <w:t>s</w:t>
      </w:r>
      <w:r w:rsidR="004B14CD">
        <w:t xml:space="preserve">olution </w:t>
      </w:r>
      <w:r w:rsidR="006E2EE7">
        <w:t>t</w:t>
      </w:r>
      <w:r w:rsidR="00A53FB0">
        <w:t>ype</w:t>
      </w:r>
      <w:r w:rsidR="006E2EE7">
        <w:t>s</w:t>
      </w:r>
    </w:p>
    <w:p w14:paraId="0A981C5D" w14:textId="75295E8A" w:rsidR="0007363A" w:rsidRDefault="1F65067A" w:rsidP="0007363A">
      <w:r>
        <w:t>Most of the papers reviewed focused on sustainable management NbS types (4</w:t>
      </w:r>
      <w:r w:rsidR="00327557">
        <w:t>6</w:t>
      </w:r>
      <w:r w:rsidR="6069BCCD">
        <w:t>%</w:t>
      </w:r>
      <w:r>
        <w:t>), this was followed by</w:t>
      </w:r>
      <w:r w:rsidR="5B8E6FEB">
        <w:t xml:space="preserve"> a</w:t>
      </w:r>
      <w:r>
        <w:t xml:space="preserve"> </w:t>
      </w:r>
      <w:r w:rsidRPr="00F5473D">
        <w:t xml:space="preserve">combination </w:t>
      </w:r>
      <w:r w:rsidR="3D1B8B6F" w:rsidRPr="00F5473D">
        <w:t xml:space="preserve">of NbS types </w:t>
      </w:r>
      <w:r w:rsidRPr="00F5473D">
        <w:t>(3</w:t>
      </w:r>
      <w:r w:rsidR="00327557" w:rsidRPr="00F5473D">
        <w:t>2</w:t>
      </w:r>
      <w:r w:rsidR="5B8E6FEB" w:rsidRPr="00F5473D">
        <w:t>%</w:t>
      </w:r>
      <w:r w:rsidRPr="00F5473D">
        <w:t>), protection (2</w:t>
      </w:r>
      <w:r w:rsidR="00327557" w:rsidRPr="00F5473D">
        <w:t>0</w:t>
      </w:r>
      <w:r w:rsidR="749AB6B3" w:rsidRPr="00F5473D">
        <w:t>%</w:t>
      </w:r>
      <w:r w:rsidRPr="00F5473D">
        <w:t>) and restoration (1</w:t>
      </w:r>
      <w:r w:rsidR="749AB6B3" w:rsidRPr="00F5473D">
        <w:t>%</w:t>
      </w:r>
      <w:r w:rsidRPr="00F5473D">
        <w:t>)</w:t>
      </w:r>
      <w:r w:rsidR="3D1B8B6F" w:rsidRPr="00F5473D">
        <w:t xml:space="preserve"> (</w:t>
      </w:r>
      <w:r w:rsidR="00D50CDD" w:rsidRPr="00F5473D">
        <w:t xml:space="preserve">Main paper, Fig </w:t>
      </w:r>
      <w:r w:rsidR="00885AFB" w:rsidRPr="00F5473D">
        <w:t>1b</w:t>
      </w:r>
      <w:r w:rsidR="3D1B8B6F" w:rsidRPr="00F5473D">
        <w:t>).</w:t>
      </w:r>
      <w:r w:rsidRPr="00F5473D">
        <w:t xml:space="preserve"> </w:t>
      </w:r>
      <w:r w:rsidR="3D1B8B6F" w:rsidRPr="00F5473D">
        <w:t>Studies</w:t>
      </w:r>
      <w:r w:rsidR="3D1B8B6F">
        <w:t xml:space="preserve"> reported on interventions in natural/semi-</w:t>
      </w:r>
      <w:r w:rsidR="3D1B8B6F" w:rsidRPr="00F5473D">
        <w:t>natural ecosystems (47%) and farming/cultural lands (2</w:t>
      </w:r>
      <w:r w:rsidR="000E2221" w:rsidRPr="00F5473D">
        <w:t>7</w:t>
      </w:r>
      <w:r w:rsidR="3D1B8B6F" w:rsidRPr="00F5473D">
        <w:t xml:space="preserve">%), </w:t>
      </w:r>
      <w:r w:rsidR="000E2221" w:rsidRPr="00F5473D">
        <w:t>and</w:t>
      </w:r>
      <w:r w:rsidR="3D1B8B6F" w:rsidRPr="00F5473D">
        <w:t xml:space="preserve"> a combination of these (2</w:t>
      </w:r>
      <w:r w:rsidR="000E2221" w:rsidRPr="00F5473D">
        <w:t>6</w:t>
      </w:r>
      <w:r w:rsidR="3D1B8B6F" w:rsidRPr="00F5473D">
        <w:t>%) (</w:t>
      </w:r>
      <w:r w:rsidR="00897E01" w:rsidRPr="00F5473D">
        <w:t>Main paper</w:t>
      </w:r>
      <w:r w:rsidR="3D1B8B6F" w:rsidRPr="00F5473D">
        <w:t xml:space="preserve"> Fig. 4</w:t>
      </w:r>
      <w:r w:rsidR="00897E01" w:rsidRPr="00F5473D">
        <w:t>c</w:t>
      </w:r>
      <w:r w:rsidR="3D1B8B6F" w:rsidRPr="00F5473D">
        <w:t>).</w:t>
      </w:r>
      <w:r w:rsidR="3D1B8B6F">
        <w:t xml:space="preserve"> </w:t>
      </w:r>
    </w:p>
    <w:p w14:paraId="6E1BD52D" w14:textId="707852E6" w:rsidR="0036146E" w:rsidRDefault="645CC5E8" w:rsidP="0007363A">
      <w:r>
        <w:t>The most frequent actions</w:t>
      </w:r>
      <w:r w:rsidR="48CA353B">
        <w:t xml:space="preserve"> under </w:t>
      </w:r>
      <w:r w:rsidR="00946BF2">
        <w:t>these main NbS types included</w:t>
      </w:r>
      <w:r w:rsidR="002F659E">
        <w:t xml:space="preserve"> protected areas (52%) (e.g., public, community, private, transboundary);</w:t>
      </w:r>
      <w:r>
        <w:t xml:space="preserve"> sustainable natural resource management</w:t>
      </w:r>
      <w:r w:rsidR="00946BF2">
        <w:t xml:space="preserve"> (</w:t>
      </w:r>
      <w:r w:rsidR="002F659E">
        <w:t>40</w:t>
      </w:r>
      <w:r w:rsidR="00946BF2">
        <w:t>%)</w:t>
      </w:r>
      <w:r>
        <w:t xml:space="preserve"> </w:t>
      </w:r>
      <w:r w:rsidR="002F659E">
        <w:t xml:space="preserve">(e.g., </w:t>
      </w:r>
      <w:r>
        <w:t>harvesting regulations, agreements or quotas or designated natural resource use zones</w:t>
      </w:r>
      <w:r w:rsidR="002F659E">
        <w:t>)</w:t>
      </w:r>
      <w:r w:rsidR="48CA353B">
        <w:t>, followed by conservation agriculture (2</w:t>
      </w:r>
      <w:r w:rsidR="00AC5BE1">
        <w:t>3</w:t>
      </w:r>
      <w:r w:rsidR="48CA353B">
        <w:t>%),</w:t>
      </w:r>
      <w:r w:rsidR="002E729E">
        <w:t xml:space="preserve"> </w:t>
      </w:r>
      <w:r w:rsidR="002E729E" w:rsidRPr="00490ADE">
        <w:t>agroforestry (23</w:t>
      </w:r>
      <w:r w:rsidR="7A4FA056">
        <w:t>%)</w:t>
      </w:r>
      <w:r w:rsidR="00B1699F" w:rsidRPr="00490ADE">
        <w:t xml:space="preserve"> and</w:t>
      </w:r>
      <w:r w:rsidR="48CA353B" w:rsidRPr="00490ADE">
        <w:t xml:space="preserve"> sustainable forest management (2</w:t>
      </w:r>
      <w:r w:rsidR="00B1699F" w:rsidRPr="00490ADE">
        <w:t>2</w:t>
      </w:r>
      <w:r w:rsidR="48CA353B" w:rsidRPr="00490ADE">
        <w:t xml:space="preserve">%). </w:t>
      </w:r>
      <w:r w:rsidR="51D00878" w:rsidRPr="00490ADE">
        <w:t>There were very few studies</w:t>
      </w:r>
      <w:r w:rsidR="00B1699F" w:rsidRPr="00490ADE">
        <w:t xml:space="preserve"> on inequitable NbS outcomes on sustainable rangeland management</w:t>
      </w:r>
      <w:r w:rsidR="51D00878" w:rsidRPr="00490ADE">
        <w:t xml:space="preserve"> (7%)</w:t>
      </w:r>
      <w:r w:rsidR="00B1699F" w:rsidRPr="00490ADE">
        <w:t>, sustainable</w:t>
      </w:r>
      <w:r w:rsidR="51D00878" w:rsidRPr="00490ADE">
        <w:t xml:space="preserve"> fire </w:t>
      </w:r>
      <w:r w:rsidR="00B1699F" w:rsidRPr="00490ADE">
        <w:t xml:space="preserve">management </w:t>
      </w:r>
      <w:r w:rsidR="51D00878" w:rsidRPr="00490ADE">
        <w:t>(2%)</w:t>
      </w:r>
      <w:r w:rsidR="29EB9D69" w:rsidRPr="00490ADE">
        <w:t>, or</w:t>
      </w:r>
      <w:r w:rsidR="007D28F3" w:rsidRPr="00490ADE">
        <w:t xml:space="preserve"> </w:t>
      </w:r>
      <w:r w:rsidR="51D00878" w:rsidRPr="00490ADE">
        <w:t>ecosystem restoration (including reforestation</w:t>
      </w:r>
      <w:r w:rsidR="7A4FA056">
        <w:t xml:space="preserve">; </w:t>
      </w:r>
      <w:r w:rsidR="009F76B9" w:rsidRPr="00490ADE">
        <w:t>4</w:t>
      </w:r>
      <w:r w:rsidR="51D00878" w:rsidRPr="00490ADE">
        <w:t>%)</w:t>
      </w:r>
      <w:r w:rsidR="5ED4ACED" w:rsidRPr="00490ADE">
        <w:t xml:space="preserve"> (</w:t>
      </w:r>
      <w:r w:rsidR="00897E01" w:rsidRPr="00490ADE">
        <w:t>Main paper</w:t>
      </w:r>
      <w:r w:rsidR="5ED4ACED" w:rsidRPr="00490ADE">
        <w:t xml:space="preserve"> Fig. 4</w:t>
      </w:r>
      <w:r w:rsidR="00897E01" w:rsidRPr="00490ADE">
        <w:t>d</w:t>
      </w:r>
      <w:r w:rsidR="5ED4ACED" w:rsidRPr="00490ADE">
        <w:t>)</w:t>
      </w:r>
      <w:r w:rsidR="51D00878" w:rsidRPr="00490ADE">
        <w:t>.</w:t>
      </w:r>
      <w:r w:rsidR="51D00878">
        <w:t xml:space="preserve"> </w:t>
      </w:r>
    </w:p>
    <w:p w14:paraId="2C3C1445" w14:textId="77777777" w:rsidR="003D609E" w:rsidRPr="00C06F4F" w:rsidRDefault="003D609E" w:rsidP="00C06F4F"/>
    <w:p w14:paraId="196C2445" w14:textId="2DE7F1D9" w:rsidR="000515FB" w:rsidRDefault="00C06F4F" w:rsidP="19FC05BD">
      <w:pPr>
        <w:pStyle w:val="Heading1"/>
        <w:numPr>
          <w:ilvl w:val="0"/>
          <w:numId w:val="3"/>
        </w:numPr>
        <w:jc w:val="left"/>
      </w:pPr>
      <w:r w:rsidRPr="00C06F4F">
        <w:t>Emerging themes in recommendations for enabling social equity in NbS</w:t>
      </w:r>
    </w:p>
    <w:p w14:paraId="2DC5D35B" w14:textId="006E34AC" w:rsidR="008D5432" w:rsidRDefault="00357080" w:rsidP="004B1B64">
      <w:r>
        <w:t xml:space="preserve">We present narratives for the </w:t>
      </w:r>
      <w:r w:rsidRPr="005F545B">
        <w:t xml:space="preserve">six recurring themes that point to pathways for </w:t>
      </w:r>
      <w:r w:rsidRPr="007170A5">
        <w:t xml:space="preserve">enabling social equity in NbS below. A synthesised table of these can be found in Supplementary </w:t>
      </w:r>
      <w:r w:rsidR="00BF0D59" w:rsidRPr="007170A5">
        <w:t>3</w:t>
      </w:r>
      <w:r w:rsidRPr="007170A5">
        <w:t xml:space="preserve"> Table </w:t>
      </w:r>
      <w:r w:rsidR="00BF0D59" w:rsidRPr="007170A5">
        <w:t>3.</w:t>
      </w:r>
    </w:p>
    <w:p w14:paraId="3B499C5C" w14:textId="77777777" w:rsidR="008D5432" w:rsidRPr="004B1B64" w:rsidRDefault="008D5432" w:rsidP="004B1B64"/>
    <w:p w14:paraId="2EEF7C6A" w14:textId="7C209AFC" w:rsidR="005240BE" w:rsidRDefault="00C848EE" w:rsidP="19FC05BD">
      <w:pPr>
        <w:pStyle w:val="Heading2"/>
        <w:numPr>
          <w:ilvl w:val="0"/>
          <w:numId w:val="0"/>
        </w:numPr>
        <w:ind w:left="360" w:hanging="360"/>
        <w:jc w:val="left"/>
      </w:pPr>
      <w:r>
        <w:t>7.1</w:t>
      </w:r>
      <w:r w:rsidR="005240BE">
        <w:t xml:space="preserve"> </w:t>
      </w:r>
      <w:r w:rsidR="00941F04">
        <w:t>Represent</w:t>
      </w:r>
      <w:r w:rsidR="005240BE" w:rsidRPr="00D5BE14">
        <w:t xml:space="preserve"> multidimensional</w:t>
      </w:r>
      <w:r w:rsidR="005240BE">
        <w:t xml:space="preserve"> and pluralistic</w:t>
      </w:r>
      <w:r w:rsidR="005240BE" w:rsidRPr="00D5BE14">
        <w:t xml:space="preserve"> values and value systems</w:t>
      </w:r>
    </w:p>
    <w:p w14:paraId="47417A49" w14:textId="50E754AE" w:rsidR="00D568DF" w:rsidRDefault="005240BE" w:rsidP="19FC05BD">
      <w:pPr>
        <w:spacing w:line="278" w:lineRule="auto"/>
      </w:pPr>
      <w:r w:rsidRPr="00067716">
        <w:t>NbS should recognise and engage with multidimensional and pluralistic values</w:t>
      </w:r>
      <w:r>
        <w:t xml:space="preserve">. There is a need to frame potential NbS values from a reciprocal lens, with a focus on </w:t>
      </w:r>
      <w:r w:rsidRPr="004551FF">
        <w:t>mutually beneficial, relational, and respectful engagement </w:t>
      </w:r>
      <w:r>
        <w:t xml:space="preserve">with nature and the environment. Integrating human-nature reciprocity and values that might be intangible, relational, cultural, and multispecies </w:t>
      </w:r>
      <w:r w:rsidR="00BA1DDD">
        <w:fldChar w:fldCharType="begin"/>
      </w:r>
      <w:r w:rsidR="00EC2F18">
        <w:instrText xml:space="preserve"> ADDIN ZOTERO_ITEM CSL_CITATION {"citationID":"TwykQCVe","properties":{"unsorted":false,"formattedCitation":"\\super 1\\uc0\\u8211{}3\\nosupersub{}","plainCitation":"1–3","noteIndex":0},"citationItems":[{"id":20200,"uris":["http://zotero.org/users/19783099/items/9BMVMNRJ"],"itemData":{"id":20200,"type":"article-journal","abstract":"The concept of place attachment can assist to integrate relational values into ecosystem service research, and assist us to rethink the notion of benefits in contemporary protected area thinking. We present a case study from South Africa, where the concept of two-dimensional place attachment was used to understand the relationship between a protected area and a land claimant community that now owns part of this protected area but does not have physical access to the land. A place attachment lens helps refocus access to protected areas as cornerstone to long term sustainability of such areas. Such access must be considered in the context of spatially and economically differentiated users, including a focus on trade-offs between such users. Our findings highlight that when communities previously displaced from protected areas respond to offers of ‘benefit sharing’ with demands for access and recognition as land owners, they are asking for a recognition of relational values, and identity, based on close interaction with nature. A place attachment and relational values perspective raises questions about the extent to which traditional conservation practice can accommodate such values, and therefore meet local people’s expectations and remain viable in the long term.","collection-title":"Protected area services","container-title":"Ecosystem Services","DOI":"10.1016/j.ecoser.2017.03.011","ISSN":"2212-0416","journalAbbreviation":"Ecosystem Services","page":"140-148","source":"ScienceDirect","title":"Beyond benefit sharing: Place attachment and the importance of access to protected areas for surrounding communities","title-short":"Beyond benefit sharing","volume":"28","author":[{"family":"Cundill","given":"Georgina"},{"family":"Bezerra","given":"Joana Carlos"},{"family":"De Vos","given":"Alta"},{"family":"Ntingana","given":"Nokuthula"}],"issued":{"date-parts":[["2017",12,1]]}}},{"id":20290,"uris":["http://zotero.org/users/19783099/items/QF8PELV2"],"itemData":{"id":20290,"type":"article-journal","abstract":"Community wildlife management programmes in southern Africa typically offer residents benefits such as meat, money and jobs in the hopes of improving both conservation outcomes and local welfare. This article examines this assumption on the basis of a case study in northwest Namibia. The study suggests the importance of direct benefits in shaping support for and commitment to conservation. However, the study's analytical framework also opens up the ‘black box’ linking benefits to conservation and demonstrates that the link of benefits to attitudes and behaviours cannot be understood without taking into consideration three underlying factors: the appropriateness and equitability of benefits, the level of local control, and the broader context of peoples' values, their sense of identity and their development aspirations.","container-title":"Development Southern Africa","DOI":"10.1080/03768350802640107","ISSN":"0376-835X","issue":"1","note":"_eprint: https://doi.org/10.1080/03768350802640107","page":"75-93","publisher":"Routledge","source":"Taylor and Francis+NEJM","title":"Untangling the links between wildlife benefits and community-based conservation at Torra Conservancy, Namibia","volume":"26","author":[{"family":"Scanlon","given":"Lauren J"},{"family":"Kull","given":"Christian A"}],"issued":{"date-parts":[["2009",3,1]]}}},{"id":20233,"uris":["http://zotero.org/users/19783099/items/KFDC4ZC5"],"itemData":{"id":20233,"type":"article-journal","abstract":"Access, in reference to Ecosystem services (ES), is defined as the capacity to gain benefits from the environment. There has been a global shift in natural resource governance, particularly increased co-management of protected areas (PAs). Yet there has been little research on how this change may be affecting access to ES. We aim to fill this research gap by considering: (a) what ES are considered most important, (b) what factors are important in determining whether a person can access ES, and (c) how rules and regulations regarding ES access are decided and enforced. Qualitative and quantitative data were collected using questionnaires, focus groups and interviews with stakeholders in a case study PA in Madagascar, co-managed by local community associations (VOIs) and an NGO. Data analysis was framed around the IPBES framework and access factors. Respondents considered provisioning services most important, but also valued cultural and regulating services. Institutions and social identity had the largest impact on access to ES. VOI members and individuals who knew VOI committee members had greater access to ES than non-members. Findings show that co-management may be shifting ES access inequalities rather than reducing them, and we outline a number of challenges relating to PA co-management.","container-title":"Ecosystem Services","DOI":"10.1016/j.ecoser.2018.01.014","ISSN":"2212-0416","journalAbbreviation":"Ecosystem Services","page":"137-148","source":"ScienceDirect","title":"Changing governance, changing inequalities: Protected area co-management and access to forest ecosystem services: a Madagascar case study","title-short":"Changing governance, changing inequalities","volume":"30","author":[{"family":"Ward","given":"Caroline"},{"family":"Stringer","given":"Lindsay"},{"family":"Holmes","given":"George"}],"issued":{"date-parts":[["2018",4,1]]}}}],"schema":"https://github.com/citation-style-language/schema/raw/master/csl-citation.json"} </w:instrText>
      </w:r>
      <w:r w:rsidR="00BA1DDD">
        <w:fldChar w:fldCharType="separate"/>
      </w:r>
      <w:r w:rsidR="00EC2F18" w:rsidRPr="00EC2F18">
        <w:rPr>
          <w:rFonts w:cs="Segoe UI"/>
          <w:vertAlign w:val="superscript"/>
        </w:rPr>
        <w:t>1–3</w:t>
      </w:r>
      <w:r w:rsidR="00BA1DDD">
        <w:fldChar w:fldCharType="end"/>
      </w:r>
      <w:r w:rsidRPr="00397472">
        <w:rPr>
          <w:rFonts w:eastAsia="Calibri" w:cs="Calibri"/>
          <w:color w:val="FF0000"/>
        </w:rPr>
        <w:t xml:space="preserve"> </w:t>
      </w:r>
      <w:r>
        <w:t xml:space="preserve">provides an opportunity to </w:t>
      </w:r>
      <w:r w:rsidRPr="00067716">
        <w:t xml:space="preserve">strengthen deliberation around synergies </w:t>
      </w:r>
      <w:r w:rsidRPr="00067716">
        <w:lastRenderedPageBreak/>
        <w:t xml:space="preserve">and trade-offs </w:t>
      </w:r>
      <w:r w:rsidR="00CD1973">
        <w:t>to support the development of more</w:t>
      </w:r>
      <w:r w:rsidRPr="00067716">
        <w:t xml:space="preserve"> equitable benefit sharing</w:t>
      </w:r>
      <w:r>
        <w:t xml:space="preserve"> agreements. </w:t>
      </w:r>
      <w:r w:rsidRPr="00067716">
        <w:t xml:space="preserve">Biocultural values are particularly important for supporting intergenerational learning and for recognising people’s relationships with the environment beyond material benefits, including through religion, art, culture and sense of oneness </w:t>
      </w:r>
      <w:r w:rsidR="00FD1D68">
        <w:fldChar w:fldCharType="begin"/>
      </w:r>
      <w:r w:rsidR="00EC2F18">
        <w:instrText xml:space="preserve"> ADDIN ZOTERO_ITEM CSL_CITATION {"citationID":"Gi8jksDr","properties":{"unsorted":false,"formattedCitation":"\\super 4,5\\nosupersub{}","plainCitation":"4,5","noteIndex":0},"citationItems":[{"id":20255,"uris":["http://zotero.org/users/19783099/items/KDSLD8E3"],"itemData":{"id":20255,"type":"article-journal","abstract":"The article explores theoretically the juxtaposition of local stories about landscape with institutional arrangements and exclusionary practices around a conservation area in South Africa. The Masebe Nature Reserve is used as a case study. The article argues that the institutional arrangements in which the nature reserve is currently positioned are too static, and consequently exclusionary, in their demarcation of boundaries. This stifles local communities’ sense of belonging to these landscapes. Hence, they strongly resent and feel alienated by the nature reserve. Their opposition and alienation often manifests in poaching. The empirical material is based on how local people living adjacent to the Masebe Nature Reserve have historically named and interpreted the area’s impressive sandstone mountains, in the process creating a sense of belonging. Juxtaposing this mostly tranquil cultural reading of the landscape to the institutional practices of boundary demarcation gives the analysis an immediate critical edge regarding issues of social justice","container-title":"Landscape Research","DOI":"10.1080/01426397.2016.1184630","ISSN":"0142-6397","issue":"8","note":"_eprint: https://doi.org/10.1080/01426397.2016.1184630","page":"922-933","publisher":"Routledge","source":"Taylor and Francis+NEJM","title":"Juxtaposing a cultural reading of landscape with institutional boundaries: the case of the Masebe Nature Reserve, South Africa","title-short":"Juxtaposing a cultural reading of landscape with institutional boundaries","volume":"41","author":[{"family":"Boonzaaier","given":"Chris"},{"family":"Wels","given":"Harry"}],"issued":{"date-parts":[["2016",11,16]]}}},{"id":20259,"uris":["http://zotero.org/users/19783099/items/DTTRC978"],"itemData":{"id":20259,"type":"article-journal","abstract":"The integration of indigenous viewpoints in Ecosystem Service frameworks and planning processes are often lacking, necessitating a need to integrate diverse perspectives for knowledge coproduction. The study adopts a comparative analysis to explore local perceptions of the diversity of forest ecosystem services and values for ecological restoration among urban and rural Vhavenda groups in the Vhembe District of South Africa. We apply the Common International Classification of Ecosystem Services (CICES) framework to structure ecosystem services to explore how well indigenous perspectives are represented. Rural populations identified the provisioning services of forests as more important compared to urban populations to support subsistence lifestyles with a higher dependence on natural resources. Rural values for ecological restoration were dominated by biocultural restoration objectives to revive indigenous knowledge and local practices and inter-generational learning experiences. Trade-offs exist among urban groups where forests are valued for employment and tourism and rural groups where intangible values are associated with the spiritual importance of sacred forests. However, commonalities between rural and urban residents persist with collective objectives to restore biodiversity and ecosystem services, enhance collaborations between stakeholders and stimulate education experiences that draw on indigenous and scientific knowledge of forest ecosystems. Our study points to the challenges of ecosystem service valuation and considers the importance of integrating stakeholder values for informing deliberative decision-making.","container-title":"Forest Policy and Economics","DOI":"10.1016/j.forpol.2020.102222","ISSN":"1389-9341","journalAbbreviation":"Forest Policy and Economics","page":"102222","source":"ScienceDirect","title":"Restoring the forest revives our culture: Ecosystem services and values for ecological restoration across the rural-urban nexus in South Africa","title-short":"Restoring the forest revives our culture","volume":"118","author":[{"family":"Constant","given":"Natasha Louise"},{"family":"Taylor","given":"Peter John"}],"issued":{"date-parts":[["2020",9,1]]}}}],"schema":"https://github.com/citation-style-language/schema/raw/master/csl-citation.json"} </w:instrText>
      </w:r>
      <w:r w:rsidR="00FD1D68">
        <w:fldChar w:fldCharType="separate"/>
      </w:r>
      <w:r w:rsidR="00EC2F18" w:rsidRPr="00EC2F18">
        <w:rPr>
          <w:rFonts w:cs="Segoe UI"/>
          <w:vertAlign w:val="superscript"/>
        </w:rPr>
        <w:t>4,5</w:t>
      </w:r>
      <w:r w:rsidR="00FD1D68">
        <w:fldChar w:fldCharType="end"/>
      </w:r>
      <w:r w:rsidR="004D7BD5">
        <w:t>.</w:t>
      </w:r>
      <w:r>
        <w:t xml:space="preserve"> </w:t>
      </w:r>
      <w:r w:rsidR="003C67C8">
        <w:t>However, i</w:t>
      </w:r>
      <w:r>
        <w:t xml:space="preserve">n some contexts, </w:t>
      </w:r>
      <w:r w:rsidR="00130F07">
        <w:t>particularly with high levels of poverty and in areas highly transformed or degraded</w:t>
      </w:r>
      <w:r w:rsidR="19FC05BD">
        <w:t>,</w:t>
      </w:r>
      <w:r w:rsidR="00130F07">
        <w:t xml:space="preserve"> a </w:t>
      </w:r>
      <w:r w:rsidRPr="00067716">
        <w:t xml:space="preserve">stronger emphasis may be needed on livelihoods and socio-economic </w:t>
      </w:r>
      <w:r>
        <w:t>values</w:t>
      </w:r>
      <w:r w:rsidRPr="00067716">
        <w:t xml:space="preserve"> where reciprocity is not the dominant way of relating to nature</w:t>
      </w:r>
      <w:r>
        <w:t xml:space="preserve"> for those most vulnerable</w:t>
      </w:r>
      <w:r w:rsidRPr="00067716">
        <w:t>. NbS design and implementation should be women- and youth-centr</w:t>
      </w:r>
      <w:r>
        <w:t>ic</w:t>
      </w:r>
      <w:r w:rsidRPr="00067716">
        <w:t xml:space="preserve"> to ensure these groups are not overlooked</w:t>
      </w:r>
      <w:r w:rsidR="19FC05BD">
        <w:t>. This</w:t>
      </w:r>
      <w:r>
        <w:t xml:space="preserve"> includes integrating sporting activities</w:t>
      </w:r>
      <w:r w:rsidR="19FC05BD">
        <w:t>,</w:t>
      </w:r>
      <w:r>
        <w:t xml:space="preserve"> crafts or religion</w:t>
      </w:r>
      <w:r w:rsidR="19FC05BD">
        <w:t>-based</w:t>
      </w:r>
      <w:r>
        <w:t xml:space="preserve"> aspects tied to contexts</w:t>
      </w:r>
      <w:r w:rsidRPr="00067716">
        <w:t xml:space="preserve"> </w:t>
      </w:r>
      <w:r w:rsidR="004D7BD5">
        <w:fldChar w:fldCharType="begin"/>
      </w:r>
      <w:r w:rsidR="00EC2F18">
        <w:instrText xml:space="preserve"> ADDIN ZOTERO_ITEM CSL_CITATION {"citationID":"rT5vlNXq","properties":{"unsorted":false,"formattedCitation":"\\super 6\\nosupersub{}","plainCitation":"6","noteIndex":0},"citationItems":[{"id":20269,"uris":["http://zotero.org/users/19783099/items/CZI2HZLP"],"itemData":{"id":20269,"type":"article-journal","abstract":"Using a survey of communal conservancies in Namibia, we find that they provide some direct economic benefits to conservancy members, but that indirect benefits promoting development for all residents have not materialized. This partially explains why a high level of discontent with community-based natural resource management (CBNRM) as a development strategy remains, which would need to be addressed with policies that promote a more equitable distribution of benefits from CBNRM. Advocates of CBNRM draw on theories of comparative advantage and collective action to argue that communal conservation efforts enhance the viability of nature tourism as a rural development strategy. We employ a mixed-methods approach to test to what extent CBNRM generates direct and indirect economic benefits, and if these benefits induce participation in communal conservation.","container-title":"The Journal of Environment &amp; Development","DOI":"10.1177/1070496512469193","ISSN":"1070-4965","issue":"1","language":"EN","page":"25-50","publisher":"SAGE Publications Inc","source":"SAGE Journals","title":"Conservation-Based Rural Development in Namibia: A Mixed-Methods Assessment of Economic Benefits","title-short":"Conservation-Based Rural Development in Namibia","volume":"22","author":[{"family":"Silva","given":"Julie A."},{"family":"Mosimane","given":"Alfons W."}],"issued":{"date-parts":[["2012",3,1]]}}}],"schema":"https://github.com/citation-style-language/schema/raw/master/csl-citation.json"} </w:instrText>
      </w:r>
      <w:r w:rsidR="004D7BD5">
        <w:fldChar w:fldCharType="separate"/>
      </w:r>
      <w:r w:rsidR="00EC2F18" w:rsidRPr="00EC2F18">
        <w:rPr>
          <w:rFonts w:cs="Segoe UI"/>
          <w:vertAlign w:val="superscript"/>
        </w:rPr>
        <w:t>6</w:t>
      </w:r>
      <w:r w:rsidR="004D7BD5">
        <w:fldChar w:fldCharType="end"/>
      </w:r>
      <w:r w:rsidR="004D7BD5">
        <w:t xml:space="preserve">. </w:t>
      </w:r>
      <w:r w:rsidRPr="00067716">
        <w:t xml:space="preserve">There is a need for more research and practice on how </w:t>
      </w:r>
      <w:r>
        <w:t>community mobilisation</w:t>
      </w:r>
      <w:r w:rsidR="19FC05BD">
        <w:t>,</w:t>
      </w:r>
      <w:r>
        <w:t xml:space="preserve"> along with </w:t>
      </w:r>
      <w:r w:rsidRPr="00067716">
        <w:t>relational values</w:t>
      </w:r>
      <w:r w:rsidR="19FC05BD">
        <w:t>,</w:t>
      </w:r>
      <w:r w:rsidRPr="00067716">
        <w:t xml:space="preserve"> can strengthen social </w:t>
      </w:r>
      <w:r w:rsidR="003F5FE1">
        <w:t xml:space="preserve">and community </w:t>
      </w:r>
      <w:r w:rsidRPr="00067716">
        <w:t xml:space="preserve">movements and challenge the broader inequalities that </w:t>
      </w:r>
      <w:r>
        <w:t>influence</w:t>
      </w:r>
      <w:r w:rsidRPr="00067716">
        <w:t xml:space="preserve"> NbS across </w:t>
      </w:r>
      <w:r w:rsidR="19FC05BD">
        <w:t>Africa</w:t>
      </w:r>
      <w:r w:rsidR="00D568DF">
        <w:t xml:space="preserve"> </w:t>
      </w:r>
      <w:r w:rsidR="00D568DF">
        <w:fldChar w:fldCharType="begin"/>
      </w:r>
      <w:r w:rsidR="00EC2F18">
        <w:instrText xml:space="preserve"> ADDIN ZOTERO_ITEM CSL_CITATION {"citationID":"pZlB0PBC","properties":{"unsorted":false,"formattedCitation":"\\super 7\\nosupersub{}","plainCitation":"7","noteIndex":0},"citationItems":[{"id":20301,"uris":["http://zotero.org/users/19783099/items/6DSUZGFN"],"itemData":{"id":20301,"type":"article-journal","abstract":"Namibia's internationally acclaimed CBNRM program depends to a large extent on revenues generated from the trophy hunting of wild animals. The model is an important example of an increasingly 'neoliberal' global policy framework as applied to biodiversity conservation, its market-based approach and attendant socio-ecological effects having received in-depth engagement and critique from a political ecology perspective.Yet there remains a lack of detailed research concerning how these programs and their value frames are operationalized in practice. The article attempts to advance this literature through an empirical exploration of practices undertaken by diverse actors that work to produce and extract value from 'wild' natures, specifically elephants for 'conservation hunting' in Namibian communal-area conservancies. Conceptually, the article also contributes to an emerging body of work seeking to 'ecologise' political ecology, exploring the co-optation of lively elephants and other beyond-human entities in the production of economic value. 'Following' the elephant's interactions with other living entities, the article reveals the (non)human work and social practices that together 'labor' to produce commodified elephants that can be killed as trophies. We argue that 'undesirable encounters' such as crop raiding by elephants are both indicative of unequal power relations amongst CBNRM stakeholders and central to (re)producing dominant (neoliberal) value frames. The animal's spontaneous activities are co-opted into technocratic governance practices that legitimize the killing of elephants on environmental and economic grounds. In opening up the contested,contingent, and more-than-human nature of these social-ecological relations we also hope to contribute to possibilities for imagining more equitable and ecologically resilient conservation futures.","container-title":"Journal of Political Ecology","DOI":"10.2458/jpe.2279","ISSN":"1073-0451","issue":"1","language":"eng","publisher":"University of Arizona Libraries","source":"journals.librarypublishing.arizona.edu","title":"Producing elephant commodities for 'conservation hunting' in Namibian communal-area conservancies","URL":"https://journals.librarypublishing.arizona.edu/jpe/article/id/2279/","volume":"28","author":[{"family":"Hewitson","given":"Lee John"},{"family":"Sullivan","given":"Sian"}],"accessed":{"date-parts":[["2026",3,26]]},"issued":{"date-parts":[["2021",2,14]]}}}],"schema":"https://github.com/citation-style-language/schema/raw/master/csl-citation.json"} </w:instrText>
      </w:r>
      <w:r w:rsidR="00D568DF">
        <w:fldChar w:fldCharType="separate"/>
      </w:r>
      <w:r w:rsidR="00EC2F18" w:rsidRPr="00EC2F18">
        <w:rPr>
          <w:rFonts w:cs="Segoe UI"/>
          <w:vertAlign w:val="superscript"/>
        </w:rPr>
        <w:t>7</w:t>
      </w:r>
      <w:r w:rsidR="00D568DF">
        <w:fldChar w:fldCharType="end"/>
      </w:r>
      <w:r w:rsidR="004122F4">
        <w:t>.</w:t>
      </w:r>
    </w:p>
    <w:p w14:paraId="637FE197" w14:textId="100EAE2C" w:rsidR="005240BE" w:rsidRPr="00E03C4C" w:rsidRDefault="00C848EE" w:rsidP="19FC05BD">
      <w:pPr>
        <w:pStyle w:val="Heading2"/>
        <w:numPr>
          <w:ilvl w:val="0"/>
          <w:numId w:val="0"/>
        </w:numPr>
        <w:ind w:left="360" w:hanging="360"/>
        <w:jc w:val="left"/>
      </w:pPr>
      <w:r>
        <w:t>7.2</w:t>
      </w:r>
      <w:r w:rsidR="005240BE" w:rsidRPr="00E03C4C">
        <w:t xml:space="preserve"> </w:t>
      </w:r>
      <w:r w:rsidR="005240BE">
        <w:t>Integrate</w:t>
      </w:r>
      <w:r w:rsidR="005240BE" w:rsidRPr="00E03C4C">
        <w:t xml:space="preserve"> diverse forms of knowledge and information</w:t>
      </w:r>
      <w:r w:rsidR="005240BE">
        <w:t xml:space="preserve"> as evidence</w:t>
      </w:r>
    </w:p>
    <w:p w14:paraId="3BFE4EA0" w14:textId="3C5AAAB7" w:rsidR="005240BE" w:rsidRDefault="005240BE" w:rsidP="00D12E50">
      <w:pPr>
        <w:rPr>
          <w:rFonts w:eastAsia="Calibri" w:cs="Calibri"/>
          <w:color w:val="FF0000"/>
        </w:rPr>
      </w:pPr>
      <w:r w:rsidRPr="00067716">
        <w:t xml:space="preserve">NbS planning and design should more deliberately embrace diverse forms of knowledge and information by elevating the role of </w:t>
      </w:r>
      <w:r w:rsidR="00C36FD6" w:rsidRPr="00067716">
        <w:t xml:space="preserve">transdisciplinary approaches </w:t>
      </w:r>
      <w:r w:rsidR="00C36FD6">
        <w:t xml:space="preserve">and </w:t>
      </w:r>
      <w:r w:rsidRPr="00067716">
        <w:t>social science qualitative research</w:t>
      </w:r>
      <w:r w:rsidR="00612C6C">
        <w:t>,</w:t>
      </w:r>
      <w:r w:rsidR="00C36FD6">
        <w:t xml:space="preserve"> including participatory and</w:t>
      </w:r>
      <w:r w:rsidR="006A2809">
        <w:t xml:space="preserve"> arts-based</w:t>
      </w:r>
      <w:r w:rsidR="1E1751BE">
        <w:t xml:space="preserve"> forms</w:t>
      </w:r>
      <w:r w:rsidR="00C36FD6">
        <w:t>,</w:t>
      </w:r>
      <w:r w:rsidRPr="00067716">
        <w:t xml:space="preserve"> in generating evidence</w:t>
      </w:r>
      <w:r w:rsidR="00612C6C">
        <w:t xml:space="preserve"> alongside natural science, quantitative and interdisciplinary approaches</w:t>
      </w:r>
      <w:r w:rsidRPr="00067716">
        <w:t xml:space="preserve">. </w:t>
      </w:r>
      <w:r w:rsidRPr="00870297">
        <w:rPr>
          <w:rFonts w:eastAsia="Calibri" w:cs="Calibri"/>
        </w:rPr>
        <w:t xml:space="preserve">This includes actively removing barriers which exist in discounting </w:t>
      </w:r>
      <w:r w:rsidR="1E1751BE" w:rsidRPr="1E1751BE">
        <w:rPr>
          <w:rFonts w:eastAsia="Calibri" w:cs="Calibri"/>
        </w:rPr>
        <w:t xml:space="preserve">these approaches </w:t>
      </w:r>
      <w:r w:rsidRPr="00870297">
        <w:rPr>
          <w:rFonts w:eastAsia="Calibri" w:cs="Calibri"/>
        </w:rPr>
        <w:t xml:space="preserve">as valid </w:t>
      </w:r>
      <w:r w:rsidR="1E1751BE" w:rsidRPr="1E1751BE">
        <w:rPr>
          <w:rFonts w:eastAsia="Calibri" w:cs="Calibri"/>
        </w:rPr>
        <w:t xml:space="preserve">forms </w:t>
      </w:r>
      <w:r w:rsidRPr="00870297">
        <w:rPr>
          <w:rFonts w:eastAsia="Calibri" w:cs="Calibri"/>
        </w:rPr>
        <w:t xml:space="preserve">of evidence. Here the calls for integrating science and </w:t>
      </w:r>
      <w:r w:rsidR="1E1751BE" w:rsidRPr="1E1751BE">
        <w:rPr>
          <w:rFonts w:eastAsia="Calibri" w:cs="Calibri"/>
        </w:rPr>
        <w:t>Indigenous</w:t>
      </w:r>
      <w:r w:rsidRPr="00870297">
        <w:rPr>
          <w:rFonts w:eastAsia="Calibri" w:cs="Calibri"/>
        </w:rPr>
        <w:t xml:space="preserve"> and </w:t>
      </w:r>
      <w:r w:rsidR="1E1751BE" w:rsidRPr="1E1751BE">
        <w:rPr>
          <w:rFonts w:eastAsia="Calibri" w:cs="Calibri"/>
        </w:rPr>
        <w:t>Local Knowledge</w:t>
      </w:r>
      <w:r w:rsidRPr="00870297">
        <w:rPr>
          <w:rFonts w:eastAsia="Calibri" w:cs="Calibri"/>
        </w:rPr>
        <w:t xml:space="preserve"> will not be achievable without the acceptance of social science qualitative</w:t>
      </w:r>
      <w:r w:rsidR="00C36FD6">
        <w:rPr>
          <w:rFonts w:eastAsia="Calibri" w:cs="Calibri"/>
        </w:rPr>
        <w:t>, arts-based</w:t>
      </w:r>
      <w:r w:rsidRPr="00870297">
        <w:rPr>
          <w:rFonts w:eastAsia="Calibri" w:cs="Calibri"/>
        </w:rPr>
        <w:t xml:space="preserve"> and interpretative approaches into mainstream </w:t>
      </w:r>
      <w:r w:rsidR="00C36FD6">
        <w:rPr>
          <w:rFonts w:eastAsia="Calibri" w:cs="Calibri"/>
        </w:rPr>
        <w:t xml:space="preserve">natural science dominated </w:t>
      </w:r>
      <w:r w:rsidRPr="00870297">
        <w:rPr>
          <w:rFonts w:eastAsia="Calibri" w:cs="Calibri"/>
        </w:rPr>
        <w:t>scientific platforms</w:t>
      </w:r>
      <w:r w:rsidR="00981FFA">
        <w:rPr>
          <w:rFonts w:eastAsia="Calibri" w:cs="Calibri"/>
        </w:rPr>
        <w:t xml:space="preserve"> </w:t>
      </w:r>
      <w:r w:rsidR="00981FFA" w:rsidRPr="0028351B">
        <w:rPr>
          <w:rFonts w:eastAsia="Calibri" w:cs="Calibri"/>
        </w:rPr>
        <w:fldChar w:fldCharType="begin"/>
      </w:r>
      <w:r w:rsidR="00EC2F18">
        <w:rPr>
          <w:rFonts w:eastAsia="Calibri" w:cs="Calibri"/>
        </w:rPr>
        <w:instrText xml:space="preserve"> ADDIN ZOTERO_ITEM CSL_CITATION {"citationID":"6r1cNGUk","properties":{"unsorted":false,"formattedCitation":"\\super 5,8\\nosupersub{}","plainCitation":"5,8","noteIndex":0},"citationItems":[{"id":20259,"uris":["http://zotero.org/users/19783099/items/DTTRC978"],"itemData":{"id":20259,"type":"article-journal","abstract":"The integration of indigenous viewpoints in Ecosystem Service frameworks and planning processes are often lacking, necessitating a need to integrate diverse perspectives for knowledge coproduction. The study adopts a comparative analysis to explore local perceptions of the diversity of forest ecosystem services and values for ecological restoration among urban and rural Vhavenda groups in the Vhembe District of South Africa. We apply the Common International Classification of Ecosystem Services (CICES) framework to structure ecosystem services to explore how well indigenous perspectives are represented. Rural populations identified the provisioning services of forests as more important compared to urban populations to support subsistence lifestyles with a higher dependence on natural resources. Rural values for ecological restoration were dominated by biocultural restoration objectives to revive indigenous knowledge and local practices and inter-generational learning experiences. Trade-offs exist among urban groups where forests are valued for employment and tourism and rural groups where intangible values are associated with the spiritual importance of sacred forests. However, commonalities between rural and urban residents persist with collective objectives to restore biodiversity and ecosystem services, enhance collaborations between stakeholders and stimulate education experiences that draw on indigenous and scientific knowledge of forest ecosystems. Our study points to the challenges of ecosystem service valuation and considers the importance of integrating stakeholder values for informing deliberative decision-making.","container-title":"Forest Policy and Economics","DOI":"10.1016/j.forpol.2020.102222","ISSN":"1389-9341","journalAbbreviation":"Forest Policy and Economics","page":"102222","source":"ScienceDirect","title":"Restoring the forest revives our culture: Ecosystem services and values for ecological restoration across the rural-urban nexus in South Africa","title-short":"Restoring the forest revives our culture","volume":"118","author":[{"family":"Constant","given":"Natasha Louise"},{"family":"Taylor","given":"Peter John"}],"issued":{"date-parts":[["2020",9,1]]}}},{"id":20202,"uris":["http://zotero.org/users/19783099/items/YY2ARVCF"],"itemData":{"id":20202,"type":"article-journal","abstract":"Tropical mountain forest frontier landscapes are increasingly target of protected areas (PAs) implementation, in many cases to secure the supply of globally demanded ecosystem services (ES). However, whether PAs manage to achieve their objectives is not always clear, nor are the implications of PA establishment for the supply of ES relevant for local populations. To address these knowledge gaps, we assess the year-to-year supply of six stakeholder-relevant ES across ES categories in two forest frontier, mountainous landscapes in the periphery of PAs in north-eastern Madagascar. As ES most relevant to local populations, we assess food crops production, flood control and bequest value. As globally-demanded ES, we evaluate export cash crops production, global climate regulation and existence value. Our results suggest that PA implementation managed to stem on-going losses of global climate regulation and existence value, but at the expense of also driving decreases in food crops production and bequest value supply to local populations. While our findings are encouraging for global conservation objectives, they also highlight the stark costs local populations might incur under PA establishment, and thus the need to assure that local livelihoods and well-being, including cultural dimensions, are not undermined by conservation interventions.","container-title":"Ecosystem Services","DOI":"10.1016/j.ecoser.2021.101249","ISSN":"2212-0416","journalAbbreviation":"Ecosystem Services","page":"101249","source":"ScienceDirect","title":"Year-to-year ecosystem services supply in conservation contexts in north-eastern Madagascar: Trade-offs between global demands and local needs","title-short":"Year-to-year ecosystem services supply in conservation contexts in north-eastern Madagascar","volume":"48","author":[{"family":"Llopis","given":"Jorge C."},{"family":"Chastonay","given":"Jonas F."},{"family":"Birrer","given":"Franziska C."},{"family":"Bär","given":"Roger"},{"family":"Andriatsitohaina","given":"R. Ntsiva N."},{"family":"Messerli","given":"Peter"},{"family":"Heinimann","given":"Andreas"},{"family":"Zaehringer","given":"Julie G."}],"issued":{"date-parts":[["2021",4,1]]}}}],"schema":"https://github.com/citation-style-language/schema/raw/master/csl-citation.json"} </w:instrText>
      </w:r>
      <w:r w:rsidR="00981FFA" w:rsidRPr="0028351B">
        <w:rPr>
          <w:rFonts w:eastAsia="Calibri" w:cs="Calibri"/>
        </w:rPr>
        <w:fldChar w:fldCharType="separate"/>
      </w:r>
      <w:r w:rsidR="00EC2F18" w:rsidRPr="00EC2F18">
        <w:rPr>
          <w:rFonts w:cs="Segoe UI"/>
          <w:vertAlign w:val="superscript"/>
        </w:rPr>
        <w:t>5,8</w:t>
      </w:r>
      <w:r w:rsidR="00981FFA" w:rsidRPr="0028351B">
        <w:rPr>
          <w:rFonts w:eastAsia="Calibri" w:cs="Calibri"/>
        </w:rPr>
        <w:fldChar w:fldCharType="end"/>
      </w:r>
      <w:r w:rsidRPr="0028351B">
        <w:rPr>
          <w:rFonts w:eastAsia="Calibri" w:cs="Calibri"/>
        </w:rPr>
        <w:t xml:space="preserve">. </w:t>
      </w:r>
      <w:r w:rsidRPr="00870297">
        <w:rPr>
          <w:rFonts w:eastAsia="Calibri" w:cs="Calibri"/>
        </w:rPr>
        <w:t xml:space="preserve">In most cases the struggles to bring in other forms </w:t>
      </w:r>
      <w:r w:rsidRPr="00D12E50">
        <w:rPr>
          <w:rFonts w:eastAsia="Calibri" w:cs="Calibri"/>
        </w:rPr>
        <w:t xml:space="preserve">of non-scientific evidence parallel barriers that exist against qualitative social science approaches, particularly participatory and arts-based forms </w:t>
      </w:r>
      <w:r w:rsidR="005B3AD8" w:rsidRPr="00D12E50">
        <w:rPr>
          <w:rFonts w:eastAsia="Calibri" w:cs="Calibri"/>
        </w:rPr>
        <w:fldChar w:fldCharType="begin"/>
      </w:r>
      <w:r w:rsidR="00EC2F18">
        <w:rPr>
          <w:rFonts w:eastAsia="Calibri" w:cs="Calibri"/>
        </w:rPr>
        <w:instrText xml:space="preserve"> ADDIN ZOTERO_ITEM CSL_CITATION {"citationID":"VbtEiyLf","properties":{"unsorted":false,"formattedCitation":"\\super 9,10\\nosupersub{}","plainCitation":"9,10","noteIndex":0},"citationItems":[{"id":20241,"uris":["http://zotero.org/users/19783099/items/P2UVN5B5"],"itemData":{"id":20241,"type":"article-journal","abstract":"Global change processes are increasing their pace and reach, leading to telecoupled situations, where distant factors come to outpace local determinants of land use change. Often, these dynamics drive agricultural intensification processes, with as yet unclear implications for the well-being of human populations living in the areas affected. This study explores how two key telecoupling dynamics affect local well-being in the biodiversity hotspot of Madagascar. It focuses on forest frontier landscapes, which are undergoing processes of agricultural intensification as a consequence of distant factors. Concretely, we look at how the recent establishment of two, largely externally funded, terrestrial protected areas, Masoala National Park and Makira Natural Park, and the ongoing price boom for two export cash crops, vanilla and clove, have influenced the well-being of local populations in the country’s north-east. We present data from eight focus group discussions conducted in four villages located on the periphery of the two protected areas. Drawing on the ‘capabilities approach’, we identify the key components of the local understanding of well-being, lay out the interconnections between these components, and explore how the two telecoupling processes explored affect well-being dynamics. Our findings reveal that well-being components present bundle characteristics, where increases or decreases in one component lead to parallel increases or decreases in a set of them. We further ascertain that telecoupling processes might lead to trade-offs between well-being components. These findings highlight the need for a holistic understanding of human well-being when planning protected areas, and when designing governance mechanisms to steer local landscapes under intense cash crop price fluctuations towards sustainable outcomes.","container-title":"Frontiers in Sustainable Food Systems","DOI":"10.3389/fsufs.2019.00126","ISSN":"2571-581X","journalAbbreviation":"Front. Sustain. Food Syst.","language":"English","publisher":"Frontiers","source":"Frontiers","title":"Capabilities Under Telecoupling: Human Well-Being Between Cash Crops and Protected Areas in North-Eastern Madagascar","title-short":"Capabilities Under Telecoupling","URL":"https://www.frontiersin.org/journals/sustainable-food-systems/articles/10.3389/fsufs.2019.00126/full","volume":"3","author":[{"family":"Llopis","given":"Jorge C."},{"family":"Diebold","given":"Clara L."},{"family":"Schneider","given":"Flurina"},{"family":"Harimalala","given":"Paul C."},{"family":"Patrick","given":"Laby"},{"family":"Messerli","given":"Peter"},{"family":"Zaehringer","given":"Julie G."}],"accessed":{"date-parts":[["2026",3,25]]},"issued":{"date-parts":[["2020",1,21]]}}},{"id":20317,"uris":["http://zotero.org/users/19783099/items/TY9I7MTY"],"itemData":{"id":20317,"type":"article-journal","abstract":"More examples of positive and negative outcomes of community-based conservation initiatives aimed at benefit sharing are surfacing globally, and there is increasing interest in who wins and who loses at multiple scales. However, the term “benefit sharing” is not well defined in the context of protected areas, hindering the effective implementation thereof. We define benefit sharing as the process of making informed and fair trade-offs between social, economic, and ecological costs and benefits within and between stakeholder groups, and between stakeholders and the natural environment. We explore identifying appropriate benefits in certain contexts and monitoring benefit sharing initiatives using relevant qualitative and quantitative indicators. Finally, we use an illustrative case study of mopane worm harvesting from the Kruger National Park in South Africa to explore how benefit sharing as defined in the article can be implemented using a strategic adaptive management approach during the planning, assessment, and reporting phases.","container-title":"Society &amp; Natural Resources","DOI":"10.1080/08941920.2014.945055","ISSN":"0894-1920","issue":"1","note":"_eprint: https://doi.org/10.1080/08941920.2014.945055","page":"4-20","publisher":"Routledge","source":"Taylor and Francis+NEJM","title":"Toward More Effective Benefit Sharing in South African National Parks","volume":"28","author":[{"family":"Swemmer","given":"Louise"},{"family":"Grant","given":"Rina"},{"family":"Annecke","given":"Wendy"},{"family":"Freitag-Ronaldson","given":"Stefanie"}],"issued":{"date-parts":[["2015",1,2]]}}}],"schema":"https://github.com/citation-style-language/schema/raw/master/csl-citation.json"} </w:instrText>
      </w:r>
      <w:r w:rsidR="005B3AD8" w:rsidRPr="00D12E50">
        <w:rPr>
          <w:rFonts w:eastAsia="Calibri" w:cs="Calibri"/>
        </w:rPr>
        <w:fldChar w:fldCharType="separate"/>
      </w:r>
      <w:r w:rsidR="00EC2F18" w:rsidRPr="00EC2F18">
        <w:rPr>
          <w:rFonts w:cs="Segoe UI"/>
          <w:vertAlign w:val="superscript"/>
        </w:rPr>
        <w:t>9,10</w:t>
      </w:r>
      <w:r w:rsidR="005B3AD8" w:rsidRPr="00D12E50">
        <w:rPr>
          <w:rFonts w:eastAsia="Calibri" w:cs="Calibri"/>
        </w:rPr>
        <w:fldChar w:fldCharType="end"/>
      </w:r>
      <w:r w:rsidR="00D12E50" w:rsidRPr="00D12E50">
        <w:rPr>
          <w:rFonts w:eastAsia="Calibri" w:cs="Calibri"/>
        </w:rPr>
        <w:t>.</w:t>
      </w:r>
    </w:p>
    <w:p w14:paraId="261B11C4" w14:textId="41D0A072" w:rsidR="005240BE" w:rsidRDefault="00292AAA" w:rsidP="19FC05BD">
      <w:pPr>
        <w:pStyle w:val="Heading2"/>
        <w:numPr>
          <w:ilvl w:val="0"/>
          <w:numId w:val="0"/>
        </w:numPr>
        <w:jc w:val="left"/>
      </w:pPr>
      <w:r>
        <w:t>7.3</w:t>
      </w:r>
      <w:r w:rsidR="005240BE">
        <w:t xml:space="preserve"> Focus on locally relevant financial mechanisms, incentives, safety nets and land security </w:t>
      </w:r>
    </w:p>
    <w:p w14:paraId="7785442C" w14:textId="7342DD31" w:rsidR="005240BE" w:rsidRPr="00EB21CA" w:rsidRDefault="005240BE" w:rsidP="005240BE">
      <w:pPr>
        <w:rPr>
          <w:rFonts w:eastAsia="Calibri" w:cs="Calibri"/>
        </w:rPr>
      </w:pPr>
      <w:r>
        <w:t>NbS funding should focus on building on and strengthening social networks and institutions at a local level</w:t>
      </w:r>
      <w:r w:rsidR="005B56EA">
        <w:t xml:space="preserve">. </w:t>
      </w:r>
      <w:r>
        <w:rPr>
          <w:rFonts w:eastAsia="Calibri" w:cs="Calibri"/>
        </w:rPr>
        <w:t>This includes</w:t>
      </w:r>
      <w:r w:rsidRPr="00B62348">
        <w:rPr>
          <w:rFonts w:eastAsia="Calibri" w:cs="Calibri"/>
        </w:rPr>
        <w:t xml:space="preserve"> exploring which financial management and mechanisms work to promote and sustain NbS at </w:t>
      </w:r>
      <w:r w:rsidR="1E1751BE" w:rsidRPr="1E1751BE">
        <w:rPr>
          <w:rFonts w:eastAsia="Calibri" w:cs="Calibri"/>
        </w:rPr>
        <w:t>this</w:t>
      </w:r>
      <w:r w:rsidRPr="00B62348">
        <w:rPr>
          <w:rFonts w:eastAsia="Calibri" w:cs="Calibri"/>
        </w:rPr>
        <w:t xml:space="preserve"> level </w:t>
      </w:r>
      <w:r w:rsidR="005B56EA">
        <w:fldChar w:fldCharType="begin"/>
      </w:r>
      <w:r w:rsidR="00EC2F18">
        <w:instrText xml:space="preserve"> ADDIN ZOTERO_ITEM CSL_CITATION {"citationID":"mVOZ9Oc3","properties":{"unsorted":false,"formattedCitation":"\\super 11\\nosupersub{}","plainCitation":"11","noteIndex":0},"citationItems":[{"id":20247,"uris":["http://zotero.org/users/19783099/items/HDXKSRZP"],"itemData":{"id":20247,"type":"article-journal","abstract":"This study evaluates the efficacy of Improved Forest Management for Sustainable Livelihoods Program in communities adjacent to Mua-Livulezi Forest Reserve, Malawi. The program is specifically aimed at alleviating poverty and enhance rural livelihoods through promoting greater community involvement in forest management while providing access and associated benefits. The study therefore evaluated the effect of the program on community organisation, forest access, forest use, product availability and commercialisation of forest products. The results show that despite the program putting in place strategies for the people to access different products for different uses; forest use is restricted mainly to subsistence use rather than cash income. The main forest product collected by the people for livelihood was firewood, mainly for cooking and heating. This is an indication that forests are an important natural capital for subsistence rather than cash income. Gender, location of the village, and distance to the nearest forest area were significant predictors of households’ forest use. Introduction of the co-management program has not brought out the expected outcomes in areas of community organization, forest access, forest product availability and commercialisation of forest products. A multi-institutional approach is recommended to draw upon diverse talents and experiences from individual institutions both government and non-governmental in order to achieve meaningful social change.","container-title":"Agroforestry Systems","DOI":"10.1007/s10457-015-9826-6","ISSN":"1572-9680","issue":"4","journalAbbreviation":"Agroforest Syst","language":"en","page":"691-710","source":"Springer Link","title":"Does participatory forest management program lead to efficient forest resource use and improved rural livelihoods? Experiences from Mua-Livulezi Forest Reserve, Malawi","title-short":"Does participatory forest management program lead to efficient forest resource use and improved rural livelihoods?","volume":"90","author":[{"family":"Senganimalunje","given":"T. C."},{"family":"Chirwa","given":"P. W."},{"family":"Babalola","given":"F. D."},{"family":"Graham","given":"M. A."}],"issued":{"date-parts":[["2016",8,1]]}}}],"schema":"https://github.com/citation-style-language/schema/raw/master/csl-citation.json"} </w:instrText>
      </w:r>
      <w:r w:rsidR="005B56EA">
        <w:fldChar w:fldCharType="separate"/>
      </w:r>
      <w:r w:rsidR="00EC2F18" w:rsidRPr="00EC2F18">
        <w:rPr>
          <w:rFonts w:cs="Segoe UI"/>
          <w:vertAlign w:val="superscript"/>
        </w:rPr>
        <w:t>11</w:t>
      </w:r>
      <w:r w:rsidR="005B56EA">
        <w:fldChar w:fldCharType="end"/>
      </w:r>
      <w:r w:rsidR="005B56EA">
        <w:t>.</w:t>
      </w:r>
      <w:r w:rsidR="005B56EA">
        <w:rPr>
          <w:rFonts w:eastAsia="Calibri" w:cs="Calibri"/>
        </w:rPr>
        <w:t xml:space="preserve"> </w:t>
      </w:r>
      <w:r w:rsidRPr="00B62348">
        <w:rPr>
          <w:rFonts w:eastAsia="Calibri" w:cs="Calibri"/>
        </w:rPr>
        <w:t>Here insurance and safety nets need to be actively considered within NbS design to ensure that those involved have a buffer during unpredictable extremes</w:t>
      </w:r>
      <w:r w:rsidR="004012AD">
        <w:rPr>
          <w:rFonts w:eastAsia="Calibri" w:cs="Calibri"/>
        </w:rPr>
        <w:t xml:space="preserve"> </w:t>
      </w:r>
      <w:r w:rsidR="004012AD">
        <w:rPr>
          <w:rFonts w:eastAsia="Calibri" w:cs="Calibri"/>
        </w:rPr>
        <w:fldChar w:fldCharType="begin"/>
      </w:r>
      <w:r w:rsidR="00EC2F18">
        <w:rPr>
          <w:rFonts w:eastAsia="Calibri" w:cs="Calibri"/>
        </w:rPr>
        <w:instrText xml:space="preserve"> ADDIN ZOTERO_ITEM CSL_CITATION {"citationID":"y7FUlJsS","properties":{"unsorted":false,"formattedCitation":"\\super 12\\nosupersub{}","plainCitation":"12","noteIndex":0},"citationItems":[{"id":20309,"uris":["http://zotero.org/users/19783099/items/N2ZCA57W"],"itemData":{"id":20309,"type":"article-journal","abstract":"Climate change poses a serious risk to the economic growth of sub-Saharan Africa. Sustainable enhancement of resilience and mitigation capacity of small farm households is a major political economy goal. This paper has the objective to assess the on-farm economic and mitigation benefits of climate-smart agriculture production and their cost-effectiveness to be used as a prioritization criterion for policy incentives. An interdisciplinary model which integrates elements of economics and ecological science at farm-scale is developed and applied using a unique dataset for Malawi and Zambia built through household surveys. Results show that switching from conventional to climate-smart farming enhances economic returns more significantly in semi-dry areas than in sub-humid ones. However, high up-front costs hinder technology adoption. Negative abatement costs for most smart farming options indicate synergies between livelihood enhancement and mitigation. Land management based on minimum tillage, crop residues incorporation, use of cover crops, and inclusion of legumes has relatively higher economic returns. Agroforestry provides lower economic returns but the highest emission abatement potential. Payments for mitigation benefits could be a management strategy to incentivize cleaner agriculture production if tailored appropriately. These results strengthen the case for public support to climate-smart agriculture scaling-up within policy and planning strategies.","container-title":"Journal of Cleaner Production","DOI":"10.1016/j.jclepro.2020.125161","ISSN":"0959-6526","journalAbbreviation":"Journal of Cleaner Production","page":"125161","source":"ScienceDirect","title":"Assessing the economic and mitigation benefits of climate-smart agriculture and its implications for political economy: A case study in Southern Africa","title-short":"Assessing the economic and mitigation benefits of climate-smart agriculture and its implications for political economy","volume":"285","author":[{"family":"Branca","given":"Giacomo"},{"family":"Arslan","given":"Aslihan"},{"family":"Paolantonio","given":"Adriana"},{"family":"Grewer","given":"Uwe"},{"family":"Cattaneo","given":"Andrea"},{"family":"Cavatassi","given":"Romina"},{"family":"Lipper","given":"Leslie"},{"family":"Hillier","given":"Jonathan"},{"family":"Vetter","given":"Sylvia"}],"issued":{"date-parts":[["2021",2,20]]}}}],"schema":"https://github.com/citation-style-language/schema/raw/master/csl-citation.json"} </w:instrText>
      </w:r>
      <w:r w:rsidR="004012AD">
        <w:rPr>
          <w:rFonts w:eastAsia="Calibri" w:cs="Calibri"/>
        </w:rPr>
        <w:fldChar w:fldCharType="separate"/>
      </w:r>
      <w:r w:rsidR="00EC2F18" w:rsidRPr="00EC2F18">
        <w:rPr>
          <w:rFonts w:cs="Segoe UI"/>
          <w:vertAlign w:val="superscript"/>
        </w:rPr>
        <w:t>12</w:t>
      </w:r>
      <w:r w:rsidR="004012AD">
        <w:rPr>
          <w:rFonts w:eastAsia="Calibri" w:cs="Calibri"/>
        </w:rPr>
        <w:fldChar w:fldCharType="end"/>
      </w:r>
      <w:r w:rsidR="004012AD">
        <w:rPr>
          <w:rFonts w:eastAsia="Calibri" w:cs="Calibri"/>
        </w:rPr>
        <w:t xml:space="preserve">. </w:t>
      </w:r>
      <w:r w:rsidRPr="00B62348">
        <w:rPr>
          <w:rFonts w:eastAsia="Calibri" w:cs="Calibri"/>
        </w:rPr>
        <w:t>Monetary incentives can sometimes be critically important alongside non-rival and non-excludable NbS benefits</w:t>
      </w:r>
      <w:r w:rsidR="1E1751BE" w:rsidRPr="1E1751BE">
        <w:rPr>
          <w:rFonts w:eastAsia="Calibri" w:cs="Calibri"/>
        </w:rPr>
        <w:t>, and</w:t>
      </w:r>
      <w:r w:rsidRPr="00B62348">
        <w:rPr>
          <w:rFonts w:eastAsia="Calibri" w:cs="Calibri"/>
        </w:rPr>
        <w:t xml:space="preserve"> NbS should find innovative ways to </w:t>
      </w:r>
      <w:r>
        <w:rPr>
          <w:rFonts w:eastAsia="Calibri" w:cs="Calibri"/>
        </w:rPr>
        <w:t>integrate these</w:t>
      </w:r>
      <w:r w:rsidRPr="00B62348">
        <w:rPr>
          <w:rFonts w:eastAsia="Calibri" w:cs="Calibri"/>
        </w:rPr>
        <w:t xml:space="preserve"> </w:t>
      </w:r>
      <w:r w:rsidR="004012AD">
        <w:rPr>
          <w:rFonts w:eastAsia="Calibri" w:cs="Calibri"/>
        </w:rPr>
        <w:fldChar w:fldCharType="begin"/>
      </w:r>
      <w:r w:rsidR="00EC2F18">
        <w:rPr>
          <w:rFonts w:eastAsia="Calibri" w:cs="Calibri"/>
        </w:rPr>
        <w:instrText xml:space="preserve"> ADDIN ZOTERO_ITEM CSL_CITATION {"citationID":"wmgkyTVL","properties":{"unsorted":false,"formattedCitation":"\\super 13,14\\nosupersub{}","plainCitation":"13,14","noteIndex":0},"citationItems":[{"id":20251,"uris":["http://zotero.org/users/19783099/items/D6WUUGXZ"],"itemData":{"id":20251,"type":"article-journal","abstract":"Focusing on incentive schemes that induce participation in land-use activities to supply environmental services, this paper examines the potential impacts of REDD+ on livelihoods, in particular with respect to incomes and poverty alleviation. Two case studies, each at a different scale, are presented. First, the N’hambita Community Carbon Project in Mozambique, a REDD+ project, promoted agro-forestry and reforestation activities along with alternative livelihoods. Second, the Sloping Lands Conversion Programme (SLCP) in China is a national-level reforestation scheme to supply watershed services. Impacts on the poor are addressed through the ‘lens’ of a rural household allocating its labour supply to different income sources. Four aspects of REDD+ policy are discussed: the incentives necessary for ensuring the cost-effective, long-run sustainability of both carbon sinks and incomes; the implications for forest conservation, in particular biodiversity; the need for scaling up carbon sequestration activities in order to minimise carbon leakage; and, the possibilities to maximise the participation of the poor and alleviate poverty. Finally, the paper highlights the importance of using appropriate methodologies for correct evaluation of policy impacts on incomes.","collection-title":"REDD+ and conservation","container-title":"Biological Conservation","DOI":"10.1016/j.biocon.2012.03.002","ISSN":"0006-3207","journalAbbreviation":"Biological Conservation","page":"42-52","source":"ScienceDirect","title":"REDD+ and rural livelihoods","volume":"154","author":[{"family":"Groom","given":"Ben"},{"family":"Palmer","given":"Charles"}],"issued":{"date-parts":[["2012",10,1]]}}},{"id":20331,"uris":["http://zotero.org/users/19783099/items/YFPT8CNE"],"itemData":{"id":20331,"type":"article-journal","abstract":"Community-based conservation interventions can only be successful in the long term if their aims and activities are accepted by local people. A key determinant of acceptability is the perceived fairness of the distribution of the costs and benefits of the intervention. We examined the opportunities and challenges posed by benefit distribution in community-based Payment for Environmental Services (PES) interventions through a case study from Menabe, Madagascar. The intervention appears to be an overall success, with individuals reporting high levels of perceived fairness of payment distribution and a high proportion of individuals expressing overall net benefit. Nevertheless, a lack of adequate benefits accruing to those individuals facing high agricultural opportunity costs and evidence of sub-groups in the community reaping excessive benefits was noted across communities, and instances of poor governance were observed as a barrier to success in some communities. We present solutions to address these key challenges in the design and implementation of community-based PES interventions.","collection-title":"Special Section - Payments for Environmental Services: Reconciling Theory and Practice","container-title":"Ecological Economics","DOI":"10.1016/j.ecolecon.2009.11.005","ISSN":"0921-8009","issue":"6","journalAbbreviation":"Ecological Economics","page":"1262-1271","source":"ScienceDirect","title":"The role of fairness and benefit distribution in community-based Payment for Environmental Services interventions: A case study from Menabe, Madagascar","title-short":"The role of fairness and benefit distribution in community-based Payment for Environmental Services interventions","volume":"69","author":[{"family":"Sommerville","given":"Matthew"},{"family":"Jones","given":"Julia P. G."},{"family":"Rahajaharison","given":"Michael"},{"family":"Milner-Gulland","given":"E. J."}],"issued":{"date-parts":[["2010",4,1]]}}}],"schema":"https://github.com/citation-style-language/schema/raw/master/csl-citation.json"} </w:instrText>
      </w:r>
      <w:r w:rsidR="004012AD">
        <w:rPr>
          <w:rFonts w:eastAsia="Calibri" w:cs="Calibri"/>
        </w:rPr>
        <w:fldChar w:fldCharType="separate"/>
      </w:r>
      <w:r w:rsidR="00EC2F18" w:rsidRPr="00EC2F18">
        <w:rPr>
          <w:rFonts w:cs="Segoe UI"/>
          <w:vertAlign w:val="superscript"/>
        </w:rPr>
        <w:t>13,14</w:t>
      </w:r>
      <w:r w:rsidR="004012AD">
        <w:rPr>
          <w:rFonts w:eastAsia="Calibri" w:cs="Calibri"/>
        </w:rPr>
        <w:fldChar w:fldCharType="end"/>
      </w:r>
      <w:r w:rsidR="003B707A">
        <w:rPr>
          <w:rFonts w:eastAsia="Calibri" w:cs="Calibri"/>
        </w:rPr>
        <w:t xml:space="preserve">. </w:t>
      </w:r>
      <w:r w:rsidRPr="005230A3">
        <w:rPr>
          <w:rFonts w:eastAsia="Calibri" w:cs="Calibri"/>
        </w:rPr>
        <w:t xml:space="preserve">Incentives must be sufﬁcient and appropriate to </w:t>
      </w:r>
      <w:r>
        <w:rPr>
          <w:rFonts w:eastAsia="Calibri" w:cs="Calibri"/>
        </w:rPr>
        <w:t xml:space="preserve">support adoption and </w:t>
      </w:r>
      <w:r w:rsidRPr="005230A3">
        <w:rPr>
          <w:rFonts w:eastAsia="Calibri" w:cs="Calibri"/>
        </w:rPr>
        <w:t xml:space="preserve">maintain participation over the medium to long term </w:t>
      </w:r>
      <w:r w:rsidR="005233B2">
        <w:rPr>
          <w:rFonts w:eastAsia="Calibri" w:cs="Calibri"/>
        </w:rPr>
        <w:fldChar w:fldCharType="begin"/>
      </w:r>
      <w:r w:rsidR="00EC2F18">
        <w:rPr>
          <w:rFonts w:eastAsia="Calibri" w:cs="Calibri"/>
        </w:rPr>
        <w:instrText xml:space="preserve"> ADDIN ZOTERO_ITEM CSL_CITATION {"citationID":"1setYXO5","properties":{"unsorted":false,"formattedCitation":"\\super 15\\nosupersub{}","plainCitation":"15","noteIndex":0},"citationItems":[{"id":20253,"uris":["http://zotero.org/users/19783099/items/NZI3G36L"],"itemData":{"id":20253,"type":"article-journal","abstract":"Incentives are key to attracting and maintaining participation in community based natural resource management (CBNRM) initiatives. However, incentives cannot work if people do not know about them, if they are inappropriate or if they are delivered in insufficient quantities. In southern African CBNRM initiatives, many incentives are offered, particularly jobs and community income from hunting and photographic tourism activities. There is a need to assess – jointly – residents’ knowledge and perceptions of these incentives and their actual delivery to determine whether they are likely to be effective in sustaining participation in CBNRM activities over the long run. This paper reports the results of just such an assessment at two CBNRM sites, the Tchuma Tchato project in Mozambique and Kwandu Conservancy in Namibia. While different types of benefits were delivered at both sites, they were largely of low value and low in volume. It appears that the incentives offered are not inappropriate, but are insufficient – too few people benefit directly and the level of benefits is generally too small. Further, a large minority of households feel benefits have been inequitably distributed and that the direct costs of living with wildlife have been ineffectively addressed. These issues should be viewed as potentially serious challenges to maintaining local participation in CBNRM activities in the long run.","collection-title":"Themed Issue 1-Guest Editor Romy GreinerThemed Issue 2- Guest Editor Davide Viaggi","container-title":"Land Use Policy","DOI":"10.1016/j.landusepol.2012.08.008","ISSN":"0264-8377","journalAbbreviation":"Land Use Policy","page":"441-449","source":"ScienceDirect","title":"The effectiveness of economic incentives for sustaining community based natural resource management","volume":"31","author":[{"family":"Suich","given":"Helen"}],"issued":{"date-parts":[["2013",3,1]]}}}],"schema":"https://github.com/citation-style-language/schema/raw/master/csl-citation.json"} </w:instrText>
      </w:r>
      <w:r w:rsidR="005233B2">
        <w:rPr>
          <w:rFonts w:eastAsia="Calibri" w:cs="Calibri"/>
        </w:rPr>
        <w:fldChar w:fldCharType="separate"/>
      </w:r>
      <w:r w:rsidR="00EC2F18" w:rsidRPr="00EC2F18">
        <w:rPr>
          <w:rFonts w:cs="Segoe UI"/>
          <w:vertAlign w:val="superscript"/>
        </w:rPr>
        <w:t>15</w:t>
      </w:r>
      <w:r w:rsidR="005233B2">
        <w:rPr>
          <w:rFonts w:eastAsia="Calibri" w:cs="Calibri"/>
        </w:rPr>
        <w:fldChar w:fldCharType="end"/>
      </w:r>
      <w:r w:rsidR="005233B2">
        <w:rPr>
          <w:rFonts w:eastAsia="Calibri" w:cs="Calibri"/>
        </w:rPr>
        <w:t xml:space="preserve">. </w:t>
      </w:r>
      <w:r w:rsidRPr="00067716">
        <w:t>Land security is equally important to ensure that those who invest in NbS can retain the benefits and</w:t>
      </w:r>
      <w:r w:rsidR="1E1751BE">
        <w:t>,</w:t>
      </w:r>
      <w:r w:rsidRPr="00067716">
        <w:t xml:space="preserve"> where this cannot be guaranteed, alternative measures should support those who may lose land after benefits accrue</w:t>
      </w:r>
      <w:r w:rsidR="005233B2">
        <w:t xml:space="preserve"> </w:t>
      </w:r>
      <w:r w:rsidR="00774B79">
        <w:fldChar w:fldCharType="begin"/>
      </w:r>
      <w:r w:rsidR="00EC2F18">
        <w:instrText xml:space="preserve"> ADDIN ZOTERO_ITEM CSL_CITATION {"citationID":"cpqLLlj3","properties":{"unsorted":false,"formattedCitation":"\\super 12\\nosupersub{}","plainCitation":"12","noteIndex":0},"citationItems":[{"id":20309,"uris":["http://zotero.org/users/19783099/items/N2ZCA57W"],"itemData":{"id":20309,"type":"article-journal","abstract":"Climate change poses a serious risk to the economic growth of sub-Saharan Africa. Sustainable enhancement of resilience and mitigation capacity of small farm households is a major political economy goal. This paper has the objective to assess the on-farm economic and mitigation benefits of climate-smart agriculture production and their cost-effectiveness to be used as a prioritization criterion for policy incentives. An interdisciplinary model which integrates elements of economics and ecological science at farm-scale is developed and applied using a unique dataset for Malawi and Zambia built through household surveys. Results show that switching from conventional to climate-smart farming enhances economic returns more significantly in semi-dry areas than in sub-humid ones. However, high up-front costs hinder technology adoption. Negative abatement costs for most smart farming options indicate synergies between livelihood enhancement and mitigation. Land management based on minimum tillage, crop residues incorporation, use of cover crops, and inclusion of legumes has relatively higher economic returns. Agroforestry provides lower economic returns but the highest emission abatement potential. Payments for mitigation benefits could be a management strategy to incentivize cleaner agriculture production if tailored appropriately. These results strengthen the case for public support to climate-smart agriculture scaling-up within policy and planning strategies.","container-title":"Journal of Cleaner Production","DOI":"10.1016/j.jclepro.2020.125161","ISSN":"0959-6526","journalAbbreviation":"Journal of Cleaner Production","page":"125161","source":"ScienceDirect","title":"Assessing the economic and mitigation benefits of climate-smart agriculture and its implications for political economy: A case study in Southern Africa","title-short":"Assessing the economic and mitigation benefits of climate-smart agriculture and its implications for political economy","volume":"285","author":[{"family":"Branca","given":"Giacomo"},{"family":"Arslan","given":"Aslihan"},{"family":"Paolantonio","given":"Adriana"},{"family":"Grewer","given":"Uwe"},{"family":"Cattaneo","given":"Andrea"},{"family":"Cavatassi","given":"Romina"},{"family":"Lipper","given":"Leslie"},{"family":"Hillier","given":"Jonathan"},{"family":"Vetter","given":"Sylvia"}],"issued":{"date-parts":[["2021",2,20]]}}}],"schema":"https://github.com/citation-style-language/schema/raw/master/csl-citation.json"} </w:instrText>
      </w:r>
      <w:r w:rsidR="00774B79">
        <w:fldChar w:fldCharType="separate"/>
      </w:r>
      <w:r w:rsidR="00EC2F18" w:rsidRPr="00EC2F18">
        <w:rPr>
          <w:rFonts w:cs="Segoe UI"/>
          <w:vertAlign w:val="superscript"/>
        </w:rPr>
        <w:t>12</w:t>
      </w:r>
      <w:r w:rsidR="00774B79">
        <w:fldChar w:fldCharType="end"/>
      </w:r>
      <w:r w:rsidR="00774B79">
        <w:t xml:space="preserve">. </w:t>
      </w:r>
      <w:r>
        <w:rPr>
          <w:rFonts w:eastAsia="Calibri" w:cs="Calibri"/>
        </w:rPr>
        <w:t xml:space="preserve">There should be a </w:t>
      </w:r>
      <w:r w:rsidRPr="00F963DC">
        <w:rPr>
          <w:rFonts w:eastAsia="Calibri" w:cs="Calibri"/>
        </w:rPr>
        <w:t xml:space="preserve">focus on polices and economic structures that can accommodate small-scale farm models including home and communal vegetable gardens and small-scale crop fields </w:t>
      </w:r>
      <w:r w:rsidR="00137F88">
        <w:rPr>
          <w:rFonts w:eastAsia="Calibri" w:cs="Calibri"/>
        </w:rPr>
        <w:fldChar w:fldCharType="begin"/>
      </w:r>
      <w:r w:rsidR="00EC2F18">
        <w:rPr>
          <w:rFonts w:eastAsia="Calibri" w:cs="Calibri"/>
        </w:rPr>
        <w:instrText xml:space="preserve"> ADDIN ZOTERO_ITEM CSL_CITATION {"citationID":"5xKsl60R","properties":{"unsorted":false,"formattedCitation":"\\super 16\\nosupersub{}","plainCitation":"16","noteIndex":0},"citationItems":[{"id":20220,"uris":["http://zotero.org/users/19783099/items/ATFKGQXJ"],"itemData":{"id":20220,"type":"article-journal","abstract":"South Africa is unique in that its globally significant biodiversity, which is under significant threat, coexists with an apartheid history of dispossession that produced a starkly unequal land ownership pattern and widespread rural poverty. It is in this context that the post-apartheid government must fulfil constitutional and international obligations to safeguard environmental assets as well as undertake land reform benefiting the previously dispossessed. Consequently, there is a continuous challenge of reconciling complex and often conflicting relationships between poverty, inequitable access to resources, and the protection of biodiversity. Current efforts to conserve the Cape Floral Kingdom emphasize partnerships between private landowners and existing nature reserves to promote sustainable utilisation of biodiversity. This paper presents a case study exploring how this approach might be reconciled with land rights and opportunities for land-based livelihoods among farm dwellers in the Baviaanskloof area of the Eastern Cape. The paper identifies systemic and structural tensions in current attempts to reconcile biodiversity conservation and farm dwellers’ interests, and documents issues of process and principle that could become important in the future. In doing so, it highlights the influence of on-farm power relations and overly complex institutional arrangements in determining the real extent of participation by affected farm dwellers and the efficacy of social safeguard policies. Findings also caution against an over-reliance on ecotourism as the major occupation and the paper argues instead for support for multiple livelihood strategies.","container-title":"Geoforum","DOI":"10.1016/j.geoforum.2006.07.002","ISSN":"0016-7185","issue":"6","journalAbbreviation":"Geoforum","page":"1035-1045","source":"ScienceDirect","title":"Biodiversity conservation and land rights in South Africa: Whither the farm dwellers?","title-short":"Biodiversity conservation and land rights in South Africa","volume":"37","author":[{"family":"Crane","given":"Wendy"}],"issued":{"date-parts":[["2006",11,1]]}}}],"schema":"https://github.com/citation-style-language/schema/raw/master/csl-citation.json"} </w:instrText>
      </w:r>
      <w:r w:rsidR="00137F88">
        <w:rPr>
          <w:rFonts w:eastAsia="Calibri" w:cs="Calibri"/>
        </w:rPr>
        <w:fldChar w:fldCharType="separate"/>
      </w:r>
      <w:r w:rsidR="00EC2F18" w:rsidRPr="00EC2F18">
        <w:rPr>
          <w:rFonts w:cs="Segoe UI"/>
          <w:vertAlign w:val="superscript"/>
        </w:rPr>
        <w:t>16</w:t>
      </w:r>
      <w:r w:rsidR="00137F88">
        <w:rPr>
          <w:rFonts w:eastAsia="Calibri" w:cs="Calibri"/>
        </w:rPr>
        <w:fldChar w:fldCharType="end"/>
      </w:r>
      <w:r w:rsidR="00EB21CA">
        <w:rPr>
          <w:rFonts w:eastAsia="Calibri" w:cs="Calibri"/>
        </w:rPr>
        <w:t xml:space="preserve">. </w:t>
      </w:r>
      <w:r w:rsidRPr="00F963DC">
        <w:rPr>
          <w:rFonts w:eastAsia="Calibri" w:cs="Calibri"/>
        </w:rPr>
        <w:t xml:space="preserve">Short- or longer-term opportunity costs need to be explicitly </w:t>
      </w:r>
      <w:r w:rsidR="1E1751BE" w:rsidRPr="1E1751BE">
        <w:rPr>
          <w:rFonts w:eastAsia="Calibri" w:cs="Calibri"/>
        </w:rPr>
        <w:t>recognised.</w:t>
      </w:r>
      <w:r w:rsidRPr="00F963DC">
        <w:rPr>
          <w:rFonts w:eastAsia="Calibri" w:cs="Calibri"/>
        </w:rPr>
        <w:t xml:space="preserve"> If NbS aim to decrease natural resource use, there is a need to ensure that households can access affordable alternatives </w:t>
      </w:r>
      <w:r w:rsidR="00EB21CA">
        <w:rPr>
          <w:rFonts w:eastAsia="Calibri" w:cs="Calibri"/>
        </w:rPr>
        <w:fldChar w:fldCharType="begin"/>
      </w:r>
      <w:r w:rsidR="00EC2F18">
        <w:rPr>
          <w:rFonts w:eastAsia="Calibri" w:cs="Calibri"/>
        </w:rPr>
        <w:instrText xml:space="preserve"> ADDIN ZOTERO_ITEM CSL_CITATION {"citationID":"h4NQieol","properties":{"unsorted":false,"formattedCitation":"\\super 3,17\\uc0\\u8211{}20\\nosupersub{}","plainCitation":"3,17–20","noteIndex":0},"citationItems":[{"id":20249,"uris":["http://zotero.org/users/19783099/items/H48RXVBG"],"itemData":{"id":20249,"type":"article-journal","abstract":"We use case studies from Zimbabwe to illustrate the complexities that can undermine development efforts in semi-arid mixed farming areas. Livelihood improvement and micro-catchment management were considered in the context of portfolios of household activities. While technical and institutional interventions may strengthen safety nets, they did not appear to reduce poverty significantly. Managing common-pool resources and implementing the necessary institutional changes involved substantial and unsustainable transaction costs. Effective alleviation of poverty requires integrated, multi-tiered, and long-term interventions that expand economic opportunities and empower people to drive their own development.","container-title":"World Development","DOI":"10.1016/j.worlddev.2006.11.012","ISSN":"0305-750X","issue":"11","journalAbbreviation":"World Development","page":"1961-1974","source":"ScienceDirect","title":"In Search of Improved Rural Livelihoods in Semi-Arid Regions through Local Management of Natural Resources: Lessons from Case Studies in Zimbabwe","title-short":"In Search of Improved Rural Livelihoods in Semi-Arid Regions through Local Management of Natural Resources","volume":"35","author":[{"family":"Frost","given":"Peter"},{"family":"Campbell","given":"Bruce"},{"family":"Luckert","given":"Martin (marty)"},{"family":"Mutamba","given":"Manyewu"},{"family":"Mandondo","given":"Alois"},{"family":"Kozanayi","given":"Witness"}],"issued":{"date-parts":[["2007",11,1]]}}},{"id":20243,"uris":["http://zotero.org/users/19783099/items/QR2CFC4N"],"itemData":{"id":20243,"type":"article-journal","abstract":"Reducing Emissions from Deforestation and Degradation (REDD+) has been identified as a potentially cost-effective climate change mitigation strategy. The success of REDD+ in preventing deforestation and degradation in dry forests will depend partly on whether financial incentives for forest conservation can cover smallholders' opportunity costs of forgone uses of the forest. We therefore compared the opportunity costs of the main forest use activities (slash-and-burn agriculture or charcoal production) with potential benefits from the sale of carbon credits under REDD+ from a smallholder perspective for a case study in southwestern Madagascar. Calculations are based on an assessment of carbon stocks in the dry spiny forests as well as benefit and cost data from interviews with smallholders. To assess the risks and uncertainties associated with opportunity costs and the REDD+ benefits, we used a Monte Carlo modeling approach. We compare net present values for opportunity costs and potential community profits from REDD+ at discount rates of 5% and 20% over a project period of 25 years. Our results show that REDD+ community profits can outweigh the profits from charcoal production and the profits from slash-and-burn agriculture in 54–57% of the cases, despite opportunity costs being highly variable for both land uses. Charcoal production in particular has low opportunity costs as smallholders only engage in this activity when no other sources of income are available. The case study shows that potential REDD+ payments can provide sufficient financial incentives to preserve dry forests with low carbon stocks but relatively low opportunity costs of preservation.","container-title":"Forest Policy and Economics","DOI":"10.1016/j.forpol.2018.07.013","ISSN":"1389-9341","journalAbbreviation":"Forest Policy and Economics","page":"102-114","source":"ScienceDirect","title":"Opportunity costs of conserving a dry tropical forest under REDD+: The case of the spiny dry forest in southwestern Madagascar","title-short":"Opportunity costs of conserving a dry tropical forest under REDD+","volume":"95","author":[{"family":"Neudert","given":"Regina"},{"family":"Olschofsky","given":"Konstantin"},{"family":"Kübler","given":"Daniel"},{"family":"Prill","given":"Laura"},{"family":"Köhl","given":"Michael"},{"family":"Wätzold","given":"Frank"}],"issued":{"date-parts":[["2018",10,1]]}}},{"id":20362,"uris":["http://zotero.org/users/19783099/items/9A2HK74T"],"itemData":{"id":20362,"type":"article-journal","abstract":"Conservation Agriculture (CA) is a Sustainable Agricultural Intensification strategy based on minimum soil disturbance, permanent soil coverage by living or dead biomass, and diversification of crop rotations. We reviewed the literature on benefits, trade-offs, adoption and adaptation of CA in sub-Saharan Africa (SSA). While CA can improve soils and sustain crop yields, benefits are inconsistent and there are trade-offs with crop residue use, weeds and insect pests, labour demands and short-term yield penalties. Adoption rates by smallholders in sub-Saharan Africa are generally low. We hypothesize that underlying adoption constraints are 1) the magnitude of transformation of management practices required from farmers moving to CA, 2) the multiple inherent trade-offs associated with CA practices and 3) the incompatibility of CA practices to local conditions. We suggest CA adoption in SSA could be improved by focusing the promotion of CA to environments where it best fits, or by facilitating smallholders’ adaptation of the practices of CA to respond to their conditions and constraints. We, therefore, propose to move from Conservation Agriculture to Conservation Practices by: (A) identifying and overcoming locally important CA trade-offs through adaptations and complementary practices, and (B) finding farm-specific optimal combinations of practices in terms of feasibility and benefits.","container-title":"International Journal of Agricultural Sustainability","DOI":"10.1080/14735903.2020.1785734","ISSN":"1473-5903","issue":"5-6","note":"_eprint: https://doi.org/10.1080/14735903.2020.1785734","page":"437-455","publisher":"Taylor &amp; Francis","source":"Taylor and Francis+NEJM","title":"Adoption by adaptation: moving from Conservation Agriculture to conservation practices","title-short":"Adoption by adaptation","volume":"19","author":[{"family":"Rodenburg","given":"Jonne"},{"family":"Büchi","given":"Lucie"},{"family":"Haggar","given":"Jeremy"}],"issued":{"date-parts":[["2021",11,2]]}}},{"id":20233,"uris":["http://zotero.org/users/19783099/items/KFDC4ZC5"],"itemData":{"id":20233,"type":"article-journal","abstract":"Access, in reference to Ecosystem services (ES), is defined as the capacity to gain benefits from the environment. There has been a global shift in natural resource governance, particularly increased co-management of protected areas (PAs). Yet there has been little research on how this change may be affecting access to ES. We aim to fill this research gap by considering: (a) what ES are considered most important, (b) what factors are important in determining whether a person can access ES, and (c) how rules and regulations regarding ES access are decided and enforced. Qualitative and quantitative data were collected using questionnaires, focus groups and interviews with stakeholders in a case study PA in Madagascar, co-managed by local community associations (VOIs) and an NGO. Data analysis was framed around the IPBES framework and access factors. Respondents considered provisioning services most important, but also valued cultural and regulating services. Institutions and social identity had the largest impact on access to ES. VOI members and individuals who knew VOI committee members had greater access to ES than non-members. Findings show that co-management may be shifting ES access inequalities rather than reducing them, and we outline a number of challenges relating to PA co-management.","container-title":"Ecosystem Services","DOI":"10.1016/j.ecoser.2018.01.014","ISSN":"2212-0416","journalAbbreviation":"Ecosystem Services","page":"137-148","source":"ScienceDirect","title":"Changing governance, changing inequalities: Protected area co-management and access to forest ecosystem services: a Madagascar case study","title-short":"Changing governance, changing inequalities","volume":"30","author":[{"family":"Ward","given":"Caroline"},{"family":"Stringer","given":"Lindsay"},{"family":"Holmes","given":"George"}],"issued":{"date-parts":[["2018",4,1]]}}},{"id":20299,"uris":["http://zotero.org/users/19783099/items/P9IZ8XYK"],"itemData":{"id":20299,"type":"article-journal","abstract":"This study examines struggles to bring people back into protected forests to enhance sustainable forest management and livelihoods using insights emer...","container-title":"Sustainability","DOI":"10.3390/su5051917","ISSN":"2071-1050","issue":"5","language":"en","license":"http://creativecommons.org/licenses/by/3.0/","page":"1917-1943","publisher":"Multidisciplinary Digital Publishing Institute","source":"www.mdpi.com","title":"Bringing People Back into Protected Forests in Developing Countries: Insights from Co-Management in Malawi","title-short":"Bringing People Back into Protected Forests in Developing Countries","volume":"5","author":[{"family":"Zulu","given":"Leo"}],"issued":{"date-parts":[["2013",5,2]]}}}],"schema":"https://github.com/citation-style-language/schema/raw/master/csl-citation.json"} </w:instrText>
      </w:r>
      <w:r w:rsidR="00EB21CA">
        <w:rPr>
          <w:rFonts w:eastAsia="Calibri" w:cs="Calibri"/>
        </w:rPr>
        <w:fldChar w:fldCharType="separate"/>
      </w:r>
      <w:r w:rsidR="00EC2F18" w:rsidRPr="00EC2F18">
        <w:rPr>
          <w:rFonts w:cs="Segoe UI"/>
          <w:vertAlign w:val="superscript"/>
        </w:rPr>
        <w:t>3,17–20</w:t>
      </w:r>
      <w:r w:rsidR="00EB21CA">
        <w:rPr>
          <w:rFonts w:eastAsia="Calibri" w:cs="Calibri"/>
        </w:rPr>
        <w:fldChar w:fldCharType="end"/>
      </w:r>
      <w:r w:rsidR="002121D6">
        <w:rPr>
          <w:rFonts w:eastAsia="Calibri" w:cs="Calibri"/>
        </w:rPr>
        <w:t>.</w:t>
      </w:r>
      <w:r w:rsidR="00B404AF">
        <w:rPr>
          <w:rFonts w:eastAsia="Calibri" w:cs="Calibri"/>
        </w:rPr>
        <w:t xml:space="preserve"> Further there is a need to e</w:t>
      </w:r>
      <w:r w:rsidRPr="005230A3">
        <w:rPr>
          <w:rFonts w:eastAsia="Calibri" w:cs="Calibri"/>
        </w:rPr>
        <w:t xml:space="preserve">nsure </w:t>
      </w:r>
      <w:r w:rsidR="00B404AF">
        <w:rPr>
          <w:rFonts w:eastAsia="Calibri" w:cs="Calibri"/>
        </w:rPr>
        <w:t xml:space="preserve">that </w:t>
      </w:r>
      <w:r w:rsidRPr="005230A3">
        <w:rPr>
          <w:rFonts w:eastAsia="Calibri" w:cs="Calibri"/>
        </w:rPr>
        <w:lastRenderedPageBreak/>
        <w:t xml:space="preserve">those who have lost out in past NbS interventions get adequately compensated in </w:t>
      </w:r>
      <w:r>
        <w:rPr>
          <w:rFonts w:eastAsia="Calibri" w:cs="Calibri"/>
        </w:rPr>
        <w:t>current and future</w:t>
      </w:r>
      <w:r w:rsidRPr="005230A3">
        <w:rPr>
          <w:rFonts w:eastAsia="Calibri" w:cs="Calibri"/>
        </w:rPr>
        <w:t xml:space="preserve"> interventions</w:t>
      </w:r>
      <w:r w:rsidR="002121D6">
        <w:rPr>
          <w:rFonts w:eastAsia="Calibri" w:cs="Calibri"/>
        </w:rPr>
        <w:t xml:space="preserve"> </w:t>
      </w:r>
      <w:r w:rsidR="002121D6">
        <w:rPr>
          <w:rFonts w:eastAsia="Calibri" w:cs="Calibri"/>
        </w:rPr>
        <w:fldChar w:fldCharType="begin"/>
      </w:r>
      <w:r w:rsidR="00EC2F18">
        <w:rPr>
          <w:rFonts w:eastAsia="Calibri" w:cs="Calibri"/>
        </w:rPr>
        <w:instrText xml:space="preserve"> ADDIN ZOTERO_ITEM CSL_CITATION {"citationID":"JtD9oXrB","properties":{"unsorted":false,"formattedCitation":"\\super 21\\nosupersub{}","plainCitation":"21","noteIndex":0},"citationItems":[{"id":20245,"uris":["http://zotero.org/users/19783099/items/VBYFGP66"],"itemData":{"id":20245,"type":"article-journal","abstract":"Conflicts in protected areas often result from contestations around benefit-sharing arrangements. Integrating biodiversity conservation and livelihood goals in protected areas can be aided by quantitative assessments of the contribution of surrounding land-use options and trade-offs between conservation and use. Using household surveys, this study examines the contribution of livestock income (cash and subsistence) to household welfare among livestock-owning households living adjacent to the Great Fish River Nature Reserve, South Africa. Across all households, livestock income contributed about 28% to total household income but the distribution of and dependence on livestock income varied across groups of people. Livestock income had little effect on income inequality but poverty incidence and depth were tied to livestock income especially for the poor and less-poor households. The potential livelihood and conservation benefits for increased support for livestock production are discussed, including how this could reduce conflict levels between conservation agencies and local communities and in a broader sense, improve the relationship between the state and its citizens.","container-title":"Environmental Development","DOI":"10.1016/j.envdev.2020.100508","ISSN":"2211-4645","journalAbbreviation":"Environmental Development","page":"100508","source":"ScienceDirect","title":"Livestock income and household welfare for communities adjacent to the Great Fish River Nature Reserve, South Africa","volume":"33","author":[{"family":"Du-Pont","given":"Tamika"},{"family":"Vilakazi","given":"Cebokuhle Mandisa Nonzwakazi"},{"family":"Thondhlana","given":"Gladman"},{"family":"Vedeld","given":"Pål"}],"issued":{"date-parts":[["2020",3,1]]}}}],"schema":"https://github.com/citation-style-language/schema/raw/master/csl-citation.json"} </w:instrText>
      </w:r>
      <w:r w:rsidR="002121D6">
        <w:rPr>
          <w:rFonts w:eastAsia="Calibri" w:cs="Calibri"/>
        </w:rPr>
        <w:fldChar w:fldCharType="separate"/>
      </w:r>
      <w:r w:rsidR="00EC2F18" w:rsidRPr="00EC2F18">
        <w:rPr>
          <w:rFonts w:cs="Segoe UI"/>
          <w:vertAlign w:val="superscript"/>
        </w:rPr>
        <w:t>21</w:t>
      </w:r>
      <w:r w:rsidR="002121D6">
        <w:rPr>
          <w:rFonts w:eastAsia="Calibri" w:cs="Calibri"/>
        </w:rPr>
        <w:fldChar w:fldCharType="end"/>
      </w:r>
      <w:r w:rsidR="00B404AF">
        <w:rPr>
          <w:rFonts w:eastAsia="Calibri" w:cs="Calibri"/>
        </w:rPr>
        <w:t xml:space="preserve">. </w:t>
      </w:r>
    </w:p>
    <w:p w14:paraId="4E95401F" w14:textId="75FE49C7" w:rsidR="005240BE" w:rsidRPr="00065C99" w:rsidRDefault="00292AAA" w:rsidP="19FC05BD">
      <w:pPr>
        <w:pStyle w:val="Heading2"/>
        <w:numPr>
          <w:ilvl w:val="0"/>
          <w:numId w:val="0"/>
        </w:numPr>
        <w:ind w:left="360" w:hanging="360"/>
        <w:jc w:val="left"/>
      </w:pPr>
      <w:r>
        <w:t>7.4</w:t>
      </w:r>
      <w:r w:rsidR="005240BE">
        <w:t xml:space="preserve"> </w:t>
      </w:r>
      <w:r w:rsidR="001775D9">
        <w:t xml:space="preserve">Create safe </w:t>
      </w:r>
      <w:r w:rsidR="00FD2B90">
        <w:t>m</w:t>
      </w:r>
      <w:r w:rsidR="005240BE">
        <w:t>ulti-actor</w:t>
      </w:r>
      <w:r w:rsidR="005240BE" w:rsidRPr="00065C99">
        <w:t xml:space="preserve"> </w:t>
      </w:r>
      <w:r w:rsidR="00FD2B90">
        <w:t>networks and spaces</w:t>
      </w:r>
      <w:r w:rsidR="005240BE" w:rsidRPr="00065C99">
        <w:t xml:space="preserve"> </w:t>
      </w:r>
      <w:r w:rsidR="005240BE">
        <w:t>for deliberating trade-offs and synergies</w:t>
      </w:r>
    </w:p>
    <w:p w14:paraId="0F04503D" w14:textId="1BDC2E8F" w:rsidR="001343B4" w:rsidRDefault="005240BE" w:rsidP="00C02480">
      <w:pPr>
        <w:rPr>
          <w:rFonts w:eastAsia="Calibri" w:cs="Calibri"/>
        </w:rPr>
      </w:pPr>
      <w:r>
        <w:t>NbS should i</w:t>
      </w:r>
      <w:r w:rsidRPr="00065C99">
        <w:t>nvolve local communities and consider local contexts genuinely and comprehensively</w:t>
      </w:r>
      <w:r>
        <w:t xml:space="preserve">. This includes engaging in </w:t>
      </w:r>
      <w:r w:rsidRPr="00D3646A">
        <w:rPr>
          <w:rFonts w:eastAsia="Calibri" w:cs="Calibri"/>
        </w:rPr>
        <w:t xml:space="preserve">traditional structures and institutions and </w:t>
      </w:r>
      <w:r w:rsidR="00287106">
        <w:rPr>
          <w:rFonts w:eastAsia="Calibri" w:cs="Calibri"/>
        </w:rPr>
        <w:t>supporting</w:t>
      </w:r>
      <w:r w:rsidRPr="00D3646A">
        <w:rPr>
          <w:rFonts w:eastAsia="Calibri" w:cs="Calibri"/>
        </w:rPr>
        <w:t xml:space="preserve"> local actors that already work within the local settings </w:t>
      </w:r>
      <w:r w:rsidR="0086560F">
        <w:rPr>
          <w:rFonts w:eastAsia="Calibri" w:cs="Calibri"/>
        </w:rPr>
        <w:fldChar w:fldCharType="begin"/>
      </w:r>
      <w:r w:rsidR="00EC2F18">
        <w:rPr>
          <w:rFonts w:eastAsia="Calibri" w:cs="Calibri"/>
        </w:rPr>
        <w:instrText xml:space="preserve"> ADDIN ZOTERO_ITEM CSL_CITATION {"citationID":"8FLRGbFl","properties":{"unsorted":false,"formattedCitation":"\\super 22\\uc0\\u8211{}24\\nosupersub{}","plainCitation":"22–24","noteIndex":0},"citationItems":[{"id":20224,"uris":["http://zotero.org/users/19783099/items/BIBDBJL9"],"itemData":{"id":20224,"type":"article-journal","abstract":"Customary practices such as bush fires and the browsing by livestock, and the absence of land property rights are important institutional constraints to effective up-scaling of natural resource management (NRM) including agroforestry technologies in southern Africa. Through collective action by communities in eastern Zambia, and supported by-laws enacted by traditional leaders to formalize them, the conflicts arising over resources in the communities and the quest to protect the interests of the different segments of the society were addressed. This paper investigates the process through which the by-laws were formulated and implemented, and evaluates their effectiveness to achieve the desired outcome. It then used a sample of 196 households to assess the impacts of the by-laws on household and social groups in the community. Results show that the by-laws have led to a remarkable reduction in the incidence of fire outbreak and grazing. It also highlights how traditional institutions can provide important entry points for local policy interventions on NRM in rural communities. The by-laws impacted positively on women-headed households and those who practice agroforestry, but children (boys) and livestock owners were disadvantaged. Lessons learnt from the study include: (i) the distribution of the benefits (or costs) associated with natural resource commons among different interest groups in the communities influence the effectiveness of by-laws on such resources; (ii) the dynamics of power structure existing in communities are critical determinants of the effectiveness of local policy interventions on NRM; (iii) privatizing seasonal commons is an important factor for designing policy interventions on NRM in rural communities. It is concluded that in addition to the technological characteristics of NRM interventions, local institutional arrangements and power structures existing in rural communities, and the pattern of distribution of benefits (or costs) of an NRM technology are important factors that influence their widespread adoption by farmers.","container-title":"Forests, Trees and Livelihoods","DOI":"10.1080/14728028.2016.1153435","ISSN":"1472-8028","issue":"2","note":"_eprint: https://doi.org/10.1080/14728028.2016.1153435","page":"102-113","publisher":"Taylor &amp; Francis","source":"Taylor and Francis+NEJM","title":"How by-laws and collective action influence farmers’ adoption of agroforestry and natural resource management technologies: lessons from Zambia","title-short":"How by-laws and collective action influence farmers’ adoption of agroforestry and natural resource management technologies","volume":"25","author":[{"family":"Ajayi","given":"O. C."},{"family":"Akinnifesi","given":"F. K."},{"family":"Ajayi","given":"A. O."}],"issued":{"date-parts":[["2016",4,2]]}}},{"id":20319,"uris":["http://zotero.org/users/19783099/items/9QQGC3SC"],"itemData":{"id":20319,"type":"article-journal","abstract":"Co-management of forests was initiated in Madagascar in the 1990s, raising hopes for protecting biodiversity and improving community livelihoods. This paper addresses the limitations experienced in the co-management process in terms of efficiency and governance. Identified issues include confusion about the accountability of local actors, transparency in local fund management, insecure land tenure and limited participation of local people in planning.","container-title":"Canadian Journal of Development Studies / Revue canadienne d'études du développement","DOI":"10.1080/02255189.2015.989197","ISSN":"0225-5189","issue":"1","note":"_eprint: https://doi.org/10.1080/02255189.2015.989197","page":"38-56","publisher":"Routledge","source":"Taylor and Francis+NEJM","title":"Issues and challenges of forest governance in Madagascar","volume":"36","author":[{"family":"Dhital","given":"Narayan"},{"family":"Vololomboahangy","given":"Randrianjafy Rasoloarisoa"},{"family":"Khasa","given":"Damase P."}],"issued":{"date-parts":[["2015",1,2]]}}},{"id":20364,"uris":["http://zotero.org/users/19783099/items/Q9BL2YNY"],"itemData":{"id":20364,"type":"article-journal","abstract":"In this literature review based paper we explored the concept of exclusion of local communities from accessing resources in forest protected areas (FPAs) in Zimbabwe. We discussed the colonial and post-colonial forms, causes and mechanisms of exclusion and their social, economic and ecological outcomes. We examined the range of powers embodied in and exercised through various mechanisms, processes and social relations and their impact on local communities' access to FPA resources and associated benefits along the historical trajectory of forest governance in Zimbabwe. Results showed that the forms and extent of exclusion changed over time in tandem with the shifting political and economic landscape. During the colonial period, it was total exclusion whereby people were evicted from forest land as well as being denied access to basic resources for their livelihoods. Local communities' access to low value FPA resources improved during the post-colonial period but access to high value resources like commercial timber as well as sharing income benefits derived from FPA commercial activities remained a pipe dream. Regulation, legitimation, force and markets constituted the mixture of the power elements that FPA governing authorities used to exclude local communities. These powers remained intact despite attempts at collaborative governance in the 1990s. However, from the year 2000, local communities expressed their dissatisfaction with the centralised exclusionary governance system by invading the FPAs rendering them ungovernable. There is therefore a need for policy reform within the FPA sector to improve the current dire situation.","container-title":"Journal of Environmental Management","DOI":"10.1016/j.jenvman.2017.05.006","ISSN":"0301-4797","journalAbbreviation":"Journal of Environmental Management","page":"330-339","source":"ScienceDirect","title":"Forest protected areas governance in Zimbabwe: Shift needed away from a long history of local community exclusion","title-short":"Forest protected areas governance in Zimbabwe","volume":"198","author":[{"family":"Mutekwa","given":"V. T."},{"family":"Gambiza","given":"J."}],"issued":{"date-parts":[["2017",8,1]]}}}],"schema":"https://github.com/citation-style-language/schema/raw/master/csl-citation.json"} </w:instrText>
      </w:r>
      <w:r w:rsidR="0086560F">
        <w:rPr>
          <w:rFonts w:eastAsia="Calibri" w:cs="Calibri"/>
        </w:rPr>
        <w:fldChar w:fldCharType="separate"/>
      </w:r>
      <w:r w:rsidR="00EC2F18" w:rsidRPr="00EC2F18">
        <w:rPr>
          <w:rFonts w:cs="Segoe UI"/>
          <w:vertAlign w:val="superscript"/>
        </w:rPr>
        <w:t>22–24</w:t>
      </w:r>
      <w:r w:rsidR="0086560F">
        <w:rPr>
          <w:rFonts w:eastAsia="Calibri" w:cs="Calibri"/>
        </w:rPr>
        <w:fldChar w:fldCharType="end"/>
      </w:r>
      <w:r w:rsidR="008F36FF">
        <w:rPr>
          <w:rFonts w:eastAsia="Calibri" w:cs="Calibri"/>
        </w:rPr>
        <w:t>.</w:t>
      </w:r>
      <w:r>
        <w:rPr>
          <w:rFonts w:eastAsia="Calibri" w:cs="Calibri"/>
          <w:color w:val="FF0000"/>
        </w:rPr>
        <w:t xml:space="preserve"> </w:t>
      </w:r>
      <w:r w:rsidRPr="00067716">
        <w:t xml:space="preserve">Planning processes should meaningfully capture local aspirations and needs, including priorities linked to poverty reduction </w:t>
      </w:r>
      <w:r w:rsidR="008F36FF">
        <w:fldChar w:fldCharType="begin"/>
      </w:r>
      <w:r w:rsidR="00EC2F18">
        <w:instrText xml:space="preserve"> ADDIN ZOTERO_ITEM CSL_CITATION {"citationID":"M7KcgFWp","properties":{"unsorted":false,"formattedCitation":"\\super 17\\nosupersub{}","plainCitation":"17","noteIndex":0},"citationItems":[{"id":20249,"uris":["http://zotero.org/users/19783099/items/H48RXVBG"],"itemData":{"id":20249,"type":"article-journal","abstract":"We use case studies from Zimbabwe to illustrate the complexities that can undermine development efforts in semi-arid mixed farming areas. Livelihood improvement and micro-catchment management were considered in the context of portfolios of household activities. While technical and institutional interventions may strengthen safety nets, they did not appear to reduce poverty significantly. Managing common-pool resources and implementing the necessary institutional changes involved substantial and unsustainable transaction costs. Effective alleviation of poverty requires integrated, multi-tiered, and long-term interventions that expand economic opportunities and empower people to drive their own development.","container-title":"World Development","DOI":"10.1016/j.worlddev.2006.11.012","ISSN":"0305-750X","issue":"11","journalAbbreviation":"World Development","page":"1961-1974","source":"ScienceDirect","title":"In Search of Improved Rural Livelihoods in Semi-Arid Regions through Local Management of Natural Resources: Lessons from Case Studies in Zimbabwe","title-short":"In Search of Improved Rural Livelihoods in Semi-Arid Regions through Local Management of Natural Resources","volume":"35","author":[{"family":"Frost","given":"Peter"},{"family":"Campbell","given":"Bruce"},{"family":"Luckert","given":"Martin (marty)"},{"family":"Mutamba","given":"Manyewu"},{"family":"Mandondo","given":"Alois"},{"family":"Kozanayi","given":"Witness"}],"issued":{"date-parts":[["2007",11,1]]}}}],"schema":"https://github.com/citation-style-language/schema/raw/master/csl-citation.json"} </w:instrText>
      </w:r>
      <w:r w:rsidR="008F36FF">
        <w:fldChar w:fldCharType="separate"/>
      </w:r>
      <w:r w:rsidR="00EC2F18" w:rsidRPr="00EC2F18">
        <w:rPr>
          <w:rFonts w:cs="Segoe UI"/>
          <w:vertAlign w:val="superscript"/>
        </w:rPr>
        <w:t>17</w:t>
      </w:r>
      <w:r w:rsidR="008F36FF">
        <w:fldChar w:fldCharType="end"/>
      </w:r>
      <w:r w:rsidR="008F36FF">
        <w:t>.</w:t>
      </w:r>
      <w:r>
        <w:rPr>
          <w:rFonts w:eastAsia="Calibri" w:cs="Calibri"/>
          <w:color w:val="FF0000"/>
        </w:rPr>
        <w:t xml:space="preserve"> </w:t>
      </w:r>
      <w:r w:rsidRPr="00067716">
        <w:t>Locally important trade-offs should be made visible and deliberated within safe multi-actor spaces</w:t>
      </w:r>
      <w:r>
        <w:t>. Here</w:t>
      </w:r>
      <w:r w:rsidRPr="00067716">
        <w:t xml:space="preserve"> attention</w:t>
      </w:r>
      <w:r>
        <w:t xml:space="preserve"> should focus on</w:t>
      </w:r>
      <w:r w:rsidRPr="00067716">
        <w:t xml:space="preserve"> </w:t>
      </w:r>
      <w:r>
        <w:t>bring</w:t>
      </w:r>
      <w:r w:rsidR="002A1A8F">
        <w:t>ing</w:t>
      </w:r>
      <w:r>
        <w:t xml:space="preserve"> together</w:t>
      </w:r>
      <w:r w:rsidRPr="00067716">
        <w:t xml:space="preserve"> the perceptions of communit</w:t>
      </w:r>
      <w:r>
        <w:t>y members</w:t>
      </w:r>
      <w:r w:rsidRPr="00067716">
        <w:t xml:space="preserve"> and external actors around which benefits matter most</w:t>
      </w:r>
      <w:r>
        <w:t xml:space="preserve"> and for whom</w:t>
      </w:r>
      <w:r w:rsidRPr="00067716">
        <w:t xml:space="preserve"> </w:t>
      </w:r>
      <w:r w:rsidR="00D65283">
        <w:fldChar w:fldCharType="begin"/>
      </w:r>
      <w:r w:rsidR="00EC2F18">
        <w:instrText xml:space="preserve"> ADDIN ZOTERO_ITEM CSL_CITATION {"citationID":"fXgh9RAn","properties":{"unsorted":false,"formattedCitation":"\\super 19,25\\uc0\\u8211{}27\\nosupersub{}","plainCitation":"19,25–27","noteIndex":0},"citationItems":[{"id":20212,"uris":["http://zotero.org/users/19783099/items/YST78F8K"],"itemData":{"id":20212,"type":"article-journal","abstract":"It is remarkable that despite wide-ranging, in-depth studies over many years, almost no conservation agriculture (CA) studies consider gender and gender relations as a potential explanatory factor for (low) adoption rates. This is important because CA demands new ways of working with the farm system. Implementation will inevitably involve a reallocation of men's and women's resources as well as having an impact upon their ability to realize their gender interests. With respect to intra-household decision-making and the distribution of benefits, CA interventions have implications for labour requirements and labour allocation, investment decisions with respect to mechanization and herbicide use, crop choice, and residue management. CA practice may impact upon the ability of households to source a wide variety of crops, wild plants, and insects and small animals for household nutrition. Gender biases in extension service design can sideline women. This paper examines the limited research to date on the interactions between CA interventions and gender in East and Southern Africa, and, based on the gaps observed, sets out a research agenda. It argues that attention to gender in CA is particularly timely given the increasing interest in CA as a means of adapting to climate change.","container-title":"International Journal of Agricultural Sustainability","DOI":"10.1080/14735903.2015.1065602","ISSN":"1473-5903","issue":"2","note":"_eprint: https://doi.org/10.1080/14735903.2015.1065602","page":"142-165","publisher":"Taylor &amp; Francis","source":"Taylor and Francis+NEJM","title":"Gender and conservation agriculture in East and Southern Africa: towards a research agenda","title-short":"Gender and conservation agriculture in East and Southern Africa","volume":"14","author":[{"family":"Farnworth","given":"Cathy Rozel"},{"family":"Baudron","given":"Frédéric"},{"family":"Andersson","given":"Jens A."},{"family":"Misiko","given":"Michael"},{"family":"Badstue","given":"Lone"},{"family":"Stirling","given":"Clare M."}],"issued":{"date-parts":[["2015",4,2]]}}},{"id":20325,"uris":["http://zotero.org/users/19783099/items/5WYPDDE8"],"itemData":{"id":20325,"type":"article-journal","abstract":"With the increase in illegal resource harvesting in most protected areas (PAs), the need to understand the determinants and relationships between PAs and local communities to enhance wildlife conservation is increasingly becoming important. Using focus group discussions and interviews, we established the determinants of PA staff-community relationship from both PA staff and local communities’ viewpoints, and assessedperceptions of their relationship with each other. The study was guided by the following main research question, ‘What is the nature of the relationship between PA staff and local communities and what are the main factors influencing the relationship?’ Data were collected through focus group discussions and interviews from four PAs and their adjacent communities in Zimbabwe between July 2013 and February 2014. Our results showed that a total of seven determinants were identified as influencing PA staff-community relationship, i.e., benefit-sharing, human-wildlife conflict, compensation for losses from wildlife attacks, communication between PA staff and local communities, community participation in the management of CAMPFIRE projects, lack of community participation in tourism in PAs, and community perceptions of PA staff or PA staff perceptions of the community. Of the seven, only one determinant, benefit-sharing, was recorded as the main factor that differentially influencesthe perceptions of community and PA staff on their relationship. Furthermore, both the communities and PA staff reported mixed perceptions on their relationship with each other. We conclude that both communities’ and PA staff’s views on determinants are largely similar in all studied PAs irrespective of PA ownership, management and/or land use. Our findings could be relevant in policy making especially in developing countries in developing PA-community relationship framework in natural resource conservation.","container-title":"PLOS ONE","DOI":"10.1371/journal.pone.0177153","ISSN":"1932-6203","issue":"5","journalAbbreviation":"PLOS ONE","language":"en","page":"e0177153","publisher":"Public Library of Science","source":"PLoS Journals","title":"Protected area staff and local community viewpoints: A qualitative assessment of conservation relationships in Zimbabwe","title-short":"Protected area staff and local community viewpoints","volume":"12","author":[{"family":"Mutanga","given":"Chiedza Ngonidzashe"},{"family":"Muboko","given":"Never"},{"family":"Gandiwa","given":"Edson"}],"issued":{"date-parts":[["2017",5,19]]}}},{"id":20366,"uris":["http://zotero.org/users/19783099/items/MAEV6XL4"],"itemData":{"id":20366,"type":"article-journal","abstract":"Protected areas are often surrounded by impoverished communities. Biodiversity must be conserved while enabling community members’ livelihoods. Benefit-sharing has been promoted as a means of fostering positive relationships between protected areas and local people, but views differ regarding which benefits have positive results; and which are most valued by communities themselves. This research investigates the attitudes of Khanyayo village towards Mkhambathi Nature Reserve on the Wild Coast of South Africa. A pragmatic, multi-method comparative qualitative approach was followed. Participants were local community members and key staff at Mkhambathi, who work with the community. Individual interviews, focus group interviews and an adapted nominal grouping technique were used, which aided triangulation. Results indicated a range of significant benefits and losses. Tangibles included access to natural resources, employment, infrastructure and training. More intangibles emerged though, such as enjoyment of reserve, involvement in the reserve, communication and environmental education. Losses predominantly related to prohibited or restricted access to natural resources. The comparison between the two participant groups yielded interesting insights. Knowing which benefits are most important to the community and aligning the perceptions of the people and the park staff could improve the relationship as well as enhance successful benefit-sharing.","container-title":"Journal of Sustainable Tourism","DOI":"10.1080/09669582.2018.1436177","ISSN":"0966-9582","issue":"6","note":"_eprint: https://doi.org/10.1080/09669582.2018.1436177","page":"750-772","publisher":"Routledge","source":"Taylor and Francis+NEJM","title":"Khanyayo village and Mkhambathi Nature Reserve, South Africa: a pragmatic qualitative investigation into attitudes towards a protected area","title-short":"Khanyayo village and Mkhambathi Nature Reserve, South Africa","volume":"27","author":[{"family":"Queiros","given":"Dorothy"},{"family":"Mearns","given":"Kevin"}],"issued":{"date-parts":[["2019",6,3]]}}},{"id":20362,"uris":["http://zotero.org/users/19783099/items/9A2HK74T"],"itemData":{"id":20362,"type":"article-journal","abstract":"Conservation Agriculture (CA) is a Sustainable Agricultural Intensification strategy based on minimum soil disturbance, permanent soil coverage by living or dead biomass, and diversification of crop rotations. We reviewed the literature on benefits, trade-offs, adoption and adaptation of CA in sub-Saharan Africa (SSA). While CA can improve soils and sustain crop yields, benefits are inconsistent and there are trade-offs with crop residue use, weeds and insect pests, labour demands and short-term yield penalties. Adoption rates by smallholders in sub-Saharan Africa are generally low. We hypothesize that underlying adoption constraints are 1) the magnitude of transformation of management practices required from farmers moving to CA, 2) the multiple inherent trade-offs associated with CA practices and 3) the incompatibility of CA practices to local conditions. We suggest CA adoption in SSA could be improved by focusing the promotion of CA to environments where it best fits, or by facilitating smallholders’ adaptation of the practices of CA to respond to their conditions and constraints. We, therefore, propose to move from Conservation Agriculture to Conservation Practices by: (A) identifying and overcoming locally important CA trade-offs through adaptations and complementary practices, and (B) finding farm-specific optimal combinations of practices in terms of feasibility and benefits.","container-title":"International Journal of Agricultural Sustainability","DOI":"10.1080/14735903.2020.1785734","ISSN":"1473-5903","issue":"5-6","note":"_eprint: https://doi.org/10.1080/14735903.2020.1785734","page":"437-455","publisher":"Taylor &amp; Francis","source":"Taylor and Francis+NEJM","title":"Adoption by adaptation: moving from Conservation Agriculture to conservation practices","title-short":"Adoption by adaptation","volume":"19","author":[{"family":"Rodenburg","given":"Jonne"},{"family":"Büchi","given":"Lucie"},{"family":"Haggar","given":"Jeremy"}],"issued":{"date-parts":[["2021",11,2]]}}}],"schema":"https://github.com/citation-style-language/schema/raw/master/csl-citation.json"} </w:instrText>
      </w:r>
      <w:r w:rsidR="00D65283">
        <w:fldChar w:fldCharType="separate"/>
      </w:r>
      <w:r w:rsidR="00EC2F18" w:rsidRPr="00EC2F18">
        <w:rPr>
          <w:rFonts w:cs="Segoe UI"/>
          <w:vertAlign w:val="superscript"/>
        </w:rPr>
        <w:t>19,25–27</w:t>
      </w:r>
      <w:r w:rsidR="00D65283">
        <w:fldChar w:fldCharType="end"/>
      </w:r>
      <w:r w:rsidR="00512C6D">
        <w:t>.</w:t>
      </w:r>
      <w:r>
        <w:rPr>
          <w:rFonts w:eastAsia="Calibri" w:cs="Calibri"/>
          <w:color w:val="FF0000"/>
        </w:rPr>
        <w:t xml:space="preserve"> </w:t>
      </w:r>
      <w:r w:rsidRPr="008119EB">
        <w:rPr>
          <w:rFonts w:eastAsia="Calibri" w:cs="Calibri"/>
        </w:rPr>
        <w:t>It is likely that</w:t>
      </w:r>
      <w:r>
        <w:rPr>
          <w:rFonts w:eastAsia="Calibri" w:cs="Calibri"/>
          <w:color w:val="FF0000"/>
        </w:rPr>
        <w:t xml:space="preserve"> </w:t>
      </w:r>
      <w:r>
        <w:rPr>
          <w:rFonts w:eastAsia="Calibri" w:cs="Calibri"/>
        </w:rPr>
        <w:t>different</w:t>
      </w:r>
      <w:r w:rsidRPr="000D4C8F">
        <w:rPr>
          <w:rFonts w:eastAsia="Calibri" w:cs="Calibri"/>
        </w:rPr>
        <w:t xml:space="preserve"> communit</w:t>
      </w:r>
      <w:r>
        <w:rPr>
          <w:rFonts w:eastAsia="Calibri" w:cs="Calibri"/>
        </w:rPr>
        <w:t>y member’s</w:t>
      </w:r>
      <w:r w:rsidRPr="000D4C8F">
        <w:rPr>
          <w:rFonts w:eastAsia="Calibri" w:cs="Calibri"/>
        </w:rPr>
        <w:t xml:space="preserve"> view</w:t>
      </w:r>
      <w:r>
        <w:rPr>
          <w:rFonts w:eastAsia="Calibri" w:cs="Calibri"/>
        </w:rPr>
        <w:t>s</w:t>
      </w:r>
      <w:r w:rsidRPr="000D4C8F">
        <w:rPr>
          <w:rFonts w:eastAsia="Calibri" w:cs="Calibri"/>
        </w:rPr>
        <w:t xml:space="preserve"> of equitable benefits may differ</w:t>
      </w:r>
      <w:r>
        <w:rPr>
          <w:rFonts w:eastAsia="Calibri" w:cs="Calibri"/>
        </w:rPr>
        <w:t xml:space="preserve"> to each other and to other actors, emphasising the importance of e</w:t>
      </w:r>
      <w:r w:rsidRPr="000D4C8F">
        <w:rPr>
          <w:rFonts w:eastAsia="Calibri" w:cs="Calibri"/>
        </w:rPr>
        <w:t>xplor</w:t>
      </w:r>
      <w:r>
        <w:rPr>
          <w:rFonts w:eastAsia="Calibri" w:cs="Calibri"/>
        </w:rPr>
        <w:t>ing</w:t>
      </w:r>
      <w:r w:rsidRPr="000D4C8F">
        <w:rPr>
          <w:rFonts w:eastAsia="Calibri" w:cs="Calibri"/>
        </w:rPr>
        <w:t xml:space="preserve"> lo</w:t>
      </w:r>
      <w:r w:rsidRPr="00C02480">
        <w:rPr>
          <w:rFonts w:eastAsia="Calibri" w:cs="Calibri"/>
        </w:rPr>
        <w:t xml:space="preserve">cal cultural norms before deciding what is ‘equitable’ </w:t>
      </w:r>
      <w:r w:rsidR="00512C6D" w:rsidRPr="00C02480">
        <w:rPr>
          <w:rFonts w:eastAsia="Calibri" w:cs="Calibri"/>
        </w:rPr>
        <w:fldChar w:fldCharType="begin"/>
      </w:r>
      <w:r w:rsidR="00EC2F18">
        <w:rPr>
          <w:rFonts w:eastAsia="Calibri" w:cs="Calibri"/>
        </w:rPr>
        <w:instrText xml:space="preserve"> ADDIN ZOTERO_ITEM CSL_CITATION {"citationID":"C36zzTaB","properties":{"unsorted":false,"formattedCitation":"\\super 10,28\\nosupersub{}","plainCitation":"10,28","noteIndex":0},"citationItems":[{"id":20317,"uris":["http://zotero.org/users/19783099/items/TY9I7MTY"],"itemData":{"id":20317,"type":"article-journal","abstract":"More examples of positive and negative outcomes of community-based conservation initiatives aimed at benefit sharing are surfacing globally, and there is increasing interest in who wins and who loses at multiple scales. However, the term “benefit sharing” is not well defined in the context of protected areas, hindering the effective implementation thereof. We define benefit sharing as the process of making informed and fair trade-offs between social, economic, and ecological costs and benefits within and between stakeholder groups, and between stakeholders and the natural environment. We explore identifying appropriate benefits in certain contexts and monitoring benefit sharing initiatives using relevant qualitative and quantitative indicators. Finally, we use an illustrative case study of mopane worm harvesting from the Kruger National Park in South Africa to explore how benefit sharing as defined in the article can be implemented using a strategic adaptive management approach during the planning, assessment, and reporting phases.","container-title":"Society &amp; Natural Resources","DOI":"10.1080/08941920.2014.945055","ISSN":"0894-1920","issue":"1","note":"_eprint: https://doi.org/10.1080/08941920.2014.945055","page":"4-20","publisher":"Routledge","source":"Taylor and Francis+NEJM","title":"Toward More Effective Benefit Sharing in South African National Parks","volume":"28","author":[{"family":"Swemmer","given":"Louise"},{"family":"Grant","given":"Rina"},{"family":"Annecke","given":"Wendy"},{"family":"Freitag-Ronaldson","given":"Stefanie"}],"issued":{"date-parts":[["2015",1,2]]}}},{"id":20239,"uris":["http://zotero.org/users/19783099/items/J88CGEWU"],"itemData":{"id":20239,"type":"article-journal","abstract":"Creation of protected areas to conserve biodiversity can have both positive and negative impacts, with impacts unequally distributed within local communities. A global shift towards local community involvement in protected area governance and co-management has aimed to reduce costs of protected area establishment and their uneven distribution. Yet, there is mixed evidence to support whether such initiatives are succeeding. Here, a protected area in Madagascar is used as a case study to explore how co-management governance processes impact upon livelihood strategies and outcomes, and how these impacts are distributed within and between villages. Focus groups, interviews and questionnaires were conducted in 2015/16 with households surrounding a protected area, co-managed by local community associations and a national NGO. Data analysis was framed around the Sustainable Livelihoods Framework. The majority of respondents perceived negative livelihood outcomes, and impacts were unevenly distributed between social groups. Respondents were more likely to report negative livelihood outcomes if they were from remote villages, poorer households and reliant on provisioning ecosystem services before protected area establishment. Qualitative data showed that the main drivers of this were protected area-related rules and regulations restricting forest activities. Drivers of improved livelihood outcomes were training and materials improving agricultural yields and increased community cohesion. Although co-managed protected areas may be overall more effective in meeting biological and socio-economic goals than protected areas of other governance types, the evidence here suggests that governance processes can lead to local perceptions of inequity.","container-title":"Journal of Environmental Management","DOI":"10.1016/j.jenvman.2018.09.018","ISSN":"0301-4797","journalAbbreviation":"Journal of Environmental Management","page":"1-12","source":"ScienceDirect","title":"Protected area co-management and perceived livelihood impacts","volume":"228","author":[{"family":"Ward","given":"Caroline"},{"family":"Stringer","given":"Lindsay C."},{"family":"Holmes","given":"George"}],"issued":{"date-parts":[["2018",12,15]]}}}],"schema":"https://github.com/citation-style-language/schema/raw/master/csl-citation.json"} </w:instrText>
      </w:r>
      <w:r w:rsidR="00512C6D" w:rsidRPr="00C02480">
        <w:rPr>
          <w:rFonts w:eastAsia="Calibri" w:cs="Calibri"/>
        </w:rPr>
        <w:fldChar w:fldCharType="separate"/>
      </w:r>
      <w:r w:rsidR="00EC2F18" w:rsidRPr="00EC2F18">
        <w:rPr>
          <w:rFonts w:cs="Segoe UI"/>
          <w:vertAlign w:val="superscript"/>
        </w:rPr>
        <w:t>10,28</w:t>
      </w:r>
      <w:r w:rsidR="00512C6D" w:rsidRPr="00C02480">
        <w:rPr>
          <w:rFonts w:eastAsia="Calibri" w:cs="Calibri"/>
        </w:rPr>
        <w:fldChar w:fldCharType="end"/>
      </w:r>
      <w:r w:rsidR="00C02480" w:rsidRPr="00C02480">
        <w:rPr>
          <w:rFonts w:eastAsia="Calibri" w:cs="Calibri"/>
        </w:rPr>
        <w:t>.</w:t>
      </w:r>
      <w:r w:rsidRPr="00C02480">
        <w:rPr>
          <w:rFonts w:eastAsia="Calibri" w:cs="Calibri"/>
        </w:rPr>
        <w:t xml:space="preserve"> It is </w:t>
      </w:r>
      <w:r w:rsidRPr="0040068B">
        <w:rPr>
          <w:rFonts w:eastAsia="Calibri" w:cs="Calibri"/>
        </w:rPr>
        <w:t>important to r</w:t>
      </w:r>
      <w:r w:rsidRPr="00452182">
        <w:rPr>
          <w:rFonts w:eastAsia="Calibri" w:cs="Calibri"/>
        </w:rPr>
        <w:t xml:space="preserve">ecognise that the full range of local actors and knowledge holders and givers might not be represented within traditional and formal governance institutions </w:t>
      </w:r>
      <w:r w:rsidR="00C02480">
        <w:rPr>
          <w:rFonts w:eastAsia="Calibri" w:cs="Calibri"/>
        </w:rPr>
        <w:fldChar w:fldCharType="begin"/>
      </w:r>
      <w:r w:rsidR="00EC2F18">
        <w:rPr>
          <w:rFonts w:eastAsia="Calibri" w:cs="Calibri"/>
        </w:rPr>
        <w:instrText xml:space="preserve"> ADDIN ZOTERO_ITEM CSL_CITATION {"citationID":"nzf6V3Of","properties":{"unsorted":false,"formattedCitation":"\\super 29\\nosupersub{}","plainCitation":"29","noteIndex":0},"citationItems":[{"id":20267,"uris":["http://zotero.org/users/19783099/items/8J6UH9KG"],"itemData":{"id":20267,"type":"paper-conference","abstract":"This study assessed institutional governance, socio-economic and ecological outcomes of community woodland management in Mutema-Musikavanhu communal areas in Save Valley, southeastern lowveld of Zimbabwe. The study was conducted using household interviews (n = 300), focus group discussions (n = 80) and key informant interviews (n = 20) administered in October to December 2017. The interview questions drew responses on the linkages between local level institutions and communal woodland management for socio-economic outcomes. Using remote sensed imagery of the study area, land use and land cover maps for the period 1990 to 2015 were produced. Woody vegetation structural attributes, abundance and composition were measured to assess the ecological outcomes of communal woodland management. The study findings showed that the local level institutional design influenced socio-economic outcomes that enabled villagers to make up to 12.82% of their Global Annual Income from woodland ecosystem services and goods. Ecological outcomes record showed a decrease of land cover under woodland by over 29%, whereas land under agriculture increased by over 31% during the period 1990 to 2015. The study recorded a J-shaped stage structure of basal area which indicated low recruitment levels and an ageing population of woody vegetation across the study area. Communal woodland management in the study area was likely constrained by weak participation of government forestry extension service and discrepancy in woodland ecosystem benefits sharing among local villagers. Based on the study findings, it was concluded that, provided community woodland resource ownership is secured with equity on access to all members of a society and integrated with active local government regulation, then the likelihood that communities would defer woodland resource use for the future generations is less threatened.","source":"Semantic Scholar","title":"Socio-economic and ecological outcomes of woodland management in mutema-musikavanhu communal areas in save valley, southeastern lowveld of zimbabwe","URL":"https://www.semanticscholar.org/paper/SOCIO-ECONOMIC-AND-ECOLOGICAL-OUTCOMES-OF-WOODLAND-Mashapa-Gandiwa/dfc80be5d4a68535672bf4a56afc97ba71ca87a9","author":[{"family":"Mashapa","given":"C."},{"family":"Gandiwa","given":"E."},{"family":"Muboko","given":"N."}],"accessed":{"date-parts":[["2026",3,25]]},"issued":{"date-parts":[["2019"]]}}}],"schema":"https://github.com/citation-style-language/schema/raw/master/csl-citation.json"} </w:instrText>
      </w:r>
      <w:r w:rsidR="00C02480">
        <w:rPr>
          <w:rFonts w:eastAsia="Calibri" w:cs="Calibri"/>
        </w:rPr>
        <w:fldChar w:fldCharType="separate"/>
      </w:r>
      <w:r w:rsidR="00EC2F18" w:rsidRPr="00EC2F18">
        <w:rPr>
          <w:rFonts w:cs="Segoe UI"/>
          <w:vertAlign w:val="superscript"/>
        </w:rPr>
        <w:t>29</w:t>
      </w:r>
      <w:r w:rsidR="00C02480">
        <w:rPr>
          <w:rFonts w:eastAsia="Calibri" w:cs="Calibri"/>
        </w:rPr>
        <w:fldChar w:fldCharType="end"/>
      </w:r>
      <w:r w:rsidR="001343B4">
        <w:rPr>
          <w:rFonts w:eastAsia="Calibri" w:cs="Calibri"/>
        </w:rPr>
        <w:t xml:space="preserve">. </w:t>
      </w:r>
      <w:r w:rsidRPr="0040068B">
        <w:rPr>
          <w:rFonts w:eastAsia="Calibri" w:cs="Calibri"/>
        </w:rPr>
        <w:t>S</w:t>
      </w:r>
      <w:r w:rsidRPr="00065C99">
        <w:rPr>
          <w:rFonts w:eastAsia="Calibri" w:cs="Calibri"/>
        </w:rPr>
        <w:t xml:space="preserve">uccess stories </w:t>
      </w:r>
      <w:r>
        <w:rPr>
          <w:rFonts w:eastAsia="Calibri" w:cs="Calibri"/>
        </w:rPr>
        <w:t xml:space="preserve">around managing and reducing power dynamics in engagements and partnerships are needed </w:t>
      </w:r>
      <w:r w:rsidR="005B5ADA">
        <w:rPr>
          <w:rFonts w:eastAsia="Calibri" w:cs="Calibri"/>
        </w:rPr>
        <w:t xml:space="preserve">to show the transformative potential of </w:t>
      </w:r>
      <w:r>
        <w:rPr>
          <w:rFonts w:eastAsia="Calibri" w:cs="Calibri"/>
        </w:rPr>
        <w:t xml:space="preserve">NbS </w:t>
      </w:r>
      <w:r w:rsidRPr="00065C99">
        <w:rPr>
          <w:rFonts w:eastAsia="Calibri" w:cs="Calibri"/>
        </w:rPr>
        <w:t>when power dynamics are</w:t>
      </w:r>
      <w:r w:rsidR="005B5ADA">
        <w:rPr>
          <w:rFonts w:eastAsia="Calibri" w:cs="Calibri"/>
        </w:rPr>
        <w:t xml:space="preserve"> adequately</w:t>
      </w:r>
      <w:r w:rsidRPr="00065C99">
        <w:rPr>
          <w:rFonts w:eastAsia="Calibri" w:cs="Calibri"/>
        </w:rPr>
        <w:t xml:space="preserve"> addressed and negotiations are fair </w:t>
      </w:r>
      <w:r w:rsidR="001343B4">
        <w:rPr>
          <w:rFonts w:eastAsia="Calibri" w:cs="Calibri"/>
        </w:rPr>
        <w:fldChar w:fldCharType="begin"/>
      </w:r>
      <w:r w:rsidR="00EC2F18">
        <w:rPr>
          <w:rFonts w:eastAsia="Calibri" w:cs="Calibri"/>
        </w:rPr>
        <w:instrText xml:space="preserve"> ADDIN ZOTERO_ITEM CSL_CITATION {"citationID":"it1yok7P","properties":{"unsorted":false,"formattedCitation":"\\super 16\\nosupersub{}","plainCitation":"16","noteIndex":0},"citationItems":[{"id":20220,"uris":["http://zotero.org/users/19783099/items/ATFKGQXJ"],"itemData":{"id":20220,"type":"article-journal","abstract":"South Africa is unique in that its globally significant biodiversity, which is under significant threat, coexists with an apartheid history of dispossession that produced a starkly unequal land ownership pattern and widespread rural poverty. It is in this context that the post-apartheid government must fulfil constitutional and international obligations to safeguard environmental assets as well as undertake land reform benefiting the previously dispossessed. Consequently, there is a continuous challenge of reconciling complex and often conflicting relationships between poverty, inequitable access to resources, and the protection of biodiversity. Current efforts to conserve the Cape Floral Kingdom emphasize partnerships between private landowners and existing nature reserves to promote sustainable utilisation of biodiversity. This paper presents a case study exploring how this approach might be reconciled with land rights and opportunities for land-based livelihoods among farm dwellers in the Baviaanskloof area of the Eastern Cape. The paper identifies systemic and structural tensions in current attempts to reconcile biodiversity conservation and farm dwellers’ interests, and documents issues of process and principle that could become important in the future. In doing so, it highlights the influence of on-farm power relations and overly complex institutional arrangements in determining the real extent of participation by affected farm dwellers and the efficacy of social safeguard policies. Findings also caution against an over-reliance on ecotourism as the major occupation and the paper argues instead for support for multiple livelihood strategies.","container-title":"Geoforum","DOI":"10.1016/j.geoforum.2006.07.002","ISSN":"0016-7185","issue":"6","journalAbbreviation":"Geoforum","page":"1035-1045","source":"ScienceDirect","title":"Biodiversity conservation and land rights in South Africa: Whither the farm dwellers?","title-short":"Biodiversity conservation and land rights in South Africa","volume":"37","author":[{"family":"Crane","given":"Wendy"}],"issued":{"date-parts":[["2006",11,1]]}}}],"schema":"https://github.com/citation-style-language/schema/raw/master/csl-citation.json"} </w:instrText>
      </w:r>
      <w:r w:rsidR="001343B4">
        <w:rPr>
          <w:rFonts w:eastAsia="Calibri" w:cs="Calibri"/>
        </w:rPr>
        <w:fldChar w:fldCharType="separate"/>
      </w:r>
      <w:r w:rsidR="00EC2F18" w:rsidRPr="00EC2F18">
        <w:rPr>
          <w:rFonts w:cs="Segoe UI"/>
          <w:vertAlign w:val="superscript"/>
        </w:rPr>
        <w:t>16</w:t>
      </w:r>
      <w:r w:rsidR="001343B4">
        <w:rPr>
          <w:rFonts w:eastAsia="Calibri" w:cs="Calibri"/>
        </w:rPr>
        <w:fldChar w:fldCharType="end"/>
      </w:r>
      <w:r w:rsidR="001343B4">
        <w:rPr>
          <w:rFonts w:eastAsia="Calibri" w:cs="Calibri"/>
        </w:rPr>
        <w:t>.</w:t>
      </w:r>
    </w:p>
    <w:p w14:paraId="2FD9F5E8" w14:textId="427F8DF4" w:rsidR="005240BE" w:rsidRDefault="00292AAA" w:rsidP="19FC05BD">
      <w:pPr>
        <w:pStyle w:val="Heading2"/>
        <w:numPr>
          <w:ilvl w:val="0"/>
          <w:numId w:val="0"/>
        </w:numPr>
        <w:ind w:left="360" w:hanging="360"/>
        <w:jc w:val="left"/>
      </w:pPr>
      <w:r>
        <w:t>7.5</w:t>
      </w:r>
      <w:r w:rsidR="005240BE">
        <w:t xml:space="preserve"> </w:t>
      </w:r>
      <w:r w:rsidR="005240BE" w:rsidRPr="00452182">
        <w:t xml:space="preserve">Use facilitation to foster </w:t>
      </w:r>
      <w:r w:rsidR="005240BE">
        <w:t xml:space="preserve">capability, </w:t>
      </w:r>
      <w:r w:rsidR="005240BE" w:rsidRPr="00452182">
        <w:t>collaboration, trust and transparency</w:t>
      </w:r>
    </w:p>
    <w:p w14:paraId="57BB9BAC" w14:textId="1F1DDBC1" w:rsidR="005240BE" w:rsidRPr="00281DFE" w:rsidRDefault="005240BE" w:rsidP="000676DA">
      <w:pPr>
        <w:rPr>
          <w:rFonts w:eastAsia="Calibri" w:cs="Calibri"/>
        </w:rPr>
      </w:pPr>
      <w:r w:rsidRPr="00293FD5">
        <w:t>NbS processes should invest in careful, transparent and well-facilitated engagement that builds trust over time through open, hone</w:t>
      </w:r>
      <w:r w:rsidRPr="008E1731">
        <w:t xml:space="preserve">st and regular communication </w:t>
      </w:r>
      <w:r w:rsidR="004869CB" w:rsidRPr="008E1731">
        <w:fldChar w:fldCharType="begin"/>
      </w:r>
      <w:r w:rsidR="00EC2F18">
        <w:instrText xml:space="preserve"> ADDIN ZOTERO_ITEM CSL_CITATION {"citationID":"0bOjL859","properties":{"unsorted":false,"formattedCitation":"\\super 17,30,31\\nosupersub{}","plainCitation":"17,30,31","noteIndex":0},"citationItems":[{"id":20198,"uris":["http://zotero.org/users/19783099/items/D4Q5FWA8"],"itemData":{"id":20198,"type":"article-journal","abstract":"ABSTRACT. Present-day conservation policies generally include the aim to integrate biodiversity conservation and local development, and describe this as a win–win solution that can satisfy all interests. This is challenged by research claiming that many efforts fail to match practice to rhetoric. South Africa has made strong commitments to fulfill the dual goals of conservation and development, and the iSimangaliso Wetland Park is promoted as an example of this. We explore present and potential outcomes of conservation and development interventions in a community bordering the Wetland Park through the perspective of different stakeholders, with the aim of uncovering opportunities and risks. In terms of improving local livelihoods as well as involvement in conservation, the success of the studied interventions varied. Local communities may accept restrictions on resource use as a result of realistic and fairly negotiated trade-offs, but if perceived as unjust and imposed from above, then mistrust and resistance will increase. In this area, collaboration between conservation organizations and the local community had improved, but still faced problems associated with unequal power relations, unrealistic expectations, and a lack of trust, transparency, and communication. As unsustainable efforts are a waste of funds and engagement, and may even become counterproductive, policy visions need to be matched by realistic allocations of staff, time, funds, and training. At the national and international level, the true cost of conservation has to be recognized and budgeted for if efforts at integrating conservation and development are to succeed.","container-title":"Ecology and Society","ISSN":"1708-3087","issue":"2","publisher":"Resilience Alliance Inc.","source":"JSTOR","title":"Addressing Trade-offs: Experiences from Conservation and Development Initiatives in the Mkuze Wetlands, South Africa","title-short":"Addressing Trade-offs","URL":"https://www.jstor.org/stable/26268318","volume":"14","author":[{"family":"Dahlberg","given":"Annika C."},{"family":"Burlando","given":"Catie"}],"accessed":{"date-parts":[["2026",3,25]]},"issued":{"date-parts":[["2009"]]}}},{"id":20249,"uris":["http://zotero.org/users/19783099/items/H48RXVBG"],"itemData":{"id":20249,"type":"article-journal","abstract":"We use case studies from Zimbabwe to illustrate the complexities that can undermine development efforts in semi-arid mixed farming areas. Livelihood improvement and micro-catchment management were considered in the context of portfolios of household activities. While technical and institutional interventions may strengthen safety nets, they did not appear to reduce poverty significantly. Managing common-pool resources and implementing the necessary institutional changes involved substantial and unsustainable transaction costs. Effective alleviation of poverty requires integrated, multi-tiered, and long-term interventions that expand economic opportunities and empower people to drive their own development.","container-title":"World Development","DOI":"10.1016/j.worlddev.2006.11.012","ISSN":"0305-750X","issue":"11","journalAbbreviation":"World Development","page":"1961-1974","source":"ScienceDirect","title":"In Search of Improved Rural Livelihoods in Semi-Arid Regions through Local Management of Natural Resources: Lessons from Case Studies in Zimbabwe","title-short":"In Search of Improved Rural Livelihoods in Semi-Arid Regions through Local Management of Natural Resources","volume":"35","author":[{"family":"Frost","given":"Peter"},{"family":"Campbell","given":"Bruce"},{"family":"Luckert","given":"Martin (marty)"},{"family":"Mutamba","given":"Manyewu"},{"family":"Mandondo","given":"Alois"},{"family":"Kozanayi","given":"Witness"}],"issued":{"date-parts":[["2007",11,1]]}}},{"id":20369,"uris":["http://zotero.org/users/19783099/items/PU3TZDJU"],"itemData":{"id":20369,"type":"article-journal","abstract":"The majority of Africa is characterised by high levels of poverty, high population densities and limited economic development. Botswana is, however, different in having the highest gross domestic product per capita in Africa, relatively low population densities and high levels of socio-economic development. Inequality, however, remains high. A community-based natural resource management programme was introduced in 1989 to ensure that local communities benefit from the country's abundant natural resources, with the hope that they will then protect them. Partnerships between the private sector and local communities evolved from this. Okavango Wilderness Safaris, a private sector ecotourism operator, has relationships with three community trusts: Okavango Community Trust (OCT), Sankuyo Community Development Trust and the Khwai Development Trust. This paper looks specifically at the partnership with the OCT. Based on ecotourism staff and non-staff interview results, an analysis of this relationship reveals that there are socio-economic benefits to be received, but the distribution of these is limited. Socio-economic benefits to individual community households can be substantial, but overall community benefit distribution needs to be reassessed. Overall socio-economic impacts of the partnership are examined and suggestions for enhancing private sector/community relationships are put forward, based on the interview results and personal observations.","container-title":"Journal of Ecotourism","DOI":"10.1080/14724049.2014.980744","ISSN":"1472-4049","issue":"2-3","note":"_eprint: https://doi.org/10.1080/14724049.2014.980744","page":"110-127","publisher":"Routledge","source":"Taylor and Francis+NEJM","title":"Partnership between a private sector ecotourism operator and a local community in the Okavango Delta, Botswana: the case of the Okavango Community Trust and Wilderness Safaris","title-short":"Partnership between a private sector ecotourism operator and a local community in the Okavango Delta, Botswana","volume":"13","author":[{"family":"Snyman","given":"Susan"}],"issued":{"date-parts":[["2014",9,2]]}}}],"schema":"https://github.com/citation-style-language/schema/raw/master/csl-citation.json"} </w:instrText>
      </w:r>
      <w:r w:rsidR="004869CB" w:rsidRPr="008E1731">
        <w:fldChar w:fldCharType="separate"/>
      </w:r>
      <w:r w:rsidR="00EC2F18" w:rsidRPr="00EC2F18">
        <w:rPr>
          <w:rFonts w:cs="Segoe UI"/>
          <w:vertAlign w:val="superscript"/>
        </w:rPr>
        <w:t>17,30,31</w:t>
      </w:r>
      <w:r w:rsidR="004869CB" w:rsidRPr="008E1731">
        <w:fldChar w:fldCharType="end"/>
      </w:r>
      <w:r w:rsidR="008E1731" w:rsidRPr="008E1731">
        <w:t>.</w:t>
      </w:r>
      <w:r w:rsidRPr="008E1731">
        <w:t xml:space="preserve"> Participation </w:t>
      </w:r>
      <w:r w:rsidRPr="00293FD5">
        <w:t xml:space="preserve">needs to be real, responsive and institutionalised, with clear communication of rules, expectations and resource use through locally trusted structures and leaders </w:t>
      </w:r>
      <w:r w:rsidR="008E1731">
        <w:fldChar w:fldCharType="begin"/>
      </w:r>
      <w:r w:rsidR="00EC2F18">
        <w:instrText xml:space="preserve"> ADDIN ZOTERO_ITEM CSL_CITATION {"citationID":"cxGK7KBd","properties":{"unsorted":false,"formattedCitation":"\\super 32,33\\nosupersub{}","plainCitation":"32,33","noteIndex":0},"citationItems":[{"id":20272,"uris":["http://zotero.org/users/19783099/items/8Y5CV5YP"],"itemData":{"id":20272,"type":"article-journal","abstract":"In the developing world, the term ‘participation’ has in recent years become a household word in the same way that ‘democracy’ or ‘gender’ have. Development agencies are demanding increased participation in their programmes. The use of the word or its application has become a centre of debate. Due to the difficulties involved in measuring ‘participation’ or indeed determining levels at which participation should take place, who participates and when, many ‘doubting Thomases’ have questioned its effectiveness. It has, however been acknowledged in many areas that popular participation changes policies and enhances management and governance. In complex issues of natural resources management, participatory techniques have helped communities develop collective responsibilities towards management of their resources and projects. This paper discusses the complexities of community participation in natural resources management, ranging from interrelations among stakeholders to resource ownership based on the experiences in the Kasanka Game Management Area (KGMA).","container-title":"Environmental Monitoring and Assessment","DOI":"10.1007/s10661-004-4010-x","ISSN":"1573-2959","issue":"1","journalAbbreviation":"Environ Monit Assess","language":"en","page":"105-113","source":"Springer Link","title":"Community Participation in Natural Resources Management: Reality or Rhetoric?","title-short":"Community Participation in Natural Resources Management","volume":"99","author":[{"family":"Mutamba","given":"Emmanuel"}],"issued":{"date-parts":[["2004",1,1]]}}},{"id":20217,"uris":["http://zotero.org/users/19783099/items/ZUPYDF8X"],"itemData":{"id":20217,"type":"article-journal","abstract":"New forest policies in South Africa seek to reconcile conservation and development objectives by devolving some responsibility for forest management from the state to local communities. Community participation in forest management aims to protect forest-based subsistence livelihoods by incorporating the interests of resource users, while simultaneously diffusing threats to biodiversity by managing resource use. To date, participatory forest management (PFM) has had mixed success in South Africa because the transfer of rights to users has not accompanied changes in policy. A questionnaire survey of 60 households (43%) revealed the attitudes of users toward current management and conservation options for iGxalingenwa forest. Users chose participatory forest management (52%) over community (25%) or state-dominated forest management (2%) structures. User choice was motivated by the desire to secure rights of access to, and ensure equitable benefit from, a dwindling resource base, rather than the conservation of these resources to sustain future yields. Users were unwilling to reduce resource use and compromise usufruct rights to achieve conservation goals, even to improve the availability of the resource stock. Current user needs compromise biodiversity conservation goals, and users regard state conservation practices as protectionist and obstructing their rights of access to resources. While the National Forests Act of 1998 seeks to conserve resources by limiting access to them and is based on principles of sustainable use, it is nevertheless perceived to offer few incentives to users to participate in forest management and conservation. Ideally, an institutional and legal framework that allocates user rights and managerial responsibilities to households is required, but clearly suitable alternatives to forest products are also vital for successful management. Greater trust between the provincial parks authority and users is needed, but is complicated by weak traditional leadership and poor community representation. Ultimately, users preferred PFM because, while recognizing that harvest rates are unsustainable, user dependence upon forest resources and weak traditional leadership means they can protect usufruct rights only by participation. Changes to any of these factors may create demands for a new management system. PFM allows the greatest flexibility for responding to changes in demands as well as the environment.","container-title":"Environmental Conservation","DOI":"10.1017/S0376892905001979","ISSN":"1469-4387, 0376-8929","issue":"1","language":"en","page":"64-75","source":"Cambridge University Press","title":"User perceptions of conservation and participatory management of iGxalingenwa forest, South Africa","volume":"32","author":[{"family":"Robertson","given":"John"},{"family":"Lawes","given":"Michael J."}],"issued":{"date-parts":[["2005",3]]}}}],"schema":"https://github.com/citation-style-language/schema/raw/master/csl-citation.json"} </w:instrText>
      </w:r>
      <w:r w:rsidR="008E1731">
        <w:fldChar w:fldCharType="separate"/>
      </w:r>
      <w:r w:rsidR="00EC2F18" w:rsidRPr="00EC2F18">
        <w:rPr>
          <w:rFonts w:cs="Segoe UI"/>
          <w:vertAlign w:val="superscript"/>
        </w:rPr>
        <w:t>32,33</w:t>
      </w:r>
      <w:r w:rsidR="008E1731">
        <w:fldChar w:fldCharType="end"/>
      </w:r>
      <w:r w:rsidR="00281DFE">
        <w:t xml:space="preserve">. </w:t>
      </w:r>
      <w:r w:rsidRPr="00293FD5">
        <w:t xml:space="preserve">Proactive collaboration between local actors, external facilitators and interdisciplinary teams can help reduce misunderstandings and ease tensions between social and environmental goals </w:t>
      </w:r>
      <w:r w:rsidR="00281DFE">
        <w:fldChar w:fldCharType="begin"/>
      </w:r>
      <w:r w:rsidR="00EC2F18">
        <w:instrText xml:space="preserve"> ADDIN ZOTERO_ITEM CSL_CITATION {"citationID":"roM24Zsy","properties":{"unsorted":false,"formattedCitation":"\\super 15,34\\nosupersub{}","plainCitation":"15,34","noteIndex":0},"citationItems":[{"id":20330,"uris":["http://zotero.org/users/19783099/items/ZM8PJPS5"],"itemData":{"id":20330,"type":"article-journal","abstract":"Tourism in the Ankarana protected area, Madagascar, has increased since the early 1990s, linked to growing national and donor interest in conservation and ecotourism. Using a qualitative and longitudinal approach, this analysis focuses on the social impacts of tourist intensification, comparing and contrasting communities on either side of the protected area. As tourist numbers have increased, infrastructure to accommodate them has developed and tour guiding has professionalized. In this process, the locus of tourism shifted from the loosely organized, “grassroots” tourism of the western side of Ankarana to the organized, externally financed, easy-access tourism of the eastern side, with both environmental and social consequences. The paper argues that a concentration and professionalization of ecotourism services within a region can marginalize neighboring human communities even though not necessarily leading to increased overall environmental degradation. It contributes to tourism studies by engaging a political ecology approach to unpack the concept of “local people” through a multi-community study of the ripple effects of ecotourism within its immediately surrounding areas. This study of community equity acknowledges the need for balanced evaluations of tourism's effects. It also recognizes the value of nuanced empirical studies for planning to meet goals of location-specific environmental and socioeconomic sustainability.","container-title":"Journal of Sustainable Tourism","DOI":"10.1080/09669582.2013.847942","ISSN":"0966-9582","issue":"5","note":"_eprint: https://doi.org/10.1080/09669582.2013.847942","page":"821-838","publisher":"Routledge","source":"Taylor and Francis+NEJM","title":"Who wins and who loses? Unpacking the “local people” concept in ecotourism: a longitudinal study of community equity in Ankarana, Madagascar","title-short":"Who wins and who loses?","volume":"22","author":[{"family":"Gezon","given":"Lisa L."}],"issued":{"date-parts":[["2014",7,4]]}}},{"id":20253,"uris":["http://zotero.org/users/19783099/items/NZI3G36L"],"itemData":{"id":20253,"type":"article-journal","abstract":"Incentives are key to attracting and maintaining participation in community based natural resource management (CBNRM) initiatives. However, incentives cannot work if people do not know about them, if they are inappropriate or if they are delivered in insufficient quantities. In southern African CBNRM initiatives, many incentives are offered, particularly jobs and community income from hunting and photographic tourism activities. There is a need to assess – jointly – residents’ knowledge and perceptions of these incentives and their actual delivery to determine whether they are likely to be effective in sustaining participation in CBNRM activities over the long run. This paper reports the results of just such an assessment at two CBNRM sites, the Tchuma Tchato project in Mozambique and Kwandu Conservancy in Namibia. While different types of benefits were delivered at both sites, they were largely of low value and low in volume. It appears that the incentives offered are not inappropriate, but are insufficient – too few people benefit directly and the level of benefits is generally too small. Further, a large minority of households feel benefits have been inequitably distributed and that the direct costs of living with wildlife have been ineffectively addressed. These issues should be viewed as potentially serious challenges to maintaining local participation in CBNRM activities in the long run.","collection-title":"Themed Issue 1-Guest Editor Romy GreinerThemed Issue 2- Guest Editor Davide Viaggi","container-title":"Land Use Policy","DOI":"10.1016/j.landusepol.2012.08.008","ISSN":"0264-8377","journalAbbreviation":"Land Use Policy","page":"441-449","source":"ScienceDirect","title":"The effectiveness of economic incentives for sustaining community based natural resource management","volume":"31","author":[{"family":"Suich","given":"Helen"}],"issued":{"date-parts":[["2013",3,1]]}}}],"schema":"https://github.com/citation-style-language/schema/raw/master/csl-citation.json"} </w:instrText>
      </w:r>
      <w:r w:rsidR="00281DFE">
        <w:fldChar w:fldCharType="separate"/>
      </w:r>
      <w:r w:rsidR="00EC2F18" w:rsidRPr="00EC2F18">
        <w:rPr>
          <w:rFonts w:cs="Segoe UI"/>
          <w:vertAlign w:val="superscript"/>
        </w:rPr>
        <w:t>15,34</w:t>
      </w:r>
      <w:r w:rsidR="00281DFE">
        <w:fldChar w:fldCharType="end"/>
      </w:r>
      <w:r w:rsidR="001177D8">
        <w:t xml:space="preserve">. </w:t>
      </w:r>
      <w:r w:rsidRPr="00293FD5">
        <w:t xml:space="preserve">At the same time, NbS should strengthen local </w:t>
      </w:r>
      <w:r>
        <w:t>capabilities</w:t>
      </w:r>
      <w:r w:rsidRPr="00293FD5">
        <w:t xml:space="preserve"> in governance, financial management and organisational skills, while recognising that external support may still be needed in the short term and should be used to </w:t>
      </w:r>
      <w:r>
        <w:t>support</w:t>
      </w:r>
      <w:r w:rsidRPr="00293FD5">
        <w:t xml:space="preserve"> community ownership and accountable local institutions </w:t>
      </w:r>
      <w:r w:rsidR="001177D8">
        <w:fldChar w:fldCharType="begin"/>
      </w:r>
      <w:r w:rsidR="00EC2F18">
        <w:instrText xml:space="preserve"> ADDIN ZOTERO_ITEM CSL_CITATION {"citationID":"Em1ns7ht","properties":{"unsorted":false,"formattedCitation":"\\super 2,20,35\\uc0\\u8211{}38\\nosupersub{}","plainCitation":"2,20,35–38","noteIndex":0},"citationItems":[{"id":20292,"uris":["http://zotero.org/users/19783099/items/5G49IVQR"],"itemData":{"id":20292,"type":"article-journal","abstract":"This paper reports the results of our research, conducted from June to August 2004, on the community-based conservation project in Mahenye, Zimbabwe. Previous studies have described this project as a model example of Zimbabwe’s CAMPFIRE program. We explore the project’s recent performance within the context of the country’s post-2000 political and economic crisis and address the implications of our findings for arguments supporting devolution of authority for natural resource management to the community level. These issues are related in that calls for devolution are at least partly contingent on the demonstrated capacity of local institutions to manage projects in the community interest despite difficult circumstances. In our research, we found that outcomes in Mahenye have deteriorated sharply from conditions described in earlier studies. We found further that local failures of leadership combined with the withdrawal of outside agencies responsible for oversight and assistance may be more to blame for this decline than the ongoing national turmoil. Our results suggest that even in apparently successful conservation and development projects, local participatory decision-making institutions are fragile and require continuing external support. Consequently, we argue for caution in promoting full devolution of authority to the community level without safeguards to maintain good governance and adequate capacity.","container-title":"Geoforum","DOI":"10.1016/j.geoforum.2005.01.011","ISSN":"0016-7185","issue":"5","journalAbbreviation":"Geoforum","page":"805-815","source":"ScienceDirect","title":"The decline of a model community-based conservation project: Governance, capacity, and devolution in Mahenye, Zimbabwe","title-short":"The decline of a model community-based conservation project","volume":"37","author":[{"family":"Balint","given":"Peter J."},{"family":"Mashinya","given":"Judith"}],"issued":{"date-parts":[["2006",9,1]]}}},{"id":20264,"uris":["http://zotero.org/users/19783099/items/SHT8ZV4S"],"itemData":{"id":20264,"type":"article-journal","abstract":"Abstract This paper is based on a case study, which investigated the challenges and prospects of sustainability of indigenous knowledge-based vegetable garden projects in the Lekgophung village in the North-West Province, South Africa. The garden projects were initiated by rural women to use their local knowledge of farming and indigenous plants to alleviate their poverty situation. The study found that the sustainability of the project has been hampered by lack of project managerial skills, limited participation of the community youth, lack of commitment of project members due to irregular remuneration, problems of financial accountability, rampant theft and lack of sustainable support from by government and other developmental agencies. Among the recommendations advanced include improved incentive strategies to attract youth participation and a holistic approach to human resource capacity building. This should also involve cooperation and coordination between projects to share experiences and scarce resources.","container-title":"Journal of Social Sciences","DOI":"10.1080/09718923.2016.11893521","ISSN":"0971-8923","issue":"2","journalAbbreviation":"Journal of Social Sciences","language":"en","page":"137-145","source":"Semantic Scholar","title":"Indigenous Knowledge-based Vegetable Garden Projects for Poverty Alleviation in South Africa","volume":"46","author":[{"family":"Chinsamy","given":"Mayashree"},{"family":"Koitsiwe","given":"Motheo"}],"issued":{"date-parts":[["2016",2]]}}},{"id":20266,"uris":["http://zotero.org/users/19783099/items/DQCTPAJ2"],"itemData":{"id":20266,"type":"article-journal","container-title":"African Journal of Hospitality, Tourism and Leisure","title":"A framework for facilitation of community participation in and beneficiation from CBT around the Save Valley Conservancy","author":[{"family":"Hlengwa","given":"Dumsile Cynthia"},{"family":"Maruta","given":"Albert"}],"issued":{"date-parts":[["2020"]]}}},{"id":20370,"uris":["http://zotero.org/users/19783099/items/AQYF896D"],"itemData":{"id":20370,"type":"article-journal","abstract":"This article describes how a participatory action research project, the Zambezi Valley Advocacy Project, assisted the process of improving the autonomy of communities over wildlife management issues in the Zambezi Valley, Zimbabwe. The project was based on the assumption that negligible conservation and development benefits realised from wildlife resources were both a policy and a management problem of the Communal Areas Management Programme for Indigenous Resources (CAMPFIRE). Using a participatory analysis, we found that CAMPFIRE is a resilient programme despite the increase in poaching, unscrupulous hunting safari operators, continued destruction of crops by wildlife, reduced flow of financial benefits to producer communities, and economic decline which Zimbabwe has experienced since around the year 2000. This study demonstrates the value of participatory research, so much so that by the end of the project, stakeholders had already started implementing the findings to the hunting contract system, anti-poaching activities, and direct payment system. This represented a significant start to improving community autonomy over wildlife management. It also provided significant opportunities for both researchers and participants to collaborate and use their collective power to create political will for opening up greater decision-making, ownership wildlife resources, and benefit-sharing options for local communities. The lessons from this study are likely to be applicable to other community-based natural resource management contexts.","container-title":"Forum for Development Studies","DOI":"10.1080/08039410.2012.688862","ISSN":"0803-9410","issue":"1","note":"_eprint: https://doi.org/10.1080/08039410.2012.688862","page":"87-109","publisher":"Routledge","source":"Taylor and Francis+NEJM","title":"‘Are You Serious to Ask Me about Who Owns Wildlife?’ Politics of Autonomy over Wildlife Resources in the Zambezi Valley, Zimbabwe","title-short":"‘Are You Serious to Ask Me about Who Owns Wildlife?","volume":"40","author":[{"family":"Manyena","given":"Siambabala Bernard"},{"family":"Collins","given":"Andrew E."},{"family":"Mudimba","given":"Frank"},{"family":"Mudimba","given":"Danisa"}],"issued":{"date-parts":[["2013",3,1]]}}},{"id":20290,"uris":["http://zotero.org/users/19783099/items/QF8PELV2"],"itemData":{"id":20290,"type":"article-journal","abstract":"Community wildlife management programmes in southern Africa typically offer residents benefits such as meat, money and jobs in the hopes of improving both conservation outcomes and local welfare. This article examines this assumption on the basis of a case study in northwest Namibia. The study suggests the importance of direct benefits in shaping support for and commitment to conservation. However, the study's analytical framework also opens up the ‘black box’ linking benefits to conservation and demonstrates that the link of benefits to attitudes and behaviours cannot be understood without taking into consideration three underlying factors: the appropriateness and equitability of benefits, the level of local control, and the broader context of peoples' values, their sense of identity and their development aspirations.","container-title":"Development Southern Africa","DOI":"10.1080/03768350802640107","ISSN":"0376-835X","issue":"1","note":"_eprint: https://doi.org/10.1080/03768350802640107","page":"75-93","publisher":"Routledge","source":"Taylor and Francis+NEJM","title":"Untangling the links between wildlife benefits and community-based conservation at Torra Conservancy, Namibia","volume":"26","author":[{"family":"Scanlon","given":"Lauren J"},{"family":"Kull","given":"Christian A"}],"issued":{"date-parts":[["2009",3,1]]}}},{"id":20299,"uris":["http://zotero.org/users/19783099/items/P9IZ8XYK"],"itemData":{"id":20299,"type":"article-journal","abstract":"This study examines struggles to bring people back into protected forests to enhance sustainable forest management and livelihoods using insights emer...","container-title":"Sustainability","DOI":"10.3390/su5051917","ISSN":"2071-1050","issue":"5","language":"en","license":"http://creativecommons.org/licenses/by/3.0/","page":"1917-1943","publisher":"Multidisciplinary Digital Publishing Institute","source":"www.mdpi.com","title":"Bringing People Back into Protected Forests in Developing Countries: Insights from Co-Management in Malawi","title-short":"Bringing People Back into Protected Forests in Developing Countries","volume":"5","author":[{"family":"Zulu","given":"Leo"}],"issued":{"date-parts":[["2013",5,2]]}}}],"schema":"https://github.com/citation-style-language/schema/raw/master/csl-citation.json"} </w:instrText>
      </w:r>
      <w:r w:rsidR="001177D8">
        <w:fldChar w:fldCharType="separate"/>
      </w:r>
      <w:r w:rsidR="00EC2F18" w:rsidRPr="00EC2F18">
        <w:rPr>
          <w:rFonts w:cs="Segoe UI"/>
          <w:vertAlign w:val="superscript"/>
        </w:rPr>
        <w:t>2,20,35–38</w:t>
      </w:r>
      <w:r w:rsidR="001177D8">
        <w:fldChar w:fldCharType="end"/>
      </w:r>
      <w:r w:rsidR="000676DA">
        <w:t xml:space="preserve">. </w:t>
      </w:r>
      <w:r>
        <w:t>NbS should empower representative local institutions that are both legitimate and accountable to their members and that have adequate capacity and structures for good governance</w:t>
      </w:r>
      <w:r w:rsidRPr="00D5BE14">
        <w:rPr>
          <w:rFonts w:eastAsia="Calibri" w:cs="Calibri"/>
          <w:color w:val="FF0000"/>
        </w:rPr>
        <w:t xml:space="preserve"> </w:t>
      </w:r>
      <w:r w:rsidR="000676DA">
        <w:rPr>
          <w:rFonts w:eastAsia="Calibri" w:cs="Calibri"/>
          <w:color w:val="FF0000"/>
        </w:rPr>
        <w:fldChar w:fldCharType="begin"/>
      </w:r>
      <w:r w:rsidR="00EC2F18">
        <w:rPr>
          <w:rFonts w:eastAsia="Calibri" w:cs="Calibri"/>
          <w:color w:val="FF0000"/>
        </w:rPr>
        <w:instrText xml:space="preserve"> ADDIN ZOTERO_ITEM CSL_CITATION {"citationID":"VW6vrZzC","properties":{"unsorted":false,"formattedCitation":"\\super 2\\nosupersub{}","plainCitation":"2","noteIndex":0},"citationItems":[{"id":20290,"uris":["http://zotero.org/users/19783099/items/QF8PELV2"],"itemData":{"id":20290,"type":"article-journal","abstract":"Community wildlife management programmes in southern Africa typically offer residents benefits such as meat, money and jobs in the hopes of improving both conservation outcomes and local welfare. This article examines this assumption on the basis of a case study in northwest Namibia. The study suggests the importance of direct benefits in shaping support for and commitment to conservation. However, the study's analytical framework also opens up the ‘black box’ linking benefits to conservation and demonstrates that the link of benefits to attitudes and behaviours cannot be understood without taking into consideration three underlying factors: the appropriateness and equitability of benefits, the level of local control, and the broader context of peoples' values, their sense of identity and their development aspirations.","container-title":"Development Southern Africa","DOI":"10.1080/03768350802640107","ISSN":"0376-835X","issue":"1","note":"_eprint: https://doi.org/10.1080/03768350802640107","page":"75-93","publisher":"Routledge","source":"Taylor and Francis+NEJM","title":"Untangling the links between wildlife benefits and community-based conservation at Torra Conservancy, Namibia","volume":"26","author":[{"family":"Scanlon","given":"Lauren J"},{"family":"Kull","given":"Christian A"}],"issued":{"date-parts":[["2009",3,1]]}}}],"schema":"https://github.com/citation-style-language/schema/raw/master/csl-citation.json"} </w:instrText>
      </w:r>
      <w:r w:rsidR="000676DA">
        <w:rPr>
          <w:rFonts w:eastAsia="Calibri" w:cs="Calibri"/>
          <w:color w:val="FF0000"/>
        </w:rPr>
        <w:fldChar w:fldCharType="separate"/>
      </w:r>
      <w:r w:rsidR="00EC2F18" w:rsidRPr="00EC2F18">
        <w:rPr>
          <w:rFonts w:cs="Segoe UI"/>
          <w:vertAlign w:val="superscript"/>
        </w:rPr>
        <w:t>2</w:t>
      </w:r>
      <w:r w:rsidR="000676DA">
        <w:rPr>
          <w:rFonts w:eastAsia="Calibri" w:cs="Calibri"/>
          <w:color w:val="FF0000"/>
        </w:rPr>
        <w:fldChar w:fldCharType="end"/>
      </w:r>
      <w:r w:rsidR="000676DA" w:rsidRPr="1E1751BE">
        <w:rPr>
          <w:rFonts w:eastAsia="Calibri" w:cs="Calibri"/>
        </w:rPr>
        <w:t>.</w:t>
      </w:r>
    </w:p>
    <w:p w14:paraId="534FFFE2" w14:textId="33196CDD" w:rsidR="005240BE" w:rsidRPr="00543179" w:rsidRDefault="00292AAA" w:rsidP="19FC05BD">
      <w:pPr>
        <w:pStyle w:val="Heading2"/>
        <w:numPr>
          <w:ilvl w:val="0"/>
          <w:numId w:val="0"/>
        </w:numPr>
        <w:ind w:left="360" w:hanging="360"/>
        <w:jc w:val="left"/>
      </w:pPr>
      <w:r>
        <w:t>7.6</w:t>
      </w:r>
      <w:r w:rsidR="005240BE">
        <w:t xml:space="preserve"> F</w:t>
      </w:r>
      <w:r w:rsidR="005240BE" w:rsidRPr="00543179">
        <w:t xml:space="preserve">ocus on poverty </w:t>
      </w:r>
      <w:r w:rsidR="00991338">
        <w:t>and vulnerability</w:t>
      </w:r>
    </w:p>
    <w:p w14:paraId="5A1D4B89" w14:textId="74475464" w:rsidR="00141DCE" w:rsidRDefault="005240BE" w:rsidP="0001616B">
      <w:pPr>
        <w:rPr>
          <w:rFonts w:eastAsia="Calibri" w:cs="Calibri"/>
        </w:rPr>
      </w:pPr>
      <w:r w:rsidRPr="00823514">
        <w:rPr>
          <w:rFonts w:eastAsia="Calibri" w:cs="Calibri"/>
        </w:rPr>
        <w:t xml:space="preserve">NbS should adopt an explicit </w:t>
      </w:r>
      <w:r>
        <w:rPr>
          <w:rFonts w:eastAsia="Calibri" w:cs="Calibri"/>
        </w:rPr>
        <w:t xml:space="preserve">focus on those most vulnerable including </w:t>
      </w:r>
      <w:r w:rsidR="00AE08BC">
        <w:rPr>
          <w:rFonts w:eastAsia="Calibri" w:cs="Calibri"/>
        </w:rPr>
        <w:t>integrating</w:t>
      </w:r>
      <w:r w:rsidRPr="00823514">
        <w:rPr>
          <w:rFonts w:eastAsia="Calibri" w:cs="Calibri"/>
        </w:rPr>
        <w:t xml:space="preserve"> poorer households, those with limited access to resources, and those facing compounding vulnerabilities within design and implementation processes </w:t>
      </w:r>
      <w:r w:rsidR="00647D83">
        <w:rPr>
          <w:rFonts w:eastAsia="Calibri" w:cs="Calibri"/>
        </w:rPr>
        <w:fldChar w:fldCharType="begin"/>
      </w:r>
      <w:r w:rsidR="00EC2F18">
        <w:rPr>
          <w:rFonts w:eastAsia="Calibri" w:cs="Calibri"/>
        </w:rPr>
        <w:instrText xml:space="preserve"> ADDIN ZOTERO_ITEM CSL_CITATION {"citationID":"shGsOhMD","properties":{"unsorted":false,"formattedCitation":"\\super 39\\nosupersub{}","plainCitation":"39","noteIndex":0},"citationItems":[{"id":20280,"uris":["http://zotero.org/users/19783099/items/27TNMMHT"],"itemData":{"id":20280,"type":"article-journal","abstract":"Conservation agriculture, drought tolerant maize, and improved legume varieties are key climate change management strategies for smallholder farmers in southern Africa. Their complementary efforts in adaptation to climate change are sternly important for farm productivity and income. This study evaluates factors explaining individual and multiple adoption of climate change management strategies and their differential impacts on productivity and income using a sample of 1172 smallholder farmers from Malawi and Zimbabwe. The study employs multinomial logistic regression to evaluate factors of individual and multiple adoption and regression adjustment with inverse probability weighting to evaluate impacts of the different adoption regimes on farm productivity and income. The results show that multiple adoption of innovations is mostly explained by access to key resources (credit, income and information), level of education and size of land owned by the farmer. More so, the concurrent adoption of conservation agriculture, stress adapted legume varieties and drought tolerant maize has far greater dividends on productivity and income than when considered individually. However, impacts of multiple adoption of the practices are not entirely uniform across different geographic regions and gender. Results suggest that effective institutional and policy efforts targeted towards reducing resource constraints that inhibit farmers' capacity to adopt complementary climate-smart agriculture packages such as conservation agriculture, drought tolerant maize and improved legume varieties must be gender sensitive and context specific.","container-title":"Journal of Environmental Management","DOI":"10.1016/j.jenvman.2018.10.069","ISSN":"0301-4797","journalAbbreviation":"Journal of Environmental Management","page":"858-868","source":"ScienceDirect","title":"Increasing resilience of smallholder farmers to climate change through multiple adoption of proven climate-smart agriculture innovations. Lessons from Southern Africa","volume":"231","author":[{"family":"Makate","given":"Clifton"},{"family":"Makate","given":"Marshall"},{"family":"Mango","given":"Nelson"},{"family":"Siziba","given":"Shephard"}],"issued":{"date-parts":[["2019",2,1]]}}}],"schema":"https://github.com/citation-style-language/schema/raw/master/csl-citation.json"} </w:instrText>
      </w:r>
      <w:r w:rsidR="00647D83">
        <w:rPr>
          <w:rFonts w:eastAsia="Calibri" w:cs="Calibri"/>
        </w:rPr>
        <w:fldChar w:fldCharType="separate"/>
      </w:r>
      <w:r w:rsidR="00EC2F18" w:rsidRPr="00EC2F18">
        <w:rPr>
          <w:rFonts w:cs="Segoe UI"/>
          <w:vertAlign w:val="superscript"/>
        </w:rPr>
        <w:t>39</w:t>
      </w:r>
      <w:r w:rsidR="00647D83">
        <w:rPr>
          <w:rFonts w:eastAsia="Calibri" w:cs="Calibri"/>
        </w:rPr>
        <w:fldChar w:fldCharType="end"/>
      </w:r>
      <w:r w:rsidR="00647D83">
        <w:rPr>
          <w:rFonts w:eastAsia="Calibri" w:cs="Calibri"/>
        </w:rPr>
        <w:t xml:space="preserve">. </w:t>
      </w:r>
      <w:r w:rsidRPr="00823514">
        <w:rPr>
          <w:rFonts w:eastAsia="Calibri" w:cs="Calibri"/>
        </w:rPr>
        <w:t xml:space="preserve">This includes support such as subsidised access to inputs, pro-poor technologies and institutional arrangements, targeted incentives, and fair access to jobs and livelihood opportunities </w:t>
      </w:r>
      <w:r w:rsidR="000919F2">
        <w:rPr>
          <w:rFonts w:eastAsia="Calibri" w:cs="Calibri"/>
        </w:rPr>
        <w:fldChar w:fldCharType="begin"/>
      </w:r>
      <w:r w:rsidR="00EC2F18">
        <w:rPr>
          <w:rFonts w:eastAsia="Calibri" w:cs="Calibri"/>
        </w:rPr>
        <w:instrText xml:space="preserve"> ADDIN ZOTERO_ITEM CSL_CITATION {"citationID":"igorxSEU","properties":{"unsorted":false,"formattedCitation":"\\super 17,40,41\\nosupersub{}","plainCitation":"17,40,41","noteIndex":0},"citationItems":[{"id":20249,"uris":["http://zotero.org/users/19783099/items/H48RXVBG"],"itemData":{"id":20249,"type":"article-journal","abstract":"We use case studies from Zimbabwe to illustrate the complexities that can undermine development efforts in semi-arid mixed farming areas. Livelihood improvement and micro-catchment management were considered in the context of portfolios of household activities. While technical and institutional interventions may strengthen safety nets, they did not appear to reduce poverty significantly. Managing common-pool resources and implementing the necessary institutional changes involved substantial and unsustainable transaction costs. Effective alleviation of poverty requires integrated, multi-tiered, and long-term interventions that expand economic opportunities and empower people to drive their own development.","container-title":"World Development","DOI":"10.1016/j.worlddev.2006.11.012","ISSN":"0305-750X","issue":"11","journalAbbreviation":"World Development","page":"1961-1974","source":"ScienceDirect","title":"In Search of Improved Rural Livelihoods in Semi-Arid Regions through Local Management of Natural Resources: Lessons from Case Studies in Zimbabwe","title-short":"In Search of Improved Rural Livelihoods in Semi-Arid Regions through Local Management of Natural Resources","volume":"35","author":[{"family":"Frost","given":"Peter"},{"family":"Campbell","given":"Bruce"},{"family":"Luckert","given":"Martin (marty)"},{"family":"Mutamba","given":"Manyewu"},{"family":"Mandondo","given":"Alois"},{"family":"Kozanayi","given":"Witness"}],"issued":{"date-parts":[["2007",11,1]]}}},{"id":20206,"uris":["http://zotero.org/users/19783099/items/B7ZKA5I7"],"itemData":{"id":20206,"type":"article-journal","abstract":"This paper concerns Drought-Tolerant Maize (DTM) and Conservation Agriculture (CA) practices that were introduced into smallholder maize-based farming systems in Zimbabwe to enhance the productivity of maize and food security under a changing climate. Although these technologies are technically appropriate, there are difficulties with their use by smallholder farmers of relatively low socio-economic status, as measured through ownership of farm or household assets and endowments. Thus, we sought to quantify and explain wealth-related inequalities in the adoption of DTM and CA in smallholder farming communities and discuss their implications for food security. The analysis used cross-sectional household-level data gathered from 601 smallholder farmers from four districts in Zimbabwe. We found evidence of a pro-rich distribution of inequalities in the adoption of DTM and CA that were mostly explained by differences in household wealth, access to agricultural extension services and size of farm land. No meaningful differences in DTM adoption disparities were found across districts. Significant gender differences were observed for CA, and meaningful differences by district were noted. Results suggest the need for decision makers to consider implementing policies that focus on the poorer segments of the farming society to alleviate differences in the adoption of such agricultural technologies. For example, subsidizing the uptake of improved maize varieties including DTM and prioritizing equitable land distribution, coupled with specialised extension services for the poor in a cereal-based CA farming system, could reduce the observed gap between rich and poor in the uptake of these innovations and consequently improve food security.","container-title":"Food Security","DOI":"10.1007/s12571-019-00946-7","ISSN":"1876-4525","issue":"4","journalAbbreviation":"Food Sec.","language":"en","page":"881-896","source":"Springer Link","title":"Wealth-related inequalities in adoption of drought-tolerant maize and conservation agriculture in Zimbabwe","volume":"11","author":[{"family":"Makate","given":"Clifton"},{"family":"Makate","given":"Marshall"},{"family":"Mango","given":"Nelson"}],"issued":{"date-parts":[["2019",8,1]]}}},{"id":20313,"uris":["http://zotero.org/users/19783099/items/9XHXFKSY"],"itemData":{"id":20313,"type":"article-journal","abstract":"International programmes and national policies around the world have identified tourism as an appropriate mechanism for sustainable development, poverty alleviation and biodiversity conservation. To evaluate the impact of nature-based tourism on the poor, socio-economic assessments were undertaken at enterprises based within South African protected areas. Comparisons were made between local economic interventions reported by enterprises and neighbouring community member's perceptions of their initiatives. Socioeconomic impacts evaluated included employment, gender equality, procurement, corporate social responsibility, dependency on tourism and access to markets. The studies demonstrate that isolated efforts from individual tourism companies have little tangible impact on the majority of people living in highly populated rural communities but impacts are substantial for the few people who directly benefit. Implications of these findings for future socio-economic initiatives through tourism, and options to increase net benefits to the poor are explored.","container-title":"Current Issues in Tourism","DOI":"10.2167/cit305.0","ISSN":"1368-3500","issue":"2-3","note":"_eprint: https://doi.org/10.2167/cit305.0","page":"255-277","publisher":"Routledge","source":"Taylor and Francis+NEJM","title":"Nature-Based Tourism and Poverty Alleviation: Impacts of Private Sector and Parastatal Enterprises In and Around Kruger National Park, South Africa","title-short":"Nature-Based Tourism and Poverty Alleviation","volume":"10","author":[{"family":"Spenceley","given":"Anna"},{"family":"Goodwin","given":"Harold"}],"issued":{"date-parts":[["2007",6,1]]}}}],"schema":"https://github.com/citation-style-language/schema/raw/master/csl-citation.json"} </w:instrText>
      </w:r>
      <w:r w:rsidR="000919F2">
        <w:rPr>
          <w:rFonts w:eastAsia="Calibri" w:cs="Calibri"/>
        </w:rPr>
        <w:fldChar w:fldCharType="separate"/>
      </w:r>
      <w:r w:rsidR="00EC2F18" w:rsidRPr="00EC2F18">
        <w:rPr>
          <w:rFonts w:cs="Segoe UI"/>
          <w:vertAlign w:val="superscript"/>
        </w:rPr>
        <w:t>17,40,41</w:t>
      </w:r>
      <w:r w:rsidR="000919F2">
        <w:rPr>
          <w:rFonts w:eastAsia="Calibri" w:cs="Calibri"/>
        </w:rPr>
        <w:fldChar w:fldCharType="end"/>
      </w:r>
      <w:r w:rsidRPr="00823514">
        <w:rPr>
          <w:rFonts w:eastAsia="Calibri" w:cs="Calibri"/>
        </w:rPr>
        <w:t>. In many contexts,</w:t>
      </w:r>
      <w:r>
        <w:rPr>
          <w:rFonts w:eastAsia="Calibri" w:cs="Calibri"/>
        </w:rPr>
        <w:t xml:space="preserve"> particularly highly transformed environments and low-income areas,</w:t>
      </w:r>
      <w:r w:rsidRPr="00823514">
        <w:rPr>
          <w:rFonts w:eastAsia="Calibri" w:cs="Calibri"/>
        </w:rPr>
        <w:t xml:space="preserve"> </w:t>
      </w:r>
      <w:r>
        <w:rPr>
          <w:rFonts w:eastAsia="Calibri" w:cs="Calibri"/>
        </w:rPr>
        <w:t>NbS should</w:t>
      </w:r>
      <w:r w:rsidR="1E1751BE" w:rsidRPr="1E1751BE">
        <w:rPr>
          <w:rFonts w:eastAsia="Calibri" w:cs="Calibri"/>
        </w:rPr>
        <w:t xml:space="preserve"> first</w:t>
      </w:r>
      <w:r>
        <w:rPr>
          <w:rFonts w:eastAsia="Calibri" w:cs="Calibri"/>
        </w:rPr>
        <w:t xml:space="preserve"> focus on </w:t>
      </w:r>
      <w:r w:rsidRPr="00823514">
        <w:rPr>
          <w:rFonts w:eastAsia="Calibri" w:cs="Calibri"/>
        </w:rPr>
        <w:t>social empowerment and economic development, with</w:t>
      </w:r>
      <w:r w:rsidR="00072193">
        <w:rPr>
          <w:rFonts w:eastAsia="Calibri" w:cs="Calibri"/>
        </w:rPr>
        <w:t xml:space="preserve"> </w:t>
      </w:r>
      <w:r w:rsidR="000E3717">
        <w:rPr>
          <w:rFonts w:eastAsia="Calibri" w:cs="Calibri"/>
        </w:rPr>
        <w:t xml:space="preserve">seemingly </w:t>
      </w:r>
      <w:r w:rsidR="00072193">
        <w:rPr>
          <w:rFonts w:eastAsia="Calibri" w:cs="Calibri"/>
        </w:rPr>
        <w:t>intangible</w:t>
      </w:r>
      <w:r w:rsidRPr="00823514">
        <w:rPr>
          <w:rFonts w:eastAsia="Calibri" w:cs="Calibri"/>
        </w:rPr>
        <w:t xml:space="preserve"> </w:t>
      </w:r>
      <w:r w:rsidR="00072193">
        <w:rPr>
          <w:rFonts w:eastAsia="Calibri" w:cs="Calibri"/>
        </w:rPr>
        <w:t>climate and</w:t>
      </w:r>
      <w:r>
        <w:rPr>
          <w:rFonts w:eastAsia="Calibri" w:cs="Calibri"/>
        </w:rPr>
        <w:t xml:space="preserve"> biodiversity</w:t>
      </w:r>
      <w:r w:rsidRPr="00823514">
        <w:rPr>
          <w:rFonts w:eastAsia="Calibri" w:cs="Calibri"/>
        </w:rPr>
        <w:t xml:space="preserve"> benefits emerging as longer-term </w:t>
      </w:r>
      <w:r w:rsidR="1E1751BE" w:rsidRPr="1E1751BE">
        <w:rPr>
          <w:rFonts w:eastAsia="Calibri" w:cs="Calibri"/>
        </w:rPr>
        <w:t>outcomes</w:t>
      </w:r>
      <w:r w:rsidRPr="00823514">
        <w:rPr>
          <w:rFonts w:eastAsia="Calibri" w:cs="Calibri"/>
        </w:rPr>
        <w:t xml:space="preserve"> rather than starting </w:t>
      </w:r>
      <w:r w:rsidR="1E1751BE" w:rsidRPr="1E1751BE">
        <w:rPr>
          <w:rFonts w:eastAsia="Calibri" w:cs="Calibri"/>
        </w:rPr>
        <w:t>points</w:t>
      </w:r>
      <w:r w:rsidRPr="00823514">
        <w:rPr>
          <w:rFonts w:eastAsia="Calibri" w:cs="Calibri"/>
        </w:rPr>
        <w:t xml:space="preserve"> </w:t>
      </w:r>
      <w:r w:rsidR="0001616B">
        <w:rPr>
          <w:rFonts w:eastAsia="Calibri" w:cs="Calibri"/>
        </w:rPr>
        <w:fldChar w:fldCharType="begin"/>
      </w:r>
      <w:r w:rsidR="00EC2F18">
        <w:rPr>
          <w:rFonts w:eastAsia="Calibri" w:cs="Calibri"/>
        </w:rPr>
        <w:instrText xml:space="preserve"> ADDIN ZOTERO_ITEM CSL_CITATION {"citationID":"RiwAhhQA","properties":{"unsorted":false,"formattedCitation":"\\super 42\\nosupersub{}","plainCitation":"42","noteIndex":0},"citationItems":[{"id":20215,"uris":["http://zotero.org/users/19783099/items/XHDYU23K"],"itemData":{"id":20215,"type":"article-journal","abstract":"This paper assesses the success and sustainability of Community-Based Natural Resource Management (CBNRM) in the Okavango Delta. It does so by asking the following questions a) to what extent has CBNRM contributed to sustainable natural resource use, rural economic development, enhanced rural livelihoods and benefit sharing? b) To what extent has power been devolved to the rural communities especially in relation to resource ownership and management? c) What are the existing and potential challenges facing the successful implementation of CBNRM in the Okavango Delta? With illustrations from the three CBNRM projects of Okavango Community Trust, Okavango Kopano Mokoro Community Trust and the Khwai Development Trust, this paper notes that local communities have successfully established community trusts as institutions to provide leadership in their participation in tourism and natural resource management. They also derive socio-economic benefits from CBNRM such as the participation in decision-making, employment and income generation. However, the lack of entrepreneurships and managerial skills, understanding of the concept of CBNRM, poor benefit sharing on CBNRM participants, and enclave tourism are some of the challenges that face CBNRM in the Okavango Delta. in the event that empowerment issues especially training and capacity building are successfully addressed, CBNRM in the Okavango Delta has the potential to be a successful model of community-based tourism","container-title":"South African Geographical Journal","DOI":"10.1080/03736245.2004.9713807","ISSN":"0373-6245","issue":"1","note":"_eprint: https://doi.org/10.1080/03736245.2004.9713807","page":"44-53","publisher":"Routledge","source":"Taylor and Francis+NEJM","title":"The Success and Sustainability of Community-Based Natural Resource Management in the Okavango Delta, Botswana","volume":"86","author":[{"family":"Mbaiwa","given":"J. E."}],"issued":{"date-parts":[["2004",3,1]]}}}],"schema":"https://github.com/citation-style-language/schema/raw/master/csl-citation.json"} </w:instrText>
      </w:r>
      <w:r w:rsidR="0001616B">
        <w:rPr>
          <w:rFonts w:eastAsia="Calibri" w:cs="Calibri"/>
        </w:rPr>
        <w:fldChar w:fldCharType="separate"/>
      </w:r>
      <w:r w:rsidR="00EC2F18" w:rsidRPr="00EC2F18">
        <w:rPr>
          <w:rFonts w:cs="Segoe UI"/>
          <w:vertAlign w:val="superscript"/>
        </w:rPr>
        <w:t>42</w:t>
      </w:r>
      <w:r w:rsidR="0001616B">
        <w:rPr>
          <w:rFonts w:eastAsia="Calibri" w:cs="Calibri"/>
        </w:rPr>
        <w:fldChar w:fldCharType="end"/>
      </w:r>
      <w:r w:rsidRPr="00823514">
        <w:rPr>
          <w:rFonts w:eastAsia="Calibri" w:cs="Calibri"/>
        </w:rPr>
        <w:t xml:space="preserve">. NbS </w:t>
      </w:r>
      <w:r w:rsidRPr="00823514">
        <w:rPr>
          <w:rFonts w:eastAsia="Calibri" w:cs="Calibri"/>
        </w:rPr>
        <w:lastRenderedPageBreak/>
        <w:t xml:space="preserve">must also ensure that the costs of </w:t>
      </w:r>
      <w:r>
        <w:rPr>
          <w:rFonts w:eastAsia="Calibri" w:cs="Calibri"/>
        </w:rPr>
        <w:t>NbS</w:t>
      </w:r>
      <w:r w:rsidRPr="00823514">
        <w:rPr>
          <w:rFonts w:eastAsia="Calibri" w:cs="Calibri"/>
        </w:rPr>
        <w:t xml:space="preserve"> are not shifted onto the poorest and most marginalised groups</w:t>
      </w:r>
      <w:r w:rsidR="00141DCE">
        <w:rPr>
          <w:rFonts w:eastAsia="Calibri" w:cs="Calibri"/>
        </w:rPr>
        <w:t xml:space="preserve"> </w:t>
      </w:r>
      <w:r w:rsidR="00141DCE">
        <w:rPr>
          <w:rFonts w:eastAsia="Calibri" w:cs="Calibri"/>
        </w:rPr>
        <w:fldChar w:fldCharType="begin"/>
      </w:r>
      <w:r w:rsidR="00EC2F18">
        <w:rPr>
          <w:rFonts w:eastAsia="Calibri" w:cs="Calibri"/>
        </w:rPr>
        <w:instrText xml:space="preserve"> ADDIN ZOTERO_ITEM CSL_CITATION {"citationID":"wFtXv9ur","properties":{"unsorted":false,"formattedCitation":"\\super 43\\nosupersub{}","plainCitation":"43","noteIndex":0},"citationItems":[{"id":20230,"uris":["http://zotero.org/users/19783099/items/CAYC7T2X"],"itemData":{"id":20230,"type":"article-journal","abstract":"Protected areas (PAs) are a frequently used conservation strategy, yet their socioeconomic impacts on local communities remain contentious. A shift toward increased participation by local communities in PA governance seeks to deliver benefits for human well-being and biodiversity. Although participation is considered critical to the success of PAs, few researchers have investigated individuals' decisions to participate and what this means for how local people experience the costs and benefits of conservation. We explored who participates in PA governance associations and why; the perceived benefits and costs to participation; and how costs and benefits are distributed within and between communities. Methods included 3 focus groups, 37 interviews, and 217 questionnaire surveys conducted in 3 communities and other stakeholders (e.g., employees of a nongovernmental organization and government officials) in PA governance in Madagascar. Our study design was grounded in the theory of planned behavior (TPB), the most commonly applied behavior model in social psychology. Participation in PA governance was limited by miscommunication and lack of knowledge about who could get involved and how. Respondents perceived limited benefits and high costs and uneven distribution of these within and between communities. Men, poorer households, and people in remote villages reported the highest costs. Our findings illustrate challenges related to comanagement of PAs: understanding the heterogeneous nature of communities; ensuring all households are represented in governance participation; understanding differences in the meaning of forest protection; and targeting interventions to reach households most in need to avoid elite capture.","container-title":"Conservation Biology: The Journal of the Society for Conservation Biology","DOI":"10.1111/cobi.13000","ISSN":"1523-1739","issue":"2","journalAbbreviation":"Conserv Biol","language":"eng","page":"437-446","PMID":"28833471","source":"PubMed","title":"Perceived barriers to and drivers of community participation in protected-area governance","volume":"32","author":[{"family":"Ward","given":"Caroline"},{"family":"Holmes","given":"George"},{"family":"Stringer","given":"Lindsay"}],"issued":{"date-parts":[["2018",4]]}}}],"schema":"https://github.com/citation-style-language/schema/raw/master/csl-citation.json"} </w:instrText>
      </w:r>
      <w:r w:rsidR="00141DCE">
        <w:rPr>
          <w:rFonts w:eastAsia="Calibri" w:cs="Calibri"/>
        </w:rPr>
        <w:fldChar w:fldCharType="separate"/>
      </w:r>
      <w:r w:rsidR="00EC2F18" w:rsidRPr="00EC2F18">
        <w:rPr>
          <w:rFonts w:cs="Segoe UI"/>
          <w:vertAlign w:val="superscript"/>
        </w:rPr>
        <w:t>43</w:t>
      </w:r>
      <w:r w:rsidR="00141DCE">
        <w:rPr>
          <w:rFonts w:eastAsia="Calibri" w:cs="Calibri"/>
        </w:rPr>
        <w:fldChar w:fldCharType="end"/>
      </w:r>
      <w:r w:rsidR="00141DCE">
        <w:rPr>
          <w:rFonts w:eastAsia="Calibri" w:cs="Calibri"/>
        </w:rPr>
        <w:t>.</w:t>
      </w:r>
    </w:p>
    <w:p w14:paraId="653B974C" w14:textId="77777777" w:rsidR="00AD7F63" w:rsidRDefault="00AD7F63" w:rsidP="0001616B">
      <w:pPr>
        <w:rPr>
          <w:rFonts w:eastAsia="Calibri" w:cs="Calibri"/>
        </w:rPr>
      </w:pPr>
    </w:p>
    <w:p w14:paraId="23FE25E1" w14:textId="39A9B5F2" w:rsidR="005D0026" w:rsidRPr="00141DCE" w:rsidRDefault="00141DCE" w:rsidP="19FC05BD">
      <w:pPr>
        <w:pStyle w:val="Heading1"/>
        <w:numPr>
          <w:ilvl w:val="0"/>
          <w:numId w:val="3"/>
        </w:numPr>
        <w:spacing w:before="0" w:after="0" w:line="240" w:lineRule="auto"/>
        <w:jc w:val="left"/>
      </w:pPr>
      <w:r>
        <w:t>References</w:t>
      </w:r>
    </w:p>
    <w:p w14:paraId="54E7B047" w14:textId="77777777" w:rsidR="005D0026" w:rsidRPr="005D0026" w:rsidRDefault="005D0026" w:rsidP="005D0026">
      <w:pPr>
        <w:pStyle w:val="Bibliography"/>
        <w:spacing w:line="240" w:lineRule="auto"/>
      </w:pPr>
      <w:r>
        <w:fldChar w:fldCharType="begin"/>
      </w:r>
      <w:r>
        <w:instrText xml:space="preserve"> ADDIN ZOTERO_BIBL {"uncited":[],"omitted":[],"custom":[]} CSL_BIBLIOGRAPHY </w:instrText>
      </w:r>
      <w:r>
        <w:fldChar w:fldCharType="separate"/>
      </w:r>
      <w:r w:rsidRPr="005D0026">
        <w:t>1.</w:t>
      </w:r>
      <w:r w:rsidRPr="005D0026">
        <w:tab/>
        <w:t xml:space="preserve">Cundill, G., Bezerra, J. C., De Vos, A. &amp; Ntingana, N. Beyond benefit sharing: Place attachment and the importance of access to protected areas for surrounding communities. </w:t>
      </w:r>
      <w:r w:rsidRPr="005D0026">
        <w:rPr>
          <w:i/>
          <w:iCs/>
        </w:rPr>
        <w:t>Ecosystem Services</w:t>
      </w:r>
      <w:r w:rsidRPr="005D0026">
        <w:t xml:space="preserve"> </w:t>
      </w:r>
      <w:r w:rsidRPr="005D0026">
        <w:rPr>
          <w:b/>
          <w:bCs/>
        </w:rPr>
        <w:t>28</w:t>
      </w:r>
      <w:r w:rsidRPr="005D0026">
        <w:t>, 140–148 (2017).</w:t>
      </w:r>
    </w:p>
    <w:p w14:paraId="576285FC" w14:textId="77777777" w:rsidR="005D0026" w:rsidRPr="005D0026" w:rsidRDefault="005D0026" w:rsidP="005D0026">
      <w:pPr>
        <w:pStyle w:val="Bibliography"/>
        <w:spacing w:line="240" w:lineRule="auto"/>
      </w:pPr>
      <w:r w:rsidRPr="005D0026">
        <w:t>2.</w:t>
      </w:r>
      <w:r w:rsidRPr="005D0026">
        <w:tab/>
        <w:t xml:space="preserve">Scanlon, L. J. &amp; Kull, C. A. Untangling the links between wildlife benefits and community-based conservation at Torra Conservancy, Namibia. </w:t>
      </w:r>
      <w:r w:rsidRPr="005D0026">
        <w:rPr>
          <w:i/>
          <w:iCs/>
        </w:rPr>
        <w:t>Development Southern Africa</w:t>
      </w:r>
      <w:r w:rsidRPr="005D0026">
        <w:t xml:space="preserve"> </w:t>
      </w:r>
      <w:r w:rsidRPr="005D0026">
        <w:rPr>
          <w:b/>
          <w:bCs/>
        </w:rPr>
        <w:t>26</w:t>
      </w:r>
      <w:r w:rsidRPr="005D0026">
        <w:t>, 75–93 (2009).</w:t>
      </w:r>
    </w:p>
    <w:p w14:paraId="79BAE77D" w14:textId="77777777" w:rsidR="005D0026" w:rsidRPr="005D0026" w:rsidRDefault="005D0026" w:rsidP="005D0026">
      <w:pPr>
        <w:pStyle w:val="Bibliography"/>
        <w:spacing w:line="240" w:lineRule="auto"/>
      </w:pPr>
      <w:r w:rsidRPr="005D0026">
        <w:t>3.</w:t>
      </w:r>
      <w:r w:rsidRPr="005D0026">
        <w:tab/>
        <w:t xml:space="preserve">Ward, C., Stringer, L. &amp; Holmes, G. Changing governance, changing inequalities: Protected area co-management and access to forest ecosystem services: a Madagascar case study. </w:t>
      </w:r>
      <w:r w:rsidRPr="005D0026">
        <w:rPr>
          <w:i/>
          <w:iCs/>
        </w:rPr>
        <w:t>Ecosystem Services</w:t>
      </w:r>
      <w:r w:rsidRPr="005D0026">
        <w:t xml:space="preserve"> </w:t>
      </w:r>
      <w:r w:rsidRPr="005D0026">
        <w:rPr>
          <w:b/>
          <w:bCs/>
        </w:rPr>
        <w:t>30</w:t>
      </w:r>
      <w:r w:rsidRPr="005D0026">
        <w:t>, 137–148 (2018).</w:t>
      </w:r>
    </w:p>
    <w:p w14:paraId="124FA98A" w14:textId="77777777" w:rsidR="005D0026" w:rsidRPr="005D0026" w:rsidRDefault="005D0026" w:rsidP="005D0026">
      <w:pPr>
        <w:pStyle w:val="Bibliography"/>
        <w:spacing w:line="240" w:lineRule="auto"/>
      </w:pPr>
      <w:r w:rsidRPr="005D0026">
        <w:t>4.</w:t>
      </w:r>
      <w:r w:rsidRPr="005D0026">
        <w:tab/>
        <w:t xml:space="preserve">Boonzaaier, C. &amp; Wels, H. Juxtaposing a cultural reading of landscape with institutional boundaries: the case of the Masebe Nature Reserve, South Africa. </w:t>
      </w:r>
      <w:r w:rsidRPr="005D0026">
        <w:rPr>
          <w:i/>
          <w:iCs/>
        </w:rPr>
        <w:t>Landscape Research</w:t>
      </w:r>
      <w:r w:rsidRPr="005D0026">
        <w:t xml:space="preserve"> </w:t>
      </w:r>
      <w:r w:rsidRPr="005D0026">
        <w:rPr>
          <w:b/>
          <w:bCs/>
        </w:rPr>
        <w:t>41</w:t>
      </w:r>
      <w:r w:rsidRPr="005D0026">
        <w:t>, 922–933 (2016).</w:t>
      </w:r>
    </w:p>
    <w:p w14:paraId="1527C1D1" w14:textId="77777777" w:rsidR="005D0026" w:rsidRPr="005D0026" w:rsidRDefault="005D0026" w:rsidP="005D0026">
      <w:pPr>
        <w:pStyle w:val="Bibliography"/>
        <w:spacing w:line="240" w:lineRule="auto"/>
      </w:pPr>
      <w:r w:rsidRPr="005D0026">
        <w:t>5.</w:t>
      </w:r>
      <w:r w:rsidRPr="005D0026">
        <w:tab/>
        <w:t xml:space="preserve">Constant, N. L. &amp; Taylor, P. J. Restoring the forest revives our culture: Ecosystem services and values for ecological restoration across the rural-urban nexus in South Africa. </w:t>
      </w:r>
      <w:r w:rsidRPr="005D0026">
        <w:rPr>
          <w:i/>
          <w:iCs/>
        </w:rPr>
        <w:t>Forest Policy and Economics</w:t>
      </w:r>
      <w:r w:rsidRPr="005D0026">
        <w:t xml:space="preserve"> </w:t>
      </w:r>
      <w:r w:rsidRPr="005D0026">
        <w:rPr>
          <w:b/>
          <w:bCs/>
        </w:rPr>
        <w:t>118</w:t>
      </w:r>
      <w:r w:rsidRPr="005D0026">
        <w:t>, 102222 (2020).</w:t>
      </w:r>
    </w:p>
    <w:p w14:paraId="3143289F" w14:textId="77777777" w:rsidR="005D0026" w:rsidRPr="005D0026" w:rsidRDefault="005D0026" w:rsidP="005D0026">
      <w:pPr>
        <w:pStyle w:val="Bibliography"/>
        <w:spacing w:line="240" w:lineRule="auto"/>
      </w:pPr>
      <w:r w:rsidRPr="005D0026">
        <w:t>6.</w:t>
      </w:r>
      <w:r w:rsidRPr="005D0026">
        <w:tab/>
        <w:t xml:space="preserve">Silva, J. A. &amp; Mosimane, A. W. Conservation-Based Rural Development in Namibia: A Mixed-Methods Assessment of Economic Benefits. </w:t>
      </w:r>
      <w:r w:rsidRPr="005D0026">
        <w:rPr>
          <w:i/>
          <w:iCs/>
        </w:rPr>
        <w:t>The Journal of Environment &amp; Development</w:t>
      </w:r>
      <w:r w:rsidRPr="005D0026">
        <w:t xml:space="preserve"> </w:t>
      </w:r>
      <w:r w:rsidRPr="005D0026">
        <w:rPr>
          <w:b/>
          <w:bCs/>
        </w:rPr>
        <w:t>22</w:t>
      </w:r>
      <w:r w:rsidRPr="005D0026">
        <w:t>, 25–50 (2012).</w:t>
      </w:r>
    </w:p>
    <w:p w14:paraId="787A305A" w14:textId="77777777" w:rsidR="005D0026" w:rsidRPr="005D0026" w:rsidRDefault="005D0026" w:rsidP="005D0026">
      <w:pPr>
        <w:pStyle w:val="Bibliography"/>
        <w:spacing w:line="240" w:lineRule="auto"/>
      </w:pPr>
      <w:r w:rsidRPr="005D0026">
        <w:t>7.</w:t>
      </w:r>
      <w:r w:rsidRPr="005D0026">
        <w:tab/>
        <w:t xml:space="preserve">Hewitson, L. J. &amp; Sullivan, S. Producing elephant commodities for ‘conservation hunting’ in Namibian communal-area conservancies. </w:t>
      </w:r>
      <w:r w:rsidRPr="005D0026">
        <w:rPr>
          <w:i/>
          <w:iCs/>
        </w:rPr>
        <w:t>Journal of Political Ecology</w:t>
      </w:r>
      <w:r w:rsidRPr="005D0026">
        <w:t xml:space="preserve"> </w:t>
      </w:r>
      <w:r w:rsidRPr="005D0026">
        <w:rPr>
          <w:b/>
          <w:bCs/>
        </w:rPr>
        <w:t>28</w:t>
      </w:r>
      <w:r w:rsidRPr="005D0026">
        <w:t>, (2021).</w:t>
      </w:r>
    </w:p>
    <w:p w14:paraId="029DEFAD" w14:textId="77777777" w:rsidR="005D0026" w:rsidRPr="005D0026" w:rsidRDefault="005D0026" w:rsidP="005D0026">
      <w:pPr>
        <w:pStyle w:val="Bibliography"/>
        <w:spacing w:line="240" w:lineRule="auto"/>
      </w:pPr>
      <w:r w:rsidRPr="005D0026">
        <w:t>8.</w:t>
      </w:r>
      <w:r w:rsidRPr="005D0026">
        <w:tab/>
        <w:t xml:space="preserve">Llopis, J. C. </w:t>
      </w:r>
      <w:r w:rsidRPr="005D0026">
        <w:rPr>
          <w:i/>
          <w:iCs/>
        </w:rPr>
        <w:t>et al.</w:t>
      </w:r>
      <w:r w:rsidRPr="005D0026">
        <w:t xml:space="preserve"> Year-to-year ecosystem services supply in conservation contexts in north-eastern Madagascar: Trade-offs between global demands and local needs. </w:t>
      </w:r>
      <w:r w:rsidRPr="005D0026">
        <w:rPr>
          <w:i/>
          <w:iCs/>
        </w:rPr>
        <w:t>Ecosystem Services</w:t>
      </w:r>
      <w:r w:rsidRPr="005D0026">
        <w:t xml:space="preserve"> </w:t>
      </w:r>
      <w:r w:rsidRPr="005D0026">
        <w:rPr>
          <w:b/>
          <w:bCs/>
        </w:rPr>
        <w:t>48</w:t>
      </w:r>
      <w:r w:rsidRPr="005D0026">
        <w:t>, 101249 (2021).</w:t>
      </w:r>
    </w:p>
    <w:p w14:paraId="00006072" w14:textId="77777777" w:rsidR="005D0026" w:rsidRPr="005D0026" w:rsidRDefault="005D0026" w:rsidP="005D0026">
      <w:pPr>
        <w:pStyle w:val="Bibliography"/>
        <w:spacing w:line="240" w:lineRule="auto"/>
      </w:pPr>
      <w:r w:rsidRPr="005D0026">
        <w:t>9.</w:t>
      </w:r>
      <w:r w:rsidRPr="005D0026">
        <w:tab/>
        <w:t xml:space="preserve">Llopis, J. C. </w:t>
      </w:r>
      <w:r w:rsidRPr="005D0026">
        <w:rPr>
          <w:i/>
          <w:iCs/>
        </w:rPr>
        <w:t>et al.</w:t>
      </w:r>
      <w:r w:rsidRPr="005D0026">
        <w:t xml:space="preserve"> Capabilities Under Telecoupling: Human Well-Being Between Cash Crops and Protected Areas in North-Eastern Madagascar. </w:t>
      </w:r>
      <w:r w:rsidRPr="005D0026">
        <w:rPr>
          <w:i/>
          <w:iCs/>
        </w:rPr>
        <w:t>Front. Sustain. Food Syst.</w:t>
      </w:r>
      <w:r w:rsidRPr="005D0026">
        <w:t xml:space="preserve"> </w:t>
      </w:r>
      <w:r w:rsidRPr="005D0026">
        <w:rPr>
          <w:b/>
          <w:bCs/>
        </w:rPr>
        <w:t>3</w:t>
      </w:r>
      <w:r w:rsidRPr="005D0026">
        <w:t>, (2020).</w:t>
      </w:r>
    </w:p>
    <w:p w14:paraId="2980A96B" w14:textId="77777777" w:rsidR="005D0026" w:rsidRPr="005D0026" w:rsidRDefault="005D0026" w:rsidP="005D0026">
      <w:pPr>
        <w:pStyle w:val="Bibliography"/>
        <w:spacing w:line="240" w:lineRule="auto"/>
      </w:pPr>
      <w:r w:rsidRPr="005D0026">
        <w:t>10.</w:t>
      </w:r>
      <w:r w:rsidRPr="005D0026">
        <w:tab/>
        <w:t xml:space="preserve">Swemmer, L., Grant, R., Annecke, W. &amp; Freitag-Ronaldson, S. Toward More Effective Benefit Sharing in South African National Parks. </w:t>
      </w:r>
      <w:r w:rsidRPr="005D0026">
        <w:rPr>
          <w:i/>
          <w:iCs/>
        </w:rPr>
        <w:t>Society &amp; Natural Resources</w:t>
      </w:r>
      <w:r w:rsidRPr="005D0026">
        <w:t xml:space="preserve"> </w:t>
      </w:r>
      <w:r w:rsidRPr="005D0026">
        <w:rPr>
          <w:b/>
          <w:bCs/>
        </w:rPr>
        <w:t>28</w:t>
      </w:r>
      <w:r w:rsidRPr="005D0026">
        <w:t>, 4–20 (2015).</w:t>
      </w:r>
    </w:p>
    <w:p w14:paraId="47F03A98" w14:textId="77777777" w:rsidR="005D0026" w:rsidRPr="005D0026" w:rsidRDefault="005D0026" w:rsidP="005D0026">
      <w:pPr>
        <w:pStyle w:val="Bibliography"/>
        <w:spacing w:line="240" w:lineRule="auto"/>
      </w:pPr>
      <w:r w:rsidRPr="005D0026">
        <w:t>11.</w:t>
      </w:r>
      <w:r w:rsidRPr="005D0026">
        <w:tab/>
        <w:t xml:space="preserve">Senganimalunje, T. C., Chirwa, P. W., Babalola, F. D. &amp; Graham, M. A. Does participatory forest management program lead to efficient forest resource use and improved rural livelihoods? Experiences from Mua-Livulezi Forest Reserve, Malawi. </w:t>
      </w:r>
      <w:r w:rsidRPr="005D0026">
        <w:rPr>
          <w:i/>
          <w:iCs/>
        </w:rPr>
        <w:t>Agroforest Syst</w:t>
      </w:r>
      <w:r w:rsidRPr="005D0026">
        <w:t xml:space="preserve"> </w:t>
      </w:r>
      <w:r w:rsidRPr="005D0026">
        <w:rPr>
          <w:b/>
          <w:bCs/>
        </w:rPr>
        <w:t>90</w:t>
      </w:r>
      <w:r w:rsidRPr="005D0026">
        <w:t>, 691–710 (2016).</w:t>
      </w:r>
    </w:p>
    <w:p w14:paraId="6604A23C" w14:textId="77777777" w:rsidR="005D0026" w:rsidRPr="005D0026" w:rsidRDefault="005D0026" w:rsidP="005D0026">
      <w:pPr>
        <w:pStyle w:val="Bibliography"/>
        <w:spacing w:line="240" w:lineRule="auto"/>
      </w:pPr>
      <w:r w:rsidRPr="005D0026">
        <w:t>12.</w:t>
      </w:r>
      <w:r w:rsidRPr="005D0026">
        <w:tab/>
        <w:t xml:space="preserve">Branca, G. </w:t>
      </w:r>
      <w:r w:rsidRPr="005D0026">
        <w:rPr>
          <w:i/>
          <w:iCs/>
        </w:rPr>
        <w:t>et al.</w:t>
      </w:r>
      <w:r w:rsidRPr="005D0026">
        <w:t xml:space="preserve"> Assessing the economic and mitigation benefits of climate-smart agriculture and its implications for political economy: A case study in Southern Africa. </w:t>
      </w:r>
      <w:r w:rsidRPr="005D0026">
        <w:rPr>
          <w:i/>
          <w:iCs/>
        </w:rPr>
        <w:t>Journal of Cleaner Production</w:t>
      </w:r>
      <w:r w:rsidRPr="005D0026">
        <w:t xml:space="preserve"> </w:t>
      </w:r>
      <w:r w:rsidRPr="005D0026">
        <w:rPr>
          <w:b/>
          <w:bCs/>
        </w:rPr>
        <w:t>285</w:t>
      </w:r>
      <w:r w:rsidRPr="005D0026">
        <w:t>, 125161 (2021).</w:t>
      </w:r>
    </w:p>
    <w:p w14:paraId="5AD0C531" w14:textId="77777777" w:rsidR="005D0026" w:rsidRPr="005D0026" w:rsidRDefault="005D0026" w:rsidP="005D0026">
      <w:pPr>
        <w:pStyle w:val="Bibliography"/>
        <w:spacing w:line="240" w:lineRule="auto"/>
      </w:pPr>
      <w:r w:rsidRPr="005D0026">
        <w:t>13.</w:t>
      </w:r>
      <w:r w:rsidRPr="005D0026">
        <w:tab/>
        <w:t xml:space="preserve">Groom, B. &amp; Palmer, C. REDD+ and rural livelihoods. </w:t>
      </w:r>
      <w:r w:rsidRPr="005D0026">
        <w:rPr>
          <w:i/>
          <w:iCs/>
        </w:rPr>
        <w:t>Biological Conservation</w:t>
      </w:r>
      <w:r w:rsidRPr="005D0026">
        <w:t xml:space="preserve"> </w:t>
      </w:r>
      <w:r w:rsidRPr="005D0026">
        <w:rPr>
          <w:b/>
          <w:bCs/>
        </w:rPr>
        <w:t>154</w:t>
      </w:r>
      <w:r w:rsidRPr="005D0026">
        <w:t>, 42–52 (2012).</w:t>
      </w:r>
    </w:p>
    <w:p w14:paraId="1629CA23" w14:textId="77777777" w:rsidR="005D0026" w:rsidRPr="005D0026" w:rsidRDefault="005D0026" w:rsidP="005D0026">
      <w:pPr>
        <w:pStyle w:val="Bibliography"/>
        <w:spacing w:line="240" w:lineRule="auto"/>
      </w:pPr>
      <w:r w:rsidRPr="005D0026">
        <w:t>14.</w:t>
      </w:r>
      <w:r w:rsidRPr="005D0026">
        <w:tab/>
        <w:t xml:space="preserve">Sommerville, M., Jones, J. P. G., Rahajaharison, M. &amp; Milner-Gulland, E. J. The role of fairness and benefit distribution in community-based Payment for Environmental </w:t>
      </w:r>
      <w:r w:rsidRPr="005D0026">
        <w:lastRenderedPageBreak/>
        <w:t xml:space="preserve">Services interventions: A case study from Menabe, Madagascar. </w:t>
      </w:r>
      <w:r w:rsidRPr="005D0026">
        <w:rPr>
          <w:i/>
          <w:iCs/>
        </w:rPr>
        <w:t>Ecological Economics</w:t>
      </w:r>
      <w:r w:rsidRPr="005D0026">
        <w:t xml:space="preserve"> </w:t>
      </w:r>
      <w:r w:rsidRPr="005D0026">
        <w:rPr>
          <w:b/>
          <w:bCs/>
        </w:rPr>
        <w:t>69</w:t>
      </w:r>
      <w:r w:rsidRPr="005D0026">
        <w:t>, 1262–1271 (2010).</w:t>
      </w:r>
    </w:p>
    <w:p w14:paraId="5C3C5251" w14:textId="77777777" w:rsidR="005D0026" w:rsidRPr="005D0026" w:rsidRDefault="005D0026" w:rsidP="005D0026">
      <w:pPr>
        <w:pStyle w:val="Bibliography"/>
        <w:spacing w:line="240" w:lineRule="auto"/>
      </w:pPr>
      <w:r w:rsidRPr="005D0026">
        <w:t>15.</w:t>
      </w:r>
      <w:r w:rsidRPr="005D0026">
        <w:tab/>
        <w:t xml:space="preserve">Suich, H. The effectiveness of economic incentives for sustaining community based natural resource management. </w:t>
      </w:r>
      <w:r w:rsidRPr="005D0026">
        <w:rPr>
          <w:i/>
          <w:iCs/>
        </w:rPr>
        <w:t>Land Use Policy</w:t>
      </w:r>
      <w:r w:rsidRPr="005D0026">
        <w:t xml:space="preserve"> </w:t>
      </w:r>
      <w:r w:rsidRPr="005D0026">
        <w:rPr>
          <w:b/>
          <w:bCs/>
        </w:rPr>
        <w:t>31</w:t>
      </w:r>
      <w:r w:rsidRPr="005D0026">
        <w:t>, 441–449 (2013).</w:t>
      </w:r>
    </w:p>
    <w:p w14:paraId="112ED0B5" w14:textId="77777777" w:rsidR="005D0026" w:rsidRPr="005D0026" w:rsidRDefault="005D0026" w:rsidP="005D0026">
      <w:pPr>
        <w:pStyle w:val="Bibliography"/>
        <w:spacing w:line="240" w:lineRule="auto"/>
      </w:pPr>
      <w:r w:rsidRPr="005D0026">
        <w:t>16.</w:t>
      </w:r>
      <w:r w:rsidRPr="005D0026">
        <w:tab/>
        <w:t xml:space="preserve">Crane, W. Biodiversity conservation and land rights in South Africa: Whither the farm dwellers? </w:t>
      </w:r>
      <w:r w:rsidRPr="005D0026">
        <w:rPr>
          <w:i/>
          <w:iCs/>
        </w:rPr>
        <w:t>Geoforum</w:t>
      </w:r>
      <w:r w:rsidRPr="005D0026">
        <w:t xml:space="preserve"> </w:t>
      </w:r>
      <w:r w:rsidRPr="005D0026">
        <w:rPr>
          <w:b/>
          <w:bCs/>
        </w:rPr>
        <w:t>37</w:t>
      </w:r>
      <w:r w:rsidRPr="005D0026">
        <w:t>, 1035–1045 (2006).</w:t>
      </w:r>
    </w:p>
    <w:p w14:paraId="4C097D14" w14:textId="77777777" w:rsidR="005D0026" w:rsidRPr="005D0026" w:rsidRDefault="005D0026" w:rsidP="005D0026">
      <w:pPr>
        <w:pStyle w:val="Bibliography"/>
        <w:spacing w:line="240" w:lineRule="auto"/>
      </w:pPr>
      <w:r w:rsidRPr="005D0026">
        <w:t>17.</w:t>
      </w:r>
      <w:r w:rsidRPr="005D0026">
        <w:tab/>
        <w:t xml:space="preserve">Frost, P. </w:t>
      </w:r>
      <w:r w:rsidRPr="005D0026">
        <w:rPr>
          <w:i/>
          <w:iCs/>
        </w:rPr>
        <w:t>et al.</w:t>
      </w:r>
      <w:r w:rsidRPr="005D0026">
        <w:t xml:space="preserve"> In Search of Improved Rural Livelihoods in Semi-Arid Regions through Local Management of Natural Resources: Lessons from Case Studies in Zimbabwe. </w:t>
      </w:r>
      <w:r w:rsidRPr="005D0026">
        <w:rPr>
          <w:i/>
          <w:iCs/>
        </w:rPr>
        <w:t>World Development</w:t>
      </w:r>
      <w:r w:rsidRPr="005D0026">
        <w:t xml:space="preserve"> </w:t>
      </w:r>
      <w:r w:rsidRPr="005D0026">
        <w:rPr>
          <w:b/>
          <w:bCs/>
        </w:rPr>
        <w:t>35</w:t>
      </w:r>
      <w:r w:rsidRPr="005D0026">
        <w:t>, 1961–1974 (2007).</w:t>
      </w:r>
    </w:p>
    <w:p w14:paraId="2310537D" w14:textId="77777777" w:rsidR="005D0026" w:rsidRPr="005D0026" w:rsidRDefault="005D0026" w:rsidP="005D0026">
      <w:pPr>
        <w:pStyle w:val="Bibliography"/>
        <w:spacing w:line="240" w:lineRule="auto"/>
      </w:pPr>
      <w:r w:rsidRPr="005D0026">
        <w:t>18.</w:t>
      </w:r>
      <w:r w:rsidRPr="005D0026">
        <w:tab/>
        <w:t xml:space="preserve">Neudert, R. </w:t>
      </w:r>
      <w:r w:rsidRPr="005D0026">
        <w:rPr>
          <w:i/>
          <w:iCs/>
        </w:rPr>
        <w:t>et al.</w:t>
      </w:r>
      <w:r w:rsidRPr="005D0026">
        <w:t xml:space="preserve"> Opportunity costs of conserving a dry tropical forest under REDD+: The case of the spiny dry forest in southwestern Madagascar. </w:t>
      </w:r>
      <w:r w:rsidRPr="005D0026">
        <w:rPr>
          <w:i/>
          <w:iCs/>
        </w:rPr>
        <w:t>Forest Policy and Economics</w:t>
      </w:r>
      <w:r w:rsidRPr="005D0026">
        <w:t xml:space="preserve"> </w:t>
      </w:r>
      <w:r w:rsidRPr="005D0026">
        <w:rPr>
          <w:b/>
          <w:bCs/>
        </w:rPr>
        <w:t>95</w:t>
      </w:r>
      <w:r w:rsidRPr="005D0026">
        <w:t>, 102–114 (2018).</w:t>
      </w:r>
    </w:p>
    <w:p w14:paraId="445FB97A" w14:textId="77777777" w:rsidR="005D0026" w:rsidRPr="005D0026" w:rsidRDefault="005D0026" w:rsidP="005D0026">
      <w:pPr>
        <w:pStyle w:val="Bibliography"/>
        <w:spacing w:line="240" w:lineRule="auto"/>
      </w:pPr>
      <w:r w:rsidRPr="005D0026">
        <w:t>19.</w:t>
      </w:r>
      <w:r w:rsidRPr="005D0026">
        <w:tab/>
        <w:t xml:space="preserve">Rodenburg, J., Büchi, L. &amp; Haggar, J. Adoption by adaptation: moving from Conservation Agriculture to conservation practices. </w:t>
      </w:r>
      <w:r w:rsidRPr="005D0026">
        <w:rPr>
          <w:i/>
          <w:iCs/>
        </w:rPr>
        <w:t>International Journal of Agricultural Sustainability</w:t>
      </w:r>
      <w:r w:rsidRPr="005D0026">
        <w:t xml:space="preserve"> </w:t>
      </w:r>
      <w:r w:rsidRPr="005D0026">
        <w:rPr>
          <w:b/>
          <w:bCs/>
        </w:rPr>
        <w:t>19</w:t>
      </w:r>
      <w:r w:rsidRPr="005D0026">
        <w:t>, 437–455 (2021).</w:t>
      </w:r>
    </w:p>
    <w:p w14:paraId="275B59B5" w14:textId="77777777" w:rsidR="005D0026" w:rsidRPr="005D0026" w:rsidRDefault="005D0026" w:rsidP="005D0026">
      <w:pPr>
        <w:pStyle w:val="Bibliography"/>
        <w:spacing w:line="240" w:lineRule="auto"/>
      </w:pPr>
      <w:r w:rsidRPr="005D0026">
        <w:t>20.</w:t>
      </w:r>
      <w:r w:rsidRPr="005D0026">
        <w:tab/>
        <w:t xml:space="preserve">Zulu, L. Bringing People Back into Protected Forests in Developing Countries: Insights from Co-Management in Malawi. </w:t>
      </w:r>
      <w:r w:rsidRPr="005D0026">
        <w:rPr>
          <w:i/>
          <w:iCs/>
        </w:rPr>
        <w:t>Sustainability</w:t>
      </w:r>
      <w:r w:rsidRPr="005D0026">
        <w:t xml:space="preserve"> </w:t>
      </w:r>
      <w:r w:rsidRPr="005D0026">
        <w:rPr>
          <w:b/>
          <w:bCs/>
        </w:rPr>
        <w:t>5</w:t>
      </w:r>
      <w:r w:rsidRPr="005D0026">
        <w:t>, 1917–1943 (2013).</w:t>
      </w:r>
    </w:p>
    <w:p w14:paraId="768D4D2B" w14:textId="77777777" w:rsidR="005D0026" w:rsidRPr="005D0026" w:rsidRDefault="005D0026" w:rsidP="005D0026">
      <w:pPr>
        <w:pStyle w:val="Bibliography"/>
        <w:spacing w:line="240" w:lineRule="auto"/>
      </w:pPr>
      <w:r w:rsidRPr="005D0026">
        <w:t>21.</w:t>
      </w:r>
      <w:r w:rsidRPr="005D0026">
        <w:tab/>
        <w:t xml:space="preserve">Du-Pont, T., Vilakazi, C. M. N., Thondhlana, G. &amp; Vedeld, P. Livestock income and household welfare for communities adjacent to the Great Fish River Nature Reserve, South Africa. </w:t>
      </w:r>
      <w:r w:rsidRPr="005D0026">
        <w:rPr>
          <w:i/>
          <w:iCs/>
        </w:rPr>
        <w:t>Environmental Development</w:t>
      </w:r>
      <w:r w:rsidRPr="005D0026">
        <w:t xml:space="preserve"> </w:t>
      </w:r>
      <w:r w:rsidRPr="005D0026">
        <w:rPr>
          <w:b/>
          <w:bCs/>
        </w:rPr>
        <w:t>33</w:t>
      </w:r>
      <w:r w:rsidRPr="005D0026">
        <w:t>, 100508 (2020).</w:t>
      </w:r>
    </w:p>
    <w:p w14:paraId="25D6515A" w14:textId="77777777" w:rsidR="005D0026" w:rsidRPr="005D0026" w:rsidRDefault="005D0026" w:rsidP="005D0026">
      <w:pPr>
        <w:pStyle w:val="Bibliography"/>
        <w:spacing w:line="240" w:lineRule="auto"/>
      </w:pPr>
      <w:r w:rsidRPr="005D0026">
        <w:t>22.</w:t>
      </w:r>
      <w:r w:rsidRPr="005D0026">
        <w:tab/>
        <w:t xml:space="preserve">Ajayi, O. C., Akinnifesi, F. K. &amp; Ajayi, A. O. How by-laws and collective action influence farmers’ adoption of agroforestry and natural resource management technologies: lessons from Zambia. </w:t>
      </w:r>
      <w:r w:rsidRPr="005D0026">
        <w:rPr>
          <w:i/>
          <w:iCs/>
        </w:rPr>
        <w:t>Forests, Trees and Livelihoods</w:t>
      </w:r>
      <w:r w:rsidRPr="005D0026">
        <w:t xml:space="preserve"> </w:t>
      </w:r>
      <w:r w:rsidRPr="005D0026">
        <w:rPr>
          <w:b/>
          <w:bCs/>
        </w:rPr>
        <w:t>25</w:t>
      </w:r>
      <w:r w:rsidRPr="005D0026">
        <w:t>, 102–113 (2016).</w:t>
      </w:r>
    </w:p>
    <w:p w14:paraId="29FB9E5F" w14:textId="77777777" w:rsidR="005D0026" w:rsidRPr="005D0026" w:rsidRDefault="005D0026" w:rsidP="005D0026">
      <w:pPr>
        <w:pStyle w:val="Bibliography"/>
        <w:spacing w:line="240" w:lineRule="auto"/>
      </w:pPr>
      <w:r w:rsidRPr="005D0026">
        <w:t>23.</w:t>
      </w:r>
      <w:r w:rsidRPr="005D0026">
        <w:tab/>
        <w:t xml:space="preserve">Dhital, N., Vololomboahangy, R. R. &amp; Khasa, D. P. Issues and challenges of forest governance in Madagascar. </w:t>
      </w:r>
      <w:r w:rsidRPr="005D0026">
        <w:rPr>
          <w:i/>
          <w:iCs/>
        </w:rPr>
        <w:t>Canadian Journal of Development Studies / Revue canadienne d’études du développement</w:t>
      </w:r>
      <w:r w:rsidRPr="005D0026">
        <w:t xml:space="preserve"> </w:t>
      </w:r>
      <w:r w:rsidRPr="005D0026">
        <w:rPr>
          <w:b/>
          <w:bCs/>
        </w:rPr>
        <w:t>36</w:t>
      </w:r>
      <w:r w:rsidRPr="005D0026">
        <w:t>, 38–56 (2015).</w:t>
      </w:r>
    </w:p>
    <w:p w14:paraId="34F77097" w14:textId="77777777" w:rsidR="005D0026" w:rsidRPr="005D0026" w:rsidRDefault="005D0026" w:rsidP="005D0026">
      <w:pPr>
        <w:pStyle w:val="Bibliography"/>
        <w:spacing w:line="240" w:lineRule="auto"/>
      </w:pPr>
      <w:r w:rsidRPr="005D0026">
        <w:t>24.</w:t>
      </w:r>
      <w:r w:rsidRPr="005D0026">
        <w:tab/>
        <w:t xml:space="preserve">Mutekwa, V. T. &amp; Gambiza, J. Forest protected areas governance in Zimbabwe: Shift needed away from a long history of local community exclusion. </w:t>
      </w:r>
      <w:r w:rsidRPr="005D0026">
        <w:rPr>
          <w:i/>
          <w:iCs/>
        </w:rPr>
        <w:t>Journal of Environmental Management</w:t>
      </w:r>
      <w:r w:rsidRPr="005D0026">
        <w:t xml:space="preserve"> </w:t>
      </w:r>
      <w:r w:rsidRPr="005D0026">
        <w:rPr>
          <w:b/>
          <w:bCs/>
        </w:rPr>
        <w:t>198</w:t>
      </w:r>
      <w:r w:rsidRPr="005D0026">
        <w:t>, 330–339 (2017).</w:t>
      </w:r>
    </w:p>
    <w:p w14:paraId="13A70EAD" w14:textId="77777777" w:rsidR="005D0026" w:rsidRPr="005D0026" w:rsidRDefault="005D0026" w:rsidP="005D0026">
      <w:pPr>
        <w:pStyle w:val="Bibliography"/>
        <w:spacing w:line="240" w:lineRule="auto"/>
      </w:pPr>
      <w:r w:rsidRPr="005D0026">
        <w:t>25.</w:t>
      </w:r>
      <w:r w:rsidRPr="005D0026">
        <w:tab/>
        <w:t xml:space="preserve">Farnworth, C. R. </w:t>
      </w:r>
      <w:r w:rsidRPr="005D0026">
        <w:rPr>
          <w:i/>
          <w:iCs/>
        </w:rPr>
        <w:t>et al.</w:t>
      </w:r>
      <w:r w:rsidRPr="005D0026">
        <w:t xml:space="preserve"> Gender and conservation agriculture in East and Southern Africa: towards a research agenda. </w:t>
      </w:r>
      <w:r w:rsidRPr="005D0026">
        <w:rPr>
          <w:i/>
          <w:iCs/>
        </w:rPr>
        <w:t>International Journal of Agricultural Sustainability</w:t>
      </w:r>
      <w:r w:rsidRPr="005D0026">
        <w:t xml:space="preserve"> </w:t>
      </w:r>
      <w:r w:rsidRPr="005D0026">
        <w:rPr>
          <w:b/>
          <w:bCs/>
        </w:rPr>
        <w:t>14</w:t>
      </w:r>
      <w:r w:rsidRPr="005D0026">
        <w:t>, 142–165 (2015).</w:t>
      </w:r>
    </w:p>
    <w:p w14:paraId="0AEAB0B5" w14:textId="77777777" w:rsidR="005D0026" w:rsidRPr="005D0026" w:rsidRDefault="005D0026" w:rsidP="005D0026">
      <w:pPr>
        <w:pStyle w:val="Bibliography"/>
        <w:spacing w:line="240" w:lineRule="auto"/>
      </w:pPr>
      <w:r w:rsidRPr="005D0026">
        <w:t>26.</w:t>
      </w:r>
      <w:r w:rsidRPr="005D0026">
        <w:tab/>
        <w:t xml:space="preserve">Mutanga, C. N., Muboko, N. &amp; Gandiwa, E. Protected area staff and local community viewpoints: A qualitative assessment of conservation relationships in Zimbabwe. </w:t>
      </w:r>
      <w:r w:rsidRPr="005D0026">
        <w:rPr>
          <w:i/>
          <w:iCs/>
        </w:rPr>
        <w:t>PLOS ONE</w:t>
      </w:r>
      <w:r w:rsidRPr="005D0026">
        <w:t xml:space="preserve"> </w:t>
      </w:r>
      <w:r w:rsidRPr="005D0026">
        <w:rPr>
          <w:b/>
          <w:bCs/>
        </w:rPr>
        <w:t>12</w:t>
      </w:r>
      <w:r w:rsidRPr="005D0026">
        <w:t>, e0177153 (2017).</w:t>
      </w:r>
    </w:p>
    <w:p w14:paraId="6889C985" w14:textId="77777777" w:rsidR="005D0026" w:rsidRPr="005D0026" w:rsidRDefault="005D0026" w:rsidP="005D0026">
      <w:pPr>
        <w:pStyle w:val="Bibliography"/>
        <w:spacing w:line="240" w:lineRule="auto"/>
      </w:pPr>
      <w:r w:rsidRPr="005D0026">
        <w:t>27.</w:t>
      </w:r>
      <w:r w:rsidRPr="005D0026">
        <w:tab/>
        <w:t xml:space="preserve">Queiros, D. &amp; Mearns, K. Khanyayo village and Mkhambathi Nature Reserve, South Africa: a pragmatic qualitative investigation into attitudes towards a protected area. </w:t>
      </w:r>
      <w:r w:rsidRPr="005D0026">
        <w:rPr>
          <w:i/>
          <w:iCs/>
        </w:rPr>
        <w:t>Journal of Sustainable Tourism</w:t>
      </w:r>
      <w:r w:rsidRPr="005D0026">
        <w:t xml:space="preserve"> </w:t>
      </w:r>
      <w:r w:rsidRPr="005D0026">
        <w:rPr>
          <w:b/>
          <w:bCs/>
        </w:rPr>
        <w:t>27</w:t>
      </w:r>
      <w:r w:rsidRPr="005D0026">
        <w:t>, 750–772 (2019).</w:t>
      </w:r>
    </w:p>
    <w:p w14:paraId="0904F53F" w14:textId="77777777" w:rsidR="005D0026" w:rsidRPr="005D0026" w:rsidRDefault="005D0026" w:rsidP="005D0026">
      <w:pPr>
        <w:pStyle w:val="Bibliography"/>
        <w:spacing w:line="240" w:lineRule="auto"/>
      </w:pPr>
      <w:r w:rsidRPr="005D0026">
        <w:t>28.</w:t>
      </w:r>
      <w:r w:rsidRPr="005D0026">
        <w:tab/>
        <w:t xml:space="preserve">Ward, C., Stringer, L. C. &amp; Holmes, G. Protected area co-management and perceived livelihood impacts. </w:t>
      </w:r>
      <w:r w:rsidRPr="005D0026">
        <w:rPr>
          <w:i/>
          <w:iCs/>
        </w:rPr>
        <w:t>Journal of Environmental Management</w:t>
      </w:r>
      <w:r w:rsidRPr="005D0026">
        <w:t xml:space="preserve"> </w:t>
      </w:r>
      <w:r w:rsidRPr="005D0026">
        <w:rPr>
          <w:b/>
          <w:bCs/>
        </w:rPr>
        <w:t>228</w:t>
      </w:r>
      <w:r w:rsidRPr="005D0026">
        <w:t>, 1–12 (2018).</w:t>
      </w:r>
    </w:p>
    <w:p w14:paraId="1E412404" w14:textId="77777777" w:rsidR="005D0026" w:rsidRPr="005D0026" w:rsidRDefault="005D0026" w:rsidP="005D0026">
      <w:pPr>
        <w:pStyle w:val="Bibliography"/>
        <w:spacing w:line="240" w:lineRule="auto"/>
      </w:pPr>
      <w:r w:rsidRPr="005D0026">
        <w:t>29.</w:t>
      </w:r>
      <w:r w:rsidRPr="005D0026">
        <w:tab/>
        <w:t>Mashapa, C., Gandiwa, E. &amp; Muboko, N. Socio-economic and ecological outcomes of woodland management in mutema-musikavanhu communal areas in save valley, southeastern lowveld of zimbabwe. in (2019).</w:t>
      </w:r>
    </w:p>
    <w:p w14:paraId="440F74C9" w14:textId="77777777" w:rsidR="005D0026" w:rsidRPr="005D0026" w:rsidRDefault="005D0026" w:rsidP="005D0026">
      <w:pPr>
        <w:pStyle w:val="Bibliography"/>
        <w:spacing w:line="240" w:lineRule="auto"/>
      </w:pPr>
      <w:r w:rsidRPr="005D0026">
        <w:t>30.</w:t>
      </w:r>
      <w:r w:rsidRPr="005D0026">
        <w:tab/>
        <w:t xml:space="preserve">Dahlberg, A. C. &amp; Burlando, C. Addressing Trade-offs: Experiences from Conservation and Development Initiatives in the Mkuze Wetlands, South Africa. </w:t>
      </w:r>
      <w:r w:rsidRPr="005D0026">
        <w:rPr>
          <w:i/>
          <w:iCs/>
        </w:rPr>
        <w:t>Ecology and Society</w:t>
      </w:r>
      <w:r w:rsidRPr="005D0026">
        <w:t xml:space="preserve"> </w:t>
      </w:r>
      <w:r w:rsidRPr="005D0026">
        <w:rPr>
          <w:b/>
          <w:bCs/>
        </w:rPr>
        <w:t>14</w:t>
      </w:r>
      <w:r w:rsidRPr="005D0026">
        <w:t>, (2009).</w:t>
      </w:r>
    </w:p>
    <w:p w14:paraId="200019DD" w14:textId="77777777" w:rsidR="005D0026" w:rsidRPr="005D0026" w:rsidRDefault="005D0026" w:rsidP="005D0026">
      <w:pPr>
        <w:pStyle w:val="Bibliography"/>
        <w:spacing w:line="240" w:lineRule="auto"/>
      </w:pPr>
      <w:r w:rsidRPr="005D0026">
        <w:lastRenderedPageBreak/>
        <w:t>31.</w:t>
      </w:r>
      <w:r w:rsidRPr="005D0026">
        <w:tab/>
        <w:t xml:space="preserve">Snyman, S. Partnership between a private sector ecotourism operator and a local community in the Okavango Delta, Botswana: the case of the Okavango Community Trust and Wilderness Safaris. </w:t>
      </w:r>
      <w:r w:rsidRPr="005D0026">
        <w:rPr>
          <w:i/>
          <w:iCs/>
        </w:rPr>
        <w:t>Journal of Ecotourism</w:t>
      </w:r>
      <w:r w:rsidRPr="005D0026">
        <w:t xml:space="preserve"> </w:t>
      </w:r>
      <w:r w:rsidRPr="005D0026">
        <w:rPr>
          <w:b/>
          <w:bCs/>
        </w:rPr>
        <w:t>13</w:t>
      </w:r>
      <w:r w:rsidRPr="005D0026">
        <w:t>, 110–127 (2014).</w:t>
      </w:r>
    </w:p>
    <w:p w14:paraId="3EECFAC4" w14:textId="77777777" w:rsidR="005D0026" w:rsidRPr="005D0026" w:rsidRDefault="005D0026" w:rsidP="005D0026">
      <w:pPr>
        <w:pStyle w:val="Bibliography"/>
        <w:spacing w:line="240" w:lineRule="auto"/>
      </w:pPr>
      <w:r w:rsidRPr="005D0026">
        <w:t>32.</w:t>
      </w:r>
      <w:r w:rsidRPr="005D0026">
        <w:tab/>
        <w:t xml:space="preserve">Mutamba, E. Community Participation in Natural Resources Management: Reality or Rhetoric? </w:t>
      </w:r>
      <w:r w:rsidRPr="005D0026">
        <w:rPr>
          <w:i/>
          <w:iCs/>
        </w:rPr>
        <w:t>Environ Monit Assess</w:t>
      </w:r>
      <w:r w:rsidRPr="005D0026">
        <w:t xml:space="preserve"> </w:t>
      </w:r>
      <w:r w:rsidRPr="005D0026">
        <w:rPr>
          <w:b/>
          <w:bCs/>
        </w:rPr>
        <w:t>99</w:t>
      </w:r>
      <w:r w:rsidRPr="005D0026">
        <w:t>, 105–113 (2004).</w:t>
      </w:r>
    </w:p>
    <w:p w14:paraId="245D15FC" w14:textId="77777777" w:rsidR="005D0026" w:rsidRPr="005D0026" w:rsidRDefault="005D0026" w:rsidP="005D0026">
      <w:pPr>
        <w:pStyle w:val="Bibliography"/>
        <w:spacing w:line="240" w:lineRule="auto"/>
      </w:pPr>
      <w:r w:rsidRPr="005D0026">
        <w:t>33.</w:t>
      </w:r>
      <w:r w:rsidRPr="005D0026">
        <w:tab/>
        <w:t xml:space="preserve">Robertson, J. &amp; Lawes, M. J. User perceptions of conservation and participatory management of iGxalingenwa forest, South Africa. </w:t>
      </w:r>
      <w:r w:rsidRPr="005D0026">
        <w:rPr>
          <w:i/>
          <w:iCs/>
        </w:rPr>
        <w:t>Environmental Conservation</w:t>
      </w:r>
      <w:r w:rsidRPr="005D0026">
        <w:t xml:space="preserve"> </w:t>
      </w:r>
      <w:r w:rsidRPr="005D0026">
        <w:rPr>
          <w:b/>
          <w:bCs/>
        </w:rPr>
        <w:t>32</w:t>
      </w:r>
      <w:r w:rsidRPr="005D0026">
        <w:t>, 64–75 (2005).</w:t>
      </w:r>
    </w:p>
    <w:p w14:paraId="222123CA" w14:textId="77777777" w:rsidR="005D0026" w:rsidRPr="005D0026" w:rsidRDefault="005D0026" w:rsidP="005D0026">
      <w:pPr>
        <w:pStyle w:val="Bibliography"/>
        <w:spacing w:line="240" w:lineRule="auto"/>
      </w:pPr>
      <w:r w:rsidRPr="005D0026">
        <w:t>34.</w:t>
      </w:r>
      <w:r w:rsidRPr="005D0026">
        <w:tab/>
        <w:t xml:space="preserve">Gezon, L. L. Who wins and who loses? Unpacking the “local people” concept in ecotourism: a longitudinal study of community equity in Ankarana, Madagascar. </w:t>
      </w:r>
      <w:r w:rsidRPr="005D0026">
        <w:rPr>
          <w:i/>
          <w:iCs/>
        </w:rPr>
        <w:t>Journal of Sustainable Tourism</w:t>
      </w:r>
      <w:r w:rsidRPr="005D0026">
        <w:t xml:space="preserve"> </w:t>
      </w:r>
      <w:r w:rsidRPr="005D0026">
        <w:rPr>
          <w:b/>
          <w:bCs/>
        </w:rPr>
        <w:t>22</w:t>
      </w:r>
      <w:r w:rsidRPr="005D0026">
        <w:t>, 821–838 (2014).</w:t>
      </w:r>
    </w:p>
    <w:p w14:paraId="6C66BB8C" w14:textId="77777777" w:rsidR="005D0026" w:rsidRPr="005D0026" w:rsidRDefault="005D0026" w:rsidP="005D0026">
      <w:pPr>
        <w:pStyle w:val="Bibliography"/>
        <w:spacing w:line="240" w:lineRule="auto"/>
      </w:pPr>
      <w:r w:rsidRPr="005D0026">
        <w:t>35.</w:t>
      </w:r>
      <w:r w:rsidRPr="005D0026">
        <w:tab/>
        <w:t xml:space="preserve">Balint, P. J. &amp; Mashinya, J. The decline of a model community-based conservation project: Governance, capacity, and devolution in Mahenye, Zimbabwe. </w:t>
      </w:r>
      <w:r w:rsidRPr="005D0026">
        <w:rPr>
          <w:i/>
          <w:iCs/>
        </w:rPr>
        <w:t>Geoforum</w:t>
      </w:r>
      <w:r w:rsidRPr="005D0026">
        <w:t xml:space="preserve"> </w:t>
      </w:r>
      <w:r w:rsidRPr="005D0026">
        <w:rPr>
          <w:b/>
          <w:bCs/>
        </w:rPr>
        <w:t>37</w:t>
      </w:r>
      <w:r w:rsidRPr="005D0026">
        <w:t>, 805–815 (2006).</w:t>
      </w:r>
    </w:p>
    <w:p w14:paraId="3C35C86B" w14:textId="77777777" w:rsidR="005D0026" w:rsidRPr="005D0026" w:rsidRDefault="005D0026" w:rsidP="005D0026">
      <w:pPr>
        <w:pStyle w:val="Bibliography"/>
        <w:spacing w:line="240" w:lineRule="auto"/>
      </w:pPr>
      <w:r w:rsidRPr="005D0026">
        <w:t>36.</w:t>
      </w:r>
      <w:r w:rsidRPr="005D0026">
        <w:tab/>
        <w:t xml:space="preserve">Chinsamy, M. &amp; Koitsiwe, M. Indigenous Knowledge-based Vegetable Garden Projects for Poverty Alleviation in South Africa. </w:t>
      </w:r>
      <w:r w:rsidRPr="005D0026">
        <w:rPr>
          <w:i/>
          <w:iCs/>
        </w:rPr>
        <w:t>Journal of Social Sciences</w:t>
      </w:r>
      <w:r w:rsidRPr="005D0026">
        <w:t xml:space="preserve"> </w:t>
      </w:r>
      <w:r w:rsidRPr="005D0026">
        <w:rPr>
          <w:b/>
          <w:bCs/>
        </w:rPr>
        <w:t>46</w:t>
      </w:r>
      <w:r w:rsidRPr="005D0026">
        <w:t>, 137–145 (2016).</w:t>
      </w:r>
    </w:p>
    <w:p w14:paraId="765693B3" w14:textId="77777777" w:rsidR="005D0026" w:rsidRPr="005D0026" w:rsidRDefault="005D0026" w:rsidP="005D0026">
      <w:pPr>
        <w:pStyle w:val="Bibliography"/>
        <w:spacing w:line="240" w:lineRule="auto"/>
      </w:pPr>
      <w:r w:rsidRPr="005D0026">
        <w:t>37.</w:t>
      </w:r>
      <w:r w:rsidRPr="005D0026">
        <w:tab/>
        <w:t xml:space="preserve">Hlengwa, D. C. &amp; Maruta, A. A framework for facilitation of community participation in and beneficiation from CBT around the Save Valley Conservancy. </w:t>
      </w:r>
      <w:r w:rsidRPr="005D0026">
        <w:rPr>
          <w:i/>
          <w:iCs/>
        </w:rPr>
        <w:t>African Journal of Hospitality, Tourism and Leisure</w:t>
      </w:r>
      <w:r w:rsidRPr="005D0026">
        <w:t xml:space="preserve"> (2020).</w:t>
      </w:r>
    </w:p>
    <w:p w14:paraId="726D2A44" w14:textId="77777777" w:rsidR="005D0026" w:rsidRPr="005D0026" w:rsidRDefault="005D0026" w:rsidP="005D0026">
      <w:pPr>
        <w:pStyle w:val="Bibliography"/>
        <w:spacing w:line="240" w:lineRule="auto"/>
      </w:pPr>
      <w:r w:rsidRPr="005D0026">
        <w:t>38.</w:t>
      </w:r>
      <w:r w:rsidRPr="005D0026">
        <w:tab/>
        <w:t xml:space="preserve">Manyena, S. B., Collins, A. E., Mudimba, F. &amp; Mudimba, D. ‘Are You Serious to Ask Me about Who Owns Wildlife?’ Politics of Autonomy over Wildlife Resources in the Zambezi Valley, Zimbabwe. </w:t>
      </w:r>
      <w:r w:rsidRPr="005D0026">
        <w:rPr>
          <w:i/>
          <w:iCs/>
        </w:rPr>
        <w:t>Forum for Development Studies</w:t>
      </w:r>
      <w:r w:rsidRPr="005D0026">
        <w:t xml:space="preserve"> </w:t>
      </w:r>
      <w:r w:rsidRPr="005D0026">
        <w:rPr>
          <w:b/>
          <w:bCs/>
        </w:rPr>
        <w:t>40</w:t>
      </w:r>
      <w:r w:rsidRPr="005D0026">
        <w:t>, 87–109 (2013).</w:t>
      </w:r>
    </w:p>
    <w:p w14:paraId="60FB76CD" w14:textId="77777777" w:rsidR="005D0026" w:rsidRPr="005D0026" w:rsidRDefault="005D0026" w:rsidP="005D0026">
      <w:pPr>
        <w:pStyle w:val="Bibliography"/>
        <w:spacing w:line="240" w:lineRule="auto"/>
      </w:pPr>
      <w:r w:rsidRPr="005D0026">
        <w:t>39.</w:t>
      </w:r>
      <w:r w:rsidRPr="005D0026">
        <w:tab/>
        <w:t xml:space="preserve">Makate, C., Makate, M., Mango, N. &amp; Siziba, S. Increasing resilience of smallholder farmers to climate change through multiple adoption of proven climate-smart agriculture innovations. Lessons from Southern Africa. </w:t>
      </w:r>
      <w:r w:rsidRPr="005D0026">
        <w:rPr>
          <w:i/>
          <w:iCs/>
        </w:rPr>
        <w:t>Journal of Environmental Management</w:t>
      </w:r>
      <w:r w:rsidRPr="005D0026">
        <w:t xml:space="preserve"> </w:t>
      </w:r>
      <w:r w:rsidRPr="005D0026">
        <w:rPr>
          <w:b/>
          <w:bCs/>
        </w:rPr>
        <w:t>231</w:t>
      </w:r>
      <w:r w:rsidRPr="005D0026">
        <w:t>, 858–868 (2019).</w:t>
      </w:r>
    </w:p>
    <w:p w14:paraId="2A09794E" w14:textId="77777777" w:rsidR="005D0026" w:rsidRPr="005D0026" w:rsidRDefault="005D0026" w:rsidP="005D0026">
      <w:pPr>
        <w:pStyle w:val="Bibliography"/>
        <w:spacing w:line="240" w:lineRule="auto"/>
      </w:pPr>
      <w:r w:rsidRPr="005D0026">
        <w:t>40.</w:t>
      </w:r>
      <w:r w:rsidRPr="005D0026">
        <w:tab/>
        <w:t xml:space="preserve">Makate, C., Makate, M. &amp; Mango, N. Wealth-related inequalities in adoption of drought-tolerant maize and conservation agriculture in Zimbabwe. </w:t>
      </w:r>
      <w:r w:rsidRPr="005D0026">
        <w:rPr>
          <w:i/>
          <w:iCs/>
        </w:rPr>
        <w:t>Food Sec.</w:t>
      </w:r>
      <w:r w:rsidRPr="005D0026">
        <w:t xml:space="preserve"> </w:t>
      </w:r>
      <w:r w:rsidRPr="005D0026">
        <w:rPr>
          <w:b/>
          <w:bCs/>
        </w:rPr>
        <w:t>11</w:t>
      </w:r>
      <w:r w:rsidRPr="005D0026">
        <w:t>, 881–896 (2019).</w:t>
      </w:r>
    </w:p>
    <w:p w14:paraId="487F6F37" w14:textId="77777777" w:rsidR="005D0026" w:rsidRPr="005D0026" w:rsidRDefault="005D0026" w:rsidP="005D0026">
      <w:pPr>
        <w:pStyle w:val="Bibliography"/>
        <w:spacing w:line="240" w:lineRule="auto"/>
      </w:pPr>
      <w:r w:rsidRPr="005D0026">
        <w:t>41.</w:t>
      </w:r>
      <w:r w:rsidRPr="005D0026">
        <w:tab/>
        <w:t xml:space="preserve">Spenceley, A. &amp; Goodwin, H. Nature-Based Tourism and Poverty Alleviation: Impacts of Private Sector and Parastatal Enterprises In and Around Kruger National Park, South Africa. </w:t>
      </w:r>
      <w:r w:rsidRPr="005D0026">
        <w:rPr>
          <w:i/>
          <w:iCs/>
        </w:rPr>
        <w:t>Current Issues in Tourism</w:t>
      </w:r>
      <w:r w:rsidRPr="005D0026">
        <w:t xml:space="preserve"> </w:t>
      </w:r>
      <w:r w:rsidRPr="005D0026">
        <w:rPr>
          <w:b/>
          <w:bCs/>
        </w:rPr>
        <w:t>10</w:t>
      </w:r>
      <w:r w:rsidRPr="005D0026">
        <w:t>, 255–277 (2007).</w:t>
      </w:r>
    </w:p>
    <w:p w14:paraId="5BDA6E91" w14:textId="77777777" w:rsidR="005D0026" w:rsidRPr="005D0026" w:rsidRDefault="005D0026" w:rsidP="005D0026">
      <w:pPr>
        <w:pStyle w:val="Bibliography"/>
        <w:spacing w:line="240" w:lineRule="auto"/>
      </w:pPr>
      <w:r w:rsidRPr="005D0026">
        <w:t>42.</w:t>
      </w:r>
      <w:r w:rsidRPr="005D0026">
        <w:tab/>
        <w:t xml:space="preserve">Mbaiwa, J. E. The Success and Sustainability of Community-Based Natural Resource Management in the Okavango Delta, Botswana. </w:t>
      </w:r>
      <w:r w:rsidRPr="005D0026">
        <w:rPr>
          <w:i/>
          <w:iCs/>
        </w:rPr>
        <w:t>South African Geographical Journal</w:t>
      </w:r>
      <w:r w:rsidRPr="005D0026">
        <w:t xml:space="preserve"> </w:t>
      </w:r>
      <w:r w:rsidRPr="005D0026">
        <w:rPr>
          <w:b/>
          <w:bCs/>
        </w:rPr>
        <w:t>86</w:t>
      </w:r>
      <w:r w:rsidRPr="005D0026">
        <w:t>, 44–53 (2004).</w:t>
      </w:r>
    </w:p>
    <w:p w14:paraId="65D0857E" w14:textId="77777777" w:rsidR="005D0026" w:rsidRPr="005D0026" w:rsidRDefault="005D0026" w:rsidP="005D0026">
      <w:pPr>
        <w:pStyle w:val="Bibliography"/>
        <w:spacing w:line="240" w:lineRule="auto"/>
      </w:pPr>
      <w:r w:rsidRPr="005D0026">
        <w:t>43.</w:t>
      </w:r>
      <w:r w:rsidRPr="005D0026">
        <w:tab/>
        <w:t xml:space="preserve">Ward, C., Holmes, G. &amp; Stringer, L. Perceived barriers to and drivers of community participation in protected-area governance. </w:t>
      </w:r>
      <w:r w:rsidRPr="005D0026">
        <w:rPr>
          <w:i/>
          <w:iCs/>
        </w:rPr>
        <w:t>Conserv Biol</w:t>
      </w:r>
      <w:r w:rsidRPr="005D0026">
        <w:t xml:space="preserve"> </w:t>
      </w:r>
      <w:r w:rsidRPr="005D0026">
        <w:rPr>
          <w:b/>
          <w:bCs/>
        </w:rPr>
        <w:t>32</w:t>
      </w:r>
      <w:r w:rsidRPr="005D0026">
        <w:t>, 437–446 (2018).</w:t>
      </w:r>
    </w:p>
    <w:p w14:paraId="190BFBBF" w14:textId="3D4A1298" w:rsidR="00141DCE" w:rsidRPr="00141DCE" w:rsidRDefault="005D0026" w:rsidP="005D0026">
      <w:pPr>
        <w:spacing w:after="0" w:line="240" w:lineRule="auto"/>
      </w:pPr>
      <w:r>
        <w:fldChar w:fldCharType="end"/>
      </w:r>
    </w:p>
    <w:p w14:paraId="57F6586A" w14:textId="7743F5B4" w:rsidR="00E21582" w:rsidRPr="00E21582" w:rsidRDefault="00E21582" w:rsidP="11884903"/>
    <w:p w14:paraId="29FD33A0" w14:textId="77777777" w:rsidR="004B14CD" w:rsidRPr="004B14CD" w:rsidRDefault="004B14CD" w:rsidP="004B14CD"/>
    <w:sectPr w:rsidR="004B14CD" w:rsidRPr="004B14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3A10" w14:textId="77777777" w:rsidR="006E2164" w:rsidRDefault="006E2164" w:rsidP="00BA1DDD">
      <w:pPr>
        <w:spacing w:after="0" w:line="240" w:lineRule="auto"/>
      </w:pPr>
      <w:r>
        <w:separator/>
      </w:r>
    </w:p>
  </w:endnote>
  <w:endnote w:type="continuationSeparator" w:id="0">
    <w:p w14:paraId="7F9A5E0E" w14:textId="77777777" w:rsidR="006E2164" w:rsidRDefault="006E2164" w:rsidP="00BA1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6BADB" w14:textId="77777777" w:rsidR="006E2164" w:rsidRDefault="006E2164" w:rsidP="00BA1DDD">
      <w:pPr>
        <w:spacing w:after="0" w:line="240" w:lineRule="auto"/>
      </w:pPr>
      <w:r>
        <w:separator/>
      </w:r>
    </w:p>
  </w:footnote>
  <w:footnote w:type="continuationSeparator" w:id="0">
    <w:p w14:paraId="57E3AF70" w14:textId="77777777" w:rsidR="006E2164" w:rsidRDefault="006E2164" w:rsidP="00BA1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86C0A"/>
    <w:multiLevelType w:val="hybridMultilevel"/>
    <w:tmpl w:val="7396E31C"/>
    <w:lvl w:ilvl="0" w:tplc="45DEBE2E">
      <w:start w:val="1"/>
      <w:numFmt w:val="decimal"/>
      <w:pStyle w:val="Heading2"/>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A877E07"/>
    <w:multiLevelType w:val="hybridMultilevel"/>
    <w:tmpl w:val="97181D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EDF78DC"/>
    <w:multiLevelType w:val="hybridMultilevel"/>
    <w:tmpl w:val="3C40BA9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674841123">
    <w:abstractNumId w:val="1"/>
  </w:num>
  <w:num w:numId="2" w16cid:durableId="1462000364">
    <w:abstractNumId w:val="0"/>
  </w:num>
  <w:num w:numId="3" w16cid:durableId="817841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CD"/>
    <w:rsid w:val="00004CBF"/>
    <w:rsid w:val="00006786"/>
    <w:rsid w:val="0001541E"/>
    <w:rsid w:val="0001616B"/>
    <w:rsid w:val="00020F90"/>
    <w:rsid w:val="000246E2"/>
    <w:rsid w:val="00033631"/>
    <w:rsid w:val="000346C8"/>
    <w:rsid w:val="000372C7"/>
    <w:rsid w:val="00041FD6"/>
    <w:rsid w:val="00043374"/>
    <w:rsid w:val="00043688"/>
    <w:rsid w:val="00043EE1"/>
    <w:rsid w:val="00045ACE"/>
    <w:rsid w:val="000515FB"/>
    <w:rsid w:val="00066CE4"/>
    <w:rsid w:val="000676DA"/>
    <w:rsid w:val="00072193"/>
    <w:rsid w:val="00072646"/>
    <w:rsid w:val="000731FC"/>
    <w:rsid w:val="0007363A"/>
    <w:rsid w:val="0007682B"/>
    <w:rsid w:val="000822B7"/>
    <w:rsid w:val="00084EC7"/>
    <w:rsid w:val="000855A4"/>
    <w:rsid w:val="000919F2"/>
    <w:rsid w:val="00094A02"/>
    <w:rsid w:val="00095E5E"/>
    <w:rsid w:val="000A5721"/>
    <w:rsid w:val="000B2DDC"/>
    <w:rsid w:val="000C7EDF"/>
    <w:rsid w:val="000D0A0D"/>
    <w:rsid w:val="000D0EF1"/>
    <w:rsid w:val="000E2221"/>
    <w:rsid w:val="000E240E"/>
    <w:rsid w:val="000E3717"/>
    <w:rsid w:val="000E4624"/>
    <w:rsid w:val="000F4B1C"/>
    <w:rsid w:val="000F77A6"/>
    <w:rsid w:val="00110DA3"/>
    <w:rsid w:val="0011128D"/>
    <w:rsid w:val="00111BF0"/>
    <w:rsid w:val="0011416A"/>
    <w:rsid w:val="001144CA"/>
    <w:rsid w:val="001177D8"/>
    <w:rsid w:val="00130F07"/>
    <w:rsid w:val="001333F4"/>
    <w:rsid w:val="00133C01"/>
    <w:rsid w:val="001343B4"/>
    <w:rsid w:val="00137F88"/>
    <w:rsid w:val="00141DCE"/>
    <w:rsid w:val="00157116"/>
    <w:rsid w:val="00157AA7"/>
    <w:rsid w:val="00166F26"/>
    <w:rsid w:val="001775D9"/>
    <w:rsid w:val="00184CA5"/>
    <w:rsid w:val="00190044"/>
    <w:rsid w:val="001A1C17"/>
    <w:rsid w:val="001A58FC"/>
    <w:rsid w:val="001B38AC"/>
    <w:rsid w:val="001B6108"/>
    <w:rsid w:val="001C036F"/>
    <w:rsid w:val="001C1860"/>
    <w:rsid w:val="001C68CB"/>
    <w:rsid w:val="001D502F"/>
    <w:rsid w:val="001E068B"/>
    <w:rsid w:val="001E09AD"/>
    <w:rsid w:val="001E3E32"/>
    <w:rsid w:val="001E7F7C"/>
    <w:rsid w:val="001F7200"/>
    <w:rsid w:val="00204E74"/>
    <w:rsid w:val="00211513"/>
    <w:rsid w:val="002121D6"/>
    <w:rsid w:val="00212325"/>
    <w:rsid w:val="002128A8"/>
    <w:rsid w:val="00216CFB"/>
    <w:rsid w:val="00226869"/>
    <w:rsid w:val="00226D34"/>
    <w:rsid w:val="00230B0B"/>
    <w:rsid w:val="00233514"/>
    <w:rsid w:val="00234C19"/>
    <w:rsid w:val="002465BB"/>
    <w:rsid w:val="0025344A"/>
    <w:rsid w:val="002559C6"/>
    <w:rsid w:val="00256866"/>
    <w:rsid w:val="00262BDA"/>
    <w:rsid w:val="002669F3"/>
    <w:rsid w:val="00273881"/>
    <w:rsid w:val="00273D05"/>
    <w:rsid w:val="0027523A"/>
    <w:rsid w:val="00281DFE"/>
    <w:rsid w:val="00282198"/>
    <w:rsid w:val="0028343F"/>
    <w:rsid w:val="0028351B"/>
    <w:rsid w:val="0028416E"/>
    <w:rsid w:val="00286F86"/>
    <w:rsid w:val="00287106"/>
    <w:rsid w:val="002924F1"/>
    <w:rsid w:val="00292AAA"/>
    <w:rsid w:val="00294C45"/>
    <w:rsid w:val="00297973"/>
    <w:rsid w:val="002A1A8F"/>
    <w:rsid w:val="002A5BEF"/>
    <w:rsid w:val="002B1BA8"/>
    <w:rsid w:val="002B52F4"/>
    <w:rsid w:val="002C0A28"/>
    <w:rsid w:val="002C0D36"/>
    <w:rsid w:val="002D4289"/>
    <w:rsid w:val="002E33E7"/>
    <w:rsid w:val="002E4BB5"/>
    <w:rsid w:val="002E6948"/>
    <w:rsid w:val="002E729E"/>
    <w:rsid w:val="002E734B"/>
    <w:rsid w:val="002E7D0F"/>
    <w:rsid w:val="002F175C"/>
    <w:rsid w:val="002F659E"/>
    <w:rsid w:val="00313850"/>
    <w:rsid w:val="003153C5"/>
    <w:rsid w:val="00315D80"/>
    <w:rsid w:val="0032159D"/>
    <w:rsid w:val="00326D03"/>
    <w:rsid w:val="00327327"/>
    <w:rsid w:val="00327557"/>
    <w:rsid w:val="00327F41"/>
    <w:rsid w:val="003324AA"/>
    <w:rsid w:val="00333EB2"/>
    <w:rsid w:val="00334160"/>
    <w:rsid w:val="00340BA2"/>
    <w:rsid w:val="00341BB7"/>
    <w:rsid w:val="00357080"/>
    <w:rsid w:val="0035714A"/>
    <w:rsid w:val="0036146E"/>
    <w:rsid w:val="00362A5B"/>
    <w:rsid w:val="00374973"/>
    <w:rsid w:val="00376E2D"/>
    <w:rsid w:val="003823AE"/>
    <w:rsid w:val="003909CA"/>
    <w:rsid w:val="003915D4"/>
    <w:rsid w:val="00394563"/>
    <w:rsid w:val="003A4A2D"/>
    <w:rsid w:val="003A5A79"/>
    <w:rsid w:val="003A7399"/>
    <w:rsid w:val="003A7C12"/>
    <w:rsid w:val="003B707A"/>
    <w:rsid w:val="003B7AAE"/>
    <w:rsid w:val="003C1D2B"/>
    <w:rsid w:val="003C40DC"/>
    <w:rsid w:val="003C67C8"/>
    <w:rsid w:val="003D074E"/>
    <w:rsid w:val="003D25EF"/>
    <w:rsid w:val="003D4F25"/>
    <w:rsid w:val="003D609E"/>
    <w:rsid w:val="003E46E8"/>
    <w:rsid w:val="003E4F45"/>
    <w:rsid w:val="003F2441"/>
    <w:rsid w:val="003F5FE1"/>
    <w:rsid w:val="004012AD"/>
    <w:rsid w:val="00406D4E"/>
    <w:rsid w:val="004100BD"/>
    <w:rsid w:val="00411CA6"/>
    <w:rsid w:val="004122F4"/>
    <w:rsid w:val="00417DCC"/>
    <w:rsid w:val="00422454"/>
    <w:rsid w:val="004331C8"/>
    <w:rsid w:val="00435BB7"/>
    <w:rsid w:val="00443DA4"/>
    <w:rsid w:val="0045630B"/>
    <w:rsid w:val="00457D10"/>
    <w:rsid w:val="00464BC8"/>
    <w:rsid w:val="00464C2B"/>
    <w:rsid w:val="004670C6"/>
    <w:rsid w:val="00475C29"/>
    <w:rsid w:val="00480E6F"/>
    <w:rsid w:val="004869CB"/>
    <w:rsid w:val="0048735D"/>
    <w:rsid w:val="00490ADE"/>
    <w:rsid w:val="00491A17"/>
    <w:rsid w:val="00492250"/>
    <w:rsid w:val="00494AB3"/>
    <w:rsid w:val="004A012F"/>
    <w:rsid w:val="004A56D2"/>
    <w:rsid w:val="004A7658"/>
    <w:rsid w:val="004B14CD"/>
    <w:rsid w:val="004B1B64"/>
    <w:rsid w:val="004B5179"/>
    <w:rsid w:val="004C4CBC"/>
    <w:rsid w:val="004C54E7"/>
    <w:rsid w:val="004C5C46"/>
    <w:rsid w:val="004D0255"/>
    <w:rsid w:val="004D2052"/>
    <w:rsid w:val="004D2C5D"/>
    <w:rsid w:val="004D35D3"/>
    <w:rsid w:val="004D56C3"/>
    <w:rsid w:val="004D687A"/>
    <w:rsid w:val="004D7BD5"/>
    <w:rsid w:val="004F5890"/>
    <w:rsid w:val="004F7B01"/>
    <w:rsid w:val="0050588D"/>
    <w:rsid w:val="00505E28"/>
    <w:rsid w:val="00506A46"/>
    <w:rsid w:val="00506EA3"/>
    <w:rsid w:val="00512649"/>
    <w:rsid w:val="00512C6D"/>
    <w:rsid w:val="00520DFF"/>
    <w:rsid w:val="005233B2"/>
    <w:rsid w:val="005240BE"/>
    <w:rsid w:val="00537145"/>
    <w:rsid w:val="00544CD3"/>
    <w:rsid w:val="00552CB1"/>
    <w:rsid w:val="00560659"/>
    <w:rsid w:val="00560E72"/>
    <w:rsid w:val="005772B6"/>
    <w:rsid w:val="0057797D"/>
    <w:rsid w:val="00583014"/>
    <w:rsid w:val="00583783"/>
    <w:rsid w:val="00583894"/>
    <w:rsid w:val="00584D7B"/>
    <w:rsid w:val="00585AED"/>
    <w:rsid w:val="005A1EC1"/>
    <w:rsid w:val="005A79F2"/>
    <w:rsid w:val="005B01D9"/>
    <w:rsid w:val="005B1973"/>
    <w:rsid w:val="005B28EF"/>
    <w:rsid w:val="005B3939"/>
    <w:rsid w:val="005B3AD8"/>
    <w:rsid w:val="005B56EA"/>
    <w:rsid w:val="005B5ADA"/>
    <w:rsid w:val="005B5CC8"/>
    <w:rsid w:val="005B7A5D"/>
    <w:rsid w:val="005C0F6F"/>
    <w:rsid w:val="005C298E"/>
    <w:rsid w:val="005C3CEF"/>
    <w:rsid w:val="005C3E6D"/>
    <w:rsid w:val="005D0026"/>
    <w:rsid w:val="005D517B"/>
    <w:rsid w:val="005E1315"/>
    <w:rsid w:val="005E22DC"/>
    <w:rsid w:val="005E41E5"/>
    <w:rsid w:val="005E45F3"/>
    <w:rsid w:val="005E4D37"/>
    <w:rsid w:val="005E5396"/>
    <w:rsid w:val="005E7BFB"/>
    <w:rsid w:val="005F017C"/>
    <w:rsid w:val="00600838"/>
    <w:rsid w:val="006118D7"/>
    <w:rsid w:val="00612C6C"/>
    <w:rsid w:val="006146CD"/>
    <w:rsid w:val="00617121"/>
    <w:rsid w:val="00617EA0"/>
    <w:rsid w:val="006205A6"/>
    <w:rsid w:val="0062229D"/>
    <w:rsid w:val="00631BE7"/>
    <w:rsid w:val="00636414"/>
    <w:rsid w:val="00644423"/>
    <w:rsid w:val="00645FE9"/>
    <w:rsid w:val="00647D83"/>
    <w:rsid w:val="00651B9B"/>
    <w:rsid w:val="0065512E"/>
    <w:rsid w:val="00656756"/>
    <w:rsid w:val="006574CC"/>
    <w:rsid w:val="00664DF5"/>
    <w:rsid w:val="00680C92"/>
    <w:rsid w:val="00685DFA"/>
    <w:rsid w:val="0069114C"/>
    <w:rsid w:val="006964CB"/>
    <w:rsid w:val="00697DB0"/>
    <w:rsid w:val="006A2809"/>
    <w:rsid w:val="006A2A33"/>
    <w:rsid w:val="006B48E7"/>
    <w:rsid w:val="006B4B95"/>
    <w:rsid w:val="006C4231"/>
    <w:rsid w:val="006D2574"/>
    <w:rsid w:val="006D5A7E"/>
    <w:rsid w:val="006E0637"/>
    <w:rsid w:val="006E2164"/>
    <w:rsid w:val="006E2EE7"/>
    <w:rsid w:val="006E5C6D"/>
    <w:rsid w:val="007157D1"/>
    <w:rsid w:val="00715F35"/>
    <w:rsid w:val="007170A5"/>
    <w:rsid w:val="007262A1"/>
    <w:rsid w:val="00732672"/>
    <w:rsid w:val="00737067"/>
    <w:rsid w:val="00751220"/>
    <w:rsid w:val="00752830"/>
    <w:rsid w:val="007556A5"/>
    <w:rsid w:val="00761276"/>
    <w:rsid w:val="00762FD1"/>
    <w:rsid w:val="00771422"/>
    <w:rsid w:val="00774B79"/>
    <w:rsid w:val="00776A7B"/>
    <w:rsid w:val="00776EB7"/>
    <w:rsid w:val="00777694"/>
    <w:rsid w:val="007B220D"/>
    <w:rsid w:val="007B2945"/>
    <w:rsid w:val="007B60D2"/>
    <w:rsid w:val="007B6EFC"/>
    <w:rsid w:val="007B7990"/>
    <w:rsid w:val="007B7DD6"/>
    <w:rsid w:val="007C06A4"/>
    <w:rsid w:val="007C5C85"/>
    <w:rsid w:val="007D28F3"/>
    <w:rsid w:val="007D2943"/>
    <w:rsid w:val="007D5C60"/>
    <w:rsid w:val="007D7C84"/>
    <w:rsid w:val="007E05A8"/>
    <w:rsid w:val="007E4B13"/>
    <w:rsid w:val="007F136A"/>
    <w:rsid w:val="007F2297"/>
    <w:rsid w:val="007F77F8"/>
    <w:rsid w:val="0080339A"/>
    <w:rsid w:val="00812806"/>
    <w:rsid w:val="0081331D"/>
    <w:rsid w:val="00814288"/>
    <w:rsid w:val="00821EE2"/>
    <w:rsid w:val="00822C9A"/>
    <w:rsid w:val="00823156"/>
    <w:rsid w:val="00825B0D"/>
    <w:rsid w:val="00827C67"/>
    <w:rsid w:val="00832B47"/>
    <w:rsid w:val="00842DD4"/>
    <w:rsid w:val="00843D93"/>
    <w:rsid w:val="00862C55"/>
    <w:rsid w:val="008632D6"/>
    <w:rsid w:val="0086398D"/>
    <w:rsid w:val="0086560F"/>
    <w:rsid w:val="00881B6A"/>
    <w:rsid w:val="00885AFB"/>
    <w:rsid w:val="0089209A"/>
    <w:rsid w:val="00896B4C"/>
    <w:rsid w:val="00896C2C"/>
    <w:rsid w:val="00897E01"/>
    <w:rsid w:val="008A541B"/>
    <w:rsid w:val="008A59B6"/>
    <w:rsid w:val="008A7867"/>
    <w:rsid w:val="008B3A8A"/>
    <w:rsid w:val="008B50C4"/>
    <w:rsid w:val="008C63A9"/>
    <w:rsid w:val="008D443F"/>
    <w:rsid w:val="008D5432"/>
    <w:rsid w:val="008D7C2F"/>
    <w:rsid w:val="008E1731"/>
    <w:rsid w:val="008E74AF"/>
    <w:rsid w:val="008F36FF"/>
    <w:rsid w:val="0090026D"/>
    <w:rsid w:val="009029AC"/>
    <w:rsid w:val="00916EB6"/>
    <w:rsid w:val="009179E1"/>
    <w:rsid w:val="00922FC3"/>
    <w:rsid w:val="009247BC"/>
    <w:rsid w:val="00931DAE"/>
    <w:rsid w:val="00934D05"/>
    <w:rsid w:val="00936F80"/>
    <w:rsid w:val="009374BC"/>
    <w:rsid w:val="0093770C"/>
    <w:rsid w:val="00941F04"/>
    <w:rsid w:val="0094405A"/>
    <w:rsid w:val="00945A9A"/>
    <w:rsid w:val="00945CAE"/>
    <w:rsid w:val="00946BF2"/>
    <w:rsid w:val="009540AF"/>
    <w:rsid w:val="00964738"/>
    <w:rsid w:val="0097082D"/>
    <w:rsid w:val="00971616"/>
    <w:rsid w:val="0097478F"/>
    <w:rsid w:val="009751E2"/>
    <w:rsid w:val="00977249"/>
    <w:rsid w:val="00981FFA"/>
    <w:rsid w:val="00991338"/>
    <w:rsid w:val="00993C8F"/>
    <w:rsid w:val="00995EA2"/>
    <w:rsid w:val="00996F3C"/>
    <w:rsid w:val="0099775D"/>
    <w:rsid w:val="009A0CD6"/>
    <w:rsid w:val="009A0DE6"/>
    <w:rsid w:val="009A5FE6"/>
    <w:rsid w:val="009A69BA"/>
    <w:rsid w:val="009C44FF"/>
    <w:rsid w:val="009C62B9"/>
    <w:rsid w:val="009D5D9F"/>
    <w:rsid w:val="009F6F4F"/>
    <w:rsid w:val="009F76B9"/>
    <w:rsid w:val="00A047DB"/>
    <w:rsid w:val="00A06A46"/>
    <w:rsid w:val="00A06EE7"/>
    <w:rsid w:val="00A07351"/>
    <w:rsid w:val="00A1367A"/>
    <w:rsid w:val="00A23450"/>
    <w:rsid w:val="00A23B81"/>
    <w:rsid w:val="00A26F83"/>
    <w:rsid w:val="00A35470"/>
    <w:rsid w:val="00A3638A"/>
    <w:rsid w:val="00A427E2"/>
    <w:rsid w:val="00A43039"/>
    <w:rsid w:val="00A443D8"/>
    <w:rsid w:val="00A46399"/>
    <w:rsid w:val="00A50FAB"/>
    <w:rsid w:val="00A52442"/>
    <w:rsid w:val="00A53FB0"/>
    <w:rsid w:val="00A553B5"/>
    <w:rsid w:val="00A6083A"/>
    <w:rsid w:val="00A639FC"/>
    <w:rsid w:val="00A64B75"/>
    <w:rsid w:val="00A735ED"/>
    <w:rsid w:val="00A8519D"/>
    <w:rsid w:val="00A91844"/>
    <w:rsid w:val="00A921B1"/>
    <w:rsid w:val="00A9421C"/>
    <w:rsid w:val="00A962D1"/>
    <w:rsid w:val="00AB1076"/>
    <w:rsid w:val="00AC17A3"/>
    <w:rsid w:val="00AC499D"/>
    <w:rsid w:val="00AC4A25"/>
    <w:rsid w:val="00AC5BE1"/>
    <w:rsid w:val="00AD2A6C"/>
    <w:rsid w:val="00AD6457"/>
    <w:rsid w:val="00AD7F63"/>
    <w:rsid w:val="00AE08BC"/>
    <w:rsid w:val="00AE4CAA"/>
    <w:rsid w:val="00AE63D7"/>
    <w:rsid w:val="00AF02FD"/>
    <w:rsid w:val="00AF2B5E"/>
    <w:rsid w:val="00AF6266"/>
    <w:rsid w:val="00B00A1A"/>
    <w:rsid w:val="00B02C71"/>
    <w:rsid w:val="00B070C1"/>
    <w:rsid w:val="00B0746E"/>
    <w:rsid w:val="00B1378B"/>
    <w:rsid w:val="00B14502"/>
    <w:rsid w:val="00B15B58"/>
    <w:rsid w:val="00B1699F"/>
    <w:rsid w:val="00B172A9"/>
    <w:rsid w:val="00B2219F"/>
    <w:rsid w:val="00B3045C"/>
    <w:rsid w:val="00B31082"/>
    <w:rsid w:val="00B31230"/>
    <w:rsid w:val="00B32083"/>
    <w:rsid w:val="00B33785"/>
    <w:rsid w:val="00B400A7"/>
    <w:rsid w:val="00B404AF"/>
    <w:rsid w:val="00B41202"/>
    <w:rsid w:val="00B52FE8"/>
    <w:rsid w:val="00B54D58"/>
    <w:rsid w:val="00B61B36"/>
    <w:rsid w:val="00B6284B"/>
    <w:rsid w:val="00B64AE6"/>
    <w:rsid w:val="00B6FF3A"/>
    <w:rsid w:val="00B7026A"/>
    <w:rsid w:val="00B73357"/>
    <w:rsid w:val="00B74827"/>
    <w:rsid w:val="00B761E8"/>
    <w:rsid w:val="00B8088E"/>
    <w:rsid w:val="00B8278A"/>
    <w:rsid w:val="00B830F4"/>
    <w:rsid w:val="00B83FCE"/>
    <w:rsid w:val="00B850AF"/>
    <w:rsid w:val="00B879BC"/>
    <w:rsid w:val="00B9141C"/>
    <w:rsid w:val="00B9193C"/>
    <w:rsid w:val="00BA0FC7"/>
    <w:rsid w:val="00BA1DDD"/>
    <w:rsid w:val="00BA56A9"/>
    <w:rsid w:val="00BC1459"/>
    <w:rsid w:val="00BC1C8C"/>
    <w:rsid w:val="00BD659E"/>
    <w:rsid w:val="00BE4D46"/>
    <w:rsid w:val="00BF0689"/>
    <w:rsid w:val="00BF0D59"/>
    <w:rsid w:val="00BF2FEE"/>
    <w:rsid w:val="00BF560B"/>
    <w:rsid w:val="00BF60A3"/>
    <w:rsid w:val="00BF6F03"/>
    <w:rsid w:val="00C02480"/>
    <w:rsid w:val="00C03238"/>
    <w:rsid w:val="00C03C0A"/>
    <w:rsid w:val="00C06F4F"/>
    <w:rsid w:val="00C12119"/>
    <w:rsid w:val="00C17146"/>
    <w:rsid w:val="00C2416A"/>
    <w:rsid w:val="00C25AB0"/>
    <w:rsid w:val="00C30695"/>
    <w:rsid w:val="00C3113E"/>
    <w:rsid w:val="00C36FD6"/>
    <w:rsid w:val="00C41583"/>
    <w:rsid w:val="00C44F41"/>
    <w:rsid w:val="00C45022"/>
    <w:rsid w:val="00C455ED"/>
    <w:rsid w:val="00C51288"/>
    <w:rsid w:val="00C52395"/>
    <w:rsid w:val="00C56AD4"/>
    <w:rsid w:val="00C57A1D"/>
    <w:rsid w:val="00C57AE7"/>
    <w:rsid w:val="00C62A61"/>
    <w:rsid w:val="00C62AA8"/>
    <w:rsid w:val="00C6317D"/>
    <w:rsid w:val="00C73240"/>
    <w:rsid w:val="00C75623"/>
    <w:rsid w:val="00C818BD"/>
    <w:rsid w:val="00C820C7"/>
    <w:rsid w:val="00C848EE"/>
    <w:rsid w:val="00C85F4D"/>
    <w:rsid w:val="00CB7802"/>
    <w:rsid w:val="00CC2870"/>
    <w:rsid w:val="00CC51EA"/>
    <w:rsid w:val="00CD0977"/>
    <w:rsid w:val="00CD1973"/>
    <w:rsid w:val="00CD1EA3"/>
    <w:rsid w:val="00CD2D83"/>
    <w:rsid w:val="00CE60EE"/>
    <w:rsid w:val="00CF0236"/>
    <w:rsid w:val="00CF4462"/>
    <w:rsid w:val="00CF5767"/>
    <w:rsid w:val="00CF5A6C"/>
    <w:rsid w:val="00D00093"/>
    <w:rsid w:val="00D0655F"/>
    <w:rsid w:val="00D06E8D"/>
    <w:rsid w:val="00D1017C"/>
    <w:rsid w:val="00D109D5"/>
    <w:rsid w:val="00D1108C"/>
    <w:rsid w:val="00D1267A"/>
    <w:rsid w:val="00D12E50"/>
    <w:rsid w:val="00D1392B"/>
    <w:rsid w:val="00D21C98"/>
    <w:rsid w:val="00D26BF4"/>
    <w:rsid w:val="00D341B4"/>
    <w:rsid w:val="00D36FA0"/>
    <w:rsid w:val="00D50CDD"/>
    <w:rsid w:val="00D528C0"/>
    <w:rsid w:val="00D53D6A"/>
    <w:rsid w:val="00D568DF"/>
    <w:rsid w:val="00D624FE"/>
    <w:rsid w:val="00D65283"/>
    <w:rsid w:val="00D67309"/>
    <w:rsid w:val="00D7430B"/>
    <w:rsid w:val="00D75FC1"/>
    <w:rsid w:val="00D87726"/>
    <w:rsid w:val="00DB1A22"/>
    <w:rsid w:val="00DB1BF9"/>
    <w:rsid w:val="00DB2948"/>
    <w:rsid w:val="00DB69C8"/>
    <w:rsid w:val="00DC369B"/>
    <w:rsid w:val="00DD3F16"/>
    <w:rsid w:val="00DE04FA"/>
    <w:rsid w:val="00DE4181"/>
    <w:rsid w:val="00DE6FD5"/>
    <w:rsid w:val="00DE7040"/>
    <w:rsid w:val="00DF7EA0"/>
    <w:rsid w:val="00E0030F"/>
    <w:rsid w:val="00E03FC9"/>
    <w:rsid w:val="00E048A1"/>
    <w:rsid w:val="00E077BF"/>
    <w:rsid w:val="00E12B9D"/>
    <w:rsid w:val="00E135BA"/>
    <w:rsid w:val="00E21582"/>
    <w:rsid w:val="00E25657"/>
    <w:rsid w:val="00E302A5"/>
    <w:rsid w:val="00E3393B"/>
    <w:rsid w:val="00E35DDA"/>
    <w:rsid w:val="00E375A5"/>
    <w:rsid w:val="00E419F8"/>
    <w:rsid w:val="00E438FA"/>
    <w:rsid w:val="00E4504E"/>
    <w:rsid w:val="00E50D76"/>
    <w:rsid w:val="00E56BCF"/>
    <w:rsid w:val="00E5710E"/>
    <w:rsid w:val="00E64398"/>
    <w:rsid w:val="00E663C9"/>
    <w:rsid w:val="00E82755"/>
    <w:rsid w:val="00E859DE"/>
    <w:rsid w:val="00E908AF"/>
    <w:rsid w:val="00E93363"/>
    <w:rsid w:val="00EA2277"/>
    <w:rsid w:val="00EB21CA"/>
    <w:rsid w:val="00EB68FE"/>
    <w:rsid w:val="00EC17C1"/>
    <w:rsid w:val="00EC2A56"/>
    <w:rsid w:val="00EC2F18"/>
    <w:rsid w:val="00EC4B4A"/>
    <w:rsid w:val="00ED6DFF"/>
    <w:rsid w:val="00EE1F1F"/>
    <w:rsid w:val="00EE4087"/>
    <w:rsid w:val="00EE6177"/>
    <w:rsid w:val="00F04A31"/>
    <w:rsid w:val="00F142F0"/>
    <w:rsid w:val="00F15C22"/>
    <w:rsid w:val="00F21435"/>
    <w:rsid w:val="00F26C3D"/>
    <w:rsid w:val="00F32D35"/>
    <w:rsid w:val="00F35342"/>
    <w:rsid w:val="00F40F27"/>
    <w:rsid w:val="00F41C60"/>
    <w:rsid w:val="00F4538D"/>
    <w:rsid w:val="00F5473D"/>
    <w:rsid w:val="00F55AD3"/>
    <w:rsid w:val="00F62BDF"/>
    <w:rsid w:val="00F65678"/>
    <w:rsid w:val="00F7370F"/>
    <w:rsid w:val="00F84B66"/>
    <w:rsid w:val="00F86B7F"/>
    <w:rsid w:val="00F92155"/>
    <w:rsid w:val="00F956EE"/>
    <w:rsid w:val="00F97262"/>
    <w:rsid w:val="00FA1214"/>
    <w:rsid w:val="00FB17D4"/>
    <w:rsid w:val="00FB26CA"/>
    <w:rsid w:val="00FC3CA5"/>
    <w:rsid w:val="00FC4FC6"/>
    <w:rsid w:val="00FD1D68"/>
    <w:rsid w:val="00FD2B90"/>
    <w:rsid w:val="00FD447A"/>
    <w:rsid w:val="00FD674D"/>
    <w:rsid w:val="00FE09E4"/>
    <w:rsid w:val="00FE60D3"/>
    <w:rsid w:val="02DE0E1D"/>
    <w:rsid w:val="034B088F"/>
    <w:rsid w:val="035C4461"/>
    <w:rsid w:val="04F85BAC"/>
    <w:rsid w:val="05D02DA8"/>
    <w:rsid w:val="06A25D73"/>
    <w:rsid w:val="06ECE3A3"/>
    <w:rsid w:val="0820401A"/>
    <w:rsid w:val="0EE20A34"/>
    <w:rsid w:val="0F50561A"/>
    <w:rsid w:val="117E9E75"/>
    <w:rsid w:val="11884903"/>
    <w:rsid w:val="134A702A"/>
    <w:rsid w:val="14245594"/>
    <w:rsid w:val="178DCE0F"/>
    <w:rsid w:val="17FE204A"/>
    <w:rsid w:val="188FF6F1"/>
    <w:rsid w:val="192A26D7"/>
    <w:rsid w:val="19FC05BD"/>
    <w:rsid w:val="1E1751BE"/>
    <w:rsid w:val="1F65067A"/>
    <w:rsid w:val="20EC0F6E"/>
    <w:rsid w:val="21B63CF5"/>
    <w:rsid w:val="23081271"/>
    <w:rsid w:val="23376651"/>
    <w:rsid w:val="2422EA61"/>
    <w:rsid w:val="25A93FD9"/>
    <w:rsid w:val="2615ED34"/>
    <w:rsid w:val="26289A6F"/>
    <w:rsid w:val="28201BE0"/>
    <w:rsid w:val="294D2072"/>
    <w:rsid w:val="29CCB24A"/>
    <w:rsid w:val="29EB9D69"/>
    <w:rsid w:val="2AD3D098"/>
    <w:rsid w:val="2B4BC6FF"/>
    <w:rsid w:val="2E9EF877"/>
    <w:rsid w:val="2F5FCFC5"/>
    <w:rsid w:val="318C9979"/>
    <w:rsid w:val="329EC842"/>
    <w:rsid w:val="371B149F"/>
    <w:rsid w:val="37AA076E"/>
    <w:rsid w:val="3B296BCF"/>
    <w:rsid w:val="3C029F25"/>
    <w:rsid w:val="3C4DDD9B"/>
    <w:rsid w:val="3D1B8B6F"/>
    <w:rsid w:val="400D412C"/>
    <w:rsid w:val="40627946"/>
    <w:rsid w:val="41FD5F3B"/>
    <w:rsid w:val="42154482"/>
    <w:rsid w:val="45DEAD7F"/>
    <w:rsid w:val="463261BD"/>
    <w:rsid w:val="48CA353B"/>
    <w:rsid w:val="4A3F2883"/>
    <w:rsid w:val="4B235062"/>
    <w:rsid w:val="4B6327E3"/>
    <w:rsid w:val="4E248CDE"/>
    <w:rsid w:val="4F06025C"/>
    <w:rsid w:val="4F799B6F"/>
    <w:rsid w:val="4F9717F7"/>
    <w:rsid w:val="50C70B1B"/>
    <w:rsid w:val="51D00878"/>
    <w:rsid w:val="527E0D42"/>
    <w:rsid w:val="5291E362"/>
    <w:rsid w:val="52BC0736"/>
    <w:rsid w:val="52F40785"/>
    <w:rsid w:val="5437020F"/>
    <w:rsid w:val="55E7B349"/>
    <w:rsid w:val="56651180"/>
    <w:rsid w:val="5758D473"/>
    <w:rsid w:val="575B72EF"/>
    <w:rsid w:val="57AA5F87"/>
    <w:rsid w:val="57D8EE4F"/>
    <w:rsid w:val="584E11A9"/>
    <w:rsid w:val="5B8E6FEB"/>
    <w:rsid w:val="5BCEBDC2"/>
    <w:rsid w:val="5C78155E"/>
    <w:rsid w:val="5D773868"/>
    <w:rsid w:val="5D9456CA"/>
    <w:rsid w:val="5E771DD5"/>
    <w:rsid w:val="5ED4ACED"/>
    <w:rsid w:val="5ED7B78F"/>
    <w:rsid w:val="5F065E84"/>
    <w:rsid w:val="6069BCCD"/>
    <w:rsid w:val="6152CD6A"/>
    <w:rsid w:val="632A3A55"/>
    <w:rsid w:val="6434C7C5"/>
    <w:rsid w:val="645CC5E8"/>
    <w:rsid w:val="674DD536"/>
    <w:rsid w:val="67607FED"/>
    <w:rsid w:val="67F99CB2"/>
    <w:rsid w:val="6E8E01E4"/>
    <w:rsid w:val="70FE788E"/>
    <w:rsid w:val="71C1BA1A"/>
    <w:rsid w:val="722D19DB"/>
    <w:rsid w:val="727C5B35"/>
    <w:rsid w:val="739207F1"/>
    <w:rsid w:val="749AB6B3"/>
    <w:rsid w:val="7724CF6E"/>
    <w:rsid w:val="773A0425"/>
    <w:rsid w:val="77D16809"/>
    <w:rsid w:val="791DC53A"/>
    <w:rsid w:val="7A4FA056"/>
    <w:rsid w:val="7F5CF4EF"/>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13B3B"/>
  <w15:docId w15:val="{5B2C14FB-E6CA-497D-91A1-E219C585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02"/>
    <w:rPr>
      <w:rFonts w:ascii="Segoe UI" w:hAnsi="Segoe UI"/>
    </w:rPr>
  </w:style>
  <w:style w:type="paragraph" w:styleId="Heading1">
    <w:name w:val="heading 1"/>
    <w:basedOn w:val="Normal"/>
    <w:next w:val="Normal"/>
    <w:link w:val="Heading1Char"/>
    <w:uiPriority w:val="9"/>
    <w:qFormat/>
    <w:rsid w:val="004D2052"/>
    <w:pPr>
      <w:keepNext/>
      <w:keepLines/>
      <w:spacing w:before="240" w:after="120"/>
      <w:jc w:val="both"/>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B14502"/>
    <w:pPr>
      <w:keepNext/>
      <w:keepLines/>
      <w:numPr>
        <w:numId w:val="2"/>
      </w:numPr>
      <w:spacing w:before="40" w:after="0"/>
      <w:jc w:val="both"/>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4502"/>
    <w:pPr>
      <w:keepNext/>
      <w:keepLines/>
      <w:spacing w:before="40" w:after="0"/>
      <w:jc w:val="both"/>
      <w:outlineLvl w:val="2"/>
    </w:pPr>
    <w:rPr>
      <w:rFonts w:eastAsiaTheme="majorEastAsia" w:cstheme="majorBidi"/>
      <w:b/>
      <w:b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1450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14502"/>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4D2052"/>
    <w:rPr>
      <w:rFonts w:ascii="Segoe UI" w:eastAsiaTheme="majorEastAsia" w:hAnsi="Segoe UI" w:cstheme="majorBidi"/>
      <w:sz w:val="32"/>
      <w:szCs w:val="32"/>
    </w:rPr>
  </w:style>
  <w:style w:type="character" w:customStyle="1" w:styleId="Heading2Char">
    <w:name w:val="Heading 2 Char"/>
    <w:basedOn w:val="DefaultParagraphFont"/>
    <w:link w:val="Heading2"/>
    <w:uiPriority w:val="9"/>
    <w:rsid w:val="00B14502"/>
    <w:rPr>
      <w:rFonts w:ascii="Segoe UI" w:eastAsiaTheme="majorEastAsia" w:hAnsi="Segoe UI" w:cstheme="majorBidi"/>
      <w:color w:val="2F5496" w:themeColor="accent1" w:themeShade="BF"/>
      <w:sz w:val="26"/>
      <w:szCs w:val="26"/>
    </w:rPr>
  </w:style>
  <w:style w:type="character" w:customStyle="1" w:styleId="Heading3Char">
    <w:name w:val="Heading 3 Char"/>
    <w:basedOn w:val="DefaultParagraphFont"/>
    <w:link w:val="Heading3"/>
    <w:uiPriority w:val="9"/>
    <w:rsid w:val="00B14502"/>
    <w:rPr>
      <w:rFonts w:ascii="Segoe UI" w:eastAsiaTheme="majorEastAsia" w:hAnsi="Segoe UI" w:cstheme="majorBidi"/>
      <w:b/>
      <w:bCs/>
      <w:color w:val="1F3763" w:themeColor="accent1" w:themeShade="7F"/>
    </w:rPr>
  </w:style>
  <w:style w:type="paragraph" w:styleId="Caption">
    <w:name w:val="caption"/>
    <w:basedOn w:val="Normal"/>
    <w:next w:val="Normal"/>
    <w:uiPriority w:val="35"/>
    <w:unhideWhenUsed/>
    <w:qFormat/>
    <w:rsid w:val="004B14CD"/>
    <w:pPr>
      <w:keepNext/>
      <w:spacing w:after="200" w:line="240" w:lineRule="auto"/>
      <w:jc w:val="both"/>
    </w:pPr>
    <w:rPr>
      <w:rFonts w:cstheme="minorHAnsi"/>
      <w:color w:val="44546A" w:themeColor="text2"/>
      <w:sz w:val="18"/>
      <w:szCs w:val="18"/>
    </w:rPr>
  </w:style>
  <w:style w:type="character" w:styleId="CommentReference">
    <w:name w:val="annotation reference"/>
    <w:basedOn w:val="DefaultParagraphFont"/>
    <w:uiPriority w:val="99"/>
    <w:semiHidden/>
    <w:unhideWhenUsed/>
    <w:rsid w:val="00761276"/>
    <w:rPr>
      <w:sz w:val="16"/>
      <w:szCs w:val="16"/>
    </w:rPr>
  </w:style>
  <w:style w:type="paragraph" w:styleId="CommentText">
    <w:name w:val="annotation text"/>
    <w:basedOn w:val="Normal"/>
    <w:link w:val="CommentTextChar"/>
    <w:uiPriority w:val="99"/>
    <w:unhideWhenUsed/>
    <w:rsid w:val="00761276"/>
    <w:pPr>
      <w:spacing w:line="240" w:lineRule="auto"/>
    </w:pPr>
    <w:rPr>
      <w:sz w:val="20"/>
      <w:szCs w:val="20"/>
    </w:rPr>
  </w:style>
  <w:style w:type="character" w:customStyle="1" w:styleId="CommentTextChar">
    <w:name w:val="Comment Text Char"/>
    <w:basedOn w:val="DefaultParagraphFont"/>
    <w:link w:val="CommentText"/>
    <w:uiPriority w:val="99"/>
    <w:rsid w:val="00761276"/>
    <w:rPr>
      <w:sz w:val="20"/>
      <w:szCs w:val="20"/>
    </w:rPr>
  </w:style>
  <w:style w:type="paragraph" w:styleId="CommentSubject">
    <w:name w:val="annotation subject"/>
    <w:basedOn w:val="CommentText"/>
    <w:next w:val="CommentText"/>
    <w:link w:val="CommentSubjectChar"/>
    <w:uiPriority w:val="99"/>
    <w:semiHidden/>
    <w:unhideWhenUsed/>
    <w:rsid w:val="00761276"/>
    <w:rPr>
      <w:b/>
      <w:bCs/>
    </w:rPr>
  </w:style>
  <w:style w:type="character" w:customStyle="1" w:styleId="CommentSubjectChar">
    <w:name w:val="Comment Subject Char"/>
    <w:basedOn w:val="CommentTextChar"/>
    <w:link w:val="CommentSubject"/>
    <w:uiPriority w:val="99"/>
    <w:semiHidden/>
    <w:rsid w:val="00761276"/>
    <w:rPr>
      <w:b/>
      <w:bCs/>
      <w:sz w:val="20"/>
      <w:szCs w:val="20"/>
    </w:rPr>
  </w:style>
  <w:style w:type="character" w:styleId="Hyperlink">
    <w:name w:val="Hyperlink"/>
    <w:basedOn w:val="DefaultParagraphFont"/>
    <w:uiPriority w:val="99"/>
    <w:unhideWhenUsed/>
    <w:rsid w:val="00F32D35"/>
    <w:rPr>
      <w:color w:val="0563C1" w:themeColor="hyperlink"/>
      <w:u w:val="single"/>
    </w:rPr>
  </w:style>
  <w:style w:type="character" w:styleId="UnresolvedMention">
    <w:name w:val="Unresolved Mention"/>
    <w:basedOn w:val="DefaultParagraphFont"/>
    <w:uiPriority w:val="99"/>
    <w:semiHidden/>
    <w:unhideWhenUsed/>
    <w:rsid w:val="00F32D35"/>
    <w:rPr>
      <w:color w:val="605E5C"/>
      <w:shd w:val="clear" w:color="auto" w:fill="E1DFDD"/>
    </w:rPr>
  </w:style>
  <w:style w:type="paragraph" w:styleId="Header">
    <w:name w:val="header"/>
    <w:basedOn w:val="Normal"/>
    <w:link w:val="HeaderChar"/>
    <w:uiPriority w:val="99"/>
    <w:unhideWhenUsed/>
    <w:rsid w:val="00BA1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DD"/>
    <w:rPr>
      <w:rFonts w:ascii="Segoe UI" w:hAnsi="Segoe UI"/>
    </w:rPr>
  </w:style>
  <w:style w:type="paragraph" w:styleId="Footer">
    <w:name w:val="footer"/>
    <w:basedOn w:val="Normal"/>
    <w:link w:val="FooterChar"/>
    <w:uiPriority w:val="99"/>
    <w:unhideWhenUsed/>
    <w:rsid w:val="00BA1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DD"/>
    <w:rPr>
      <w:rFonts w:ascii="Segoe UI" w:hAnsi="Segoe UI"/>
    </w:rPr>
  </w:style>
  <w:style w:type="paragraph" w:styleId="Bibliography">
    <w:name w:val="Bibliography"/>
    <w:basedOn w:val="Normal"/>
    <w:next w:val="Normal"/>
    <w:uiPriority w:val="37"/>
    <w:unhideWhenUsed/>
    <w:rsid w:val="00141DCE"/>
    <w:pPr>
      <w:tabs>
        <w:tab w:val="left" w:pos="384"/>
      </w:tabs>
      <w:spacing w:after="0"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008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3217</Words>
  <Characters>18980</Characters>
  <Application>Microsoft Office Word</Application>
  <DocSecurity>0</DocSecurity>
  <Lines>311</Lines>
  <Paragraphs>83</Paragraphs>
  <ScaleCrop>false</ScaleCrop>
  <Company/>
  <LinksUpToDate>false</LinksUpToDate>
  <CharactersWithSpaces>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Holden</dc:creator>
  <cp:keywords/>
  <dc:description/>
  <cp:lastModifiedBy>Petra Holden</cp:lastModifiedBy>
  <cp:revision>5</cp:revision>
  <dcterms:created xsi:type="dcterms:W3CDTF">2026-03-28T15:23:00Z</dcterms:created>
  <dcterms:modified xsi:type="dcterms:W3CDTF">2026-04-09T14:33:00Z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id="4c8DwiQP"/&gt;&lt;style id="http://www.zotero.org/styles/nature" hasBibliography="1" bibliographyStyleHasBeenSet="1"/&gt;&lt;prefs&gt;&lt;pref name="fieldType" value="Field"/&gt;&lt;/prefs&gt;&lt;/data&gt;</vt:lpwstr>
  </property>
</Properties>
</file>