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C563" w14:textId="77777777" w:rsidR="004C66E6" w:rsidRDefault="004C66E6" w:rsidP="004C66E6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5A6F51">
        <w:rPr>
          <w:b/>
          <w:bCs/>
          <w:sz w:val="28"/>
          <w:szCs w:val="28"/>
        </w:rPr>
        <w:t>Appendix</w:t>
      </w:r>
    </w:p>
    <w:p w14:paraId="20F62D1A" w14:textId="77777777" w:rsidR="004C66E6" w:rsidRPr="00C17727" w:rsidRDefault="004C66E6" w:rsidP="004C66E6">
      <w:pPr>
        <w:pStyle w:val="NormalWeb"/>
        <w:spacing w:before="0" w:beforeAutospacing="0" w:after="0" w:afterAutospacing="0"/>
      </w:pPr>
      <w:r w:rsidRPr="00FA283E">
        <w:t>Appendix Table S1 tests robustness to outcome measurement by replacing recorded birth weight with a binary indicator equal to one if the mother reports the child as small/very small at birth. Estimates are obtained using Poisson pseudo–maximum likelihood with DHS sampling weights and county and birth-year fixed effects. Pregnancy rainfall is associated with a statistically significant reduction in the risk of being classified as small/very small, while pregnancy temperature is not robustly related to this outcome. Adding NDVI does not materially change the rainfall or temperature estimates. These results suggest that the rainfall-related patterns observed in the main analysis are not driven solely by the subset of births with measured birth weight, and they extend to a broader (though noisier) indicator of early-life health.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0"/>
        <w:gridCol w:w="2070"/>
        <w:gridCol w:w="2198"/>
      </w:tblGrid>
      <w:tr w:rsidR="004C66E6" w14:paraId="1EF4D6D6" w14:textId="77777777" w:rsidTr="00B76E8D">
        <w:trPr>
          <w:trHeight w:val="271"/>
        </w:trPr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CF286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0BB60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10A4D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4C66E6" w14:paraId="61C54126" w14:textId="77777777" w:rsidTr="00B76E8D">
        <w:trPr>
          <w:trHeight w:val="27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1E27F53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93B53BD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Rain+temp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54086987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NDVI</w:t>
            </w:r>
          </w:p>
        </w:tc>
      </w:tr>
      <w:tr w:rsidR="004C66E6" w14:paraId="2CD41900" w14:textId="77777777" w:rsidTr="00B76E8D">
        <w:trPr>
          <w:trHeight w:val="288"/>
        </w:trPr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1383A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Small/very small (DHS size categories 1–2)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6F8B7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050AE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6E6" w14:paraId="0CAFEDF3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FCFDD28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Rainfall (pregnancy total, per 100 mm)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4641E4C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4FEB307C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4C66E6" w14:paraId="08BFB445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4484224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31E4820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(0.01)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6BC1E6CA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(0.01)</w:t>
            </w:r>
          </w:p>
        </w:tc>
      </w:tr>
      <w:tr w:rsidR="004C66E6" w14:paraId="717E0E1E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D73694C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F9B6539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578702AA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6E6" w14:paraId="74024514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BF0975A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 (pregnancy mean, °C)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7EB1450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007718E2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4C66E6" w14:paraId="66F6258C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6210C33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CDDD02E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(0.01)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34882B69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(0.01)</w:t>
            </w:r>
          </w:p>
        </w:tc>
      </w:tr>
      <w:tr w:rsidR="004C66E6" w14:paraId="26B9A66C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C0B53DD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99CFD42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06AC9AC2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6E6" w14:paraId="4071CC8E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B323B93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NDVI (pregnancy mean ×10)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124550A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39DF23EB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4C66E6" w14:paraId="36F74830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8C149C9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A389AEE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489C806A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(0.03)</w:t>
            </w:r>
          </w:p>
        </w:tc>
      </w:tr>
      <w:tr w:rsidR="004C66E6" w14:paraId="20594EA9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7991F92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85CFE7A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029B7161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6E6" w14:paraId="242AA0E4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D2B7A9F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80BEC59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-1.81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6C76C9DA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-1.85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4C66E6" w14:paraId="47D93697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B0580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EBB98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(0.20)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F839E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(0.24)</w:t>
            </w:r>
          </w:p>
        </w:tc>
      </w:tr>
      <w:tr w:rsidR="004C66E6" w14:paraId="2C17B42A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31011CC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Fixed effects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A87C23C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55334CD7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4C66E6" w14:paraId="340B82E5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46783DB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Controls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23A1ECF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7ABCB227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4C66E6" w14:paraId="578C7B3E" w14:textId="77777777" w:rsidTr="00B76E8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9676E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1B170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21306.00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104A8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21306.00</w:t>
            </w:r>
          </w:p>
        </w:tc>
      </w:tr>
    </w:tbl>
    <w:p w14:paraId="4360EE09" w14:textId="77777777" w:rsidR="004C66E6" w:rsidRPr="00346C32" w:rsidRDefault="004C66E6" w:rsidP="004C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346C32">
        <w:rPr>
          <w:rFonts w:ascii="Times New Roman" w:eastAsiaTheme="minorEastAsia" w:hAnsi="Times New Roman" w:cs="Times New Roman"/>
          <w:sz w:val="20"/>
          <w:szCs w:val="20"/>
        </w:rPr>
        <w:t xml:space="preserve">Outcome equals 1 if DHS child size is reported as small/very small (categories 1–2). Estimates are reported as percent changes in risk: 100*(exp(beta)−1). Models use Poisson PML with sampling weights and standard errors clustered at the DHS PSU. Fixed effects include county and birth year; birth-month fixed effects are omitted for stability given sparsity and the coarse subjective nature of the outcome. NDVI is scaled ×10 (1 unit = 0.10 NDVI).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346C32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*</w:t>
      </w:r>
      <w:r w:rsidRPr="00346C32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346C32">
        <w:rPr>
          <w:rFonts w:ascii="Times New Roman" w:eastAsiaTheme="minorEastAsia" w:hAnsi="Times New Roman" w:cs="Times New Roman"/>
          <w:i/>
          <w:iCs/>
          <w:sz w:val="20"/>
          <w:szCs w:val="20"/>
        </w:rPr>
        <w:t>p</w:t>
      </w:r>
      <w:r w:rsidRPr="00346C32">
        <w:rPr>
          <w:rFonts w:ascii="Times New Roman" w:eastAsiaTheme="minorEastAsia" w:hAnsi="Times New Roman" w:cs="Times New Roman"/>
          <w:sz w:val="20"/>
          <w:szCs w:val="20"/>
        </w:rPr>
        <w:t xml:space="preserve"> &lt; 0.</w:t>
      </w:r>
      <w:r>
        <w:rPr>
          <w:rFonts w:ascii="Times New Roman" w:eastAsiaTheme="minorEastAsia" w:hAnsi="Times New Roman" w:cs="Times New Roman"/>
          <w:sz w:val="20"/>
          <w:szCs w:val="20"/>
        </w:rPr>
        <w:t>1</w:t>
      </w:r>
      <w:r w:rsidRPr="00346C32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346C32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**</w:t>
      </w:r>
      <w:r w:rsidRPr="00346C32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346C32">
        <w:rPr>
          <w:rFonts w:ascii="Times New Roman" w:eastAsiaTheme="minorEastAsia" w:hAnsi="Times New Roman" w:cs="Times New Roman"/>
          <w:i/>
          <w:iCs/>
          <w:sz w:val="20"/>
          <w:szCs w:val="20"/>
        </w:rPr>
        <w:t>p</w:t>
      </w:r>
      <w:r w:rsidRPr="00346C32">
        <w:rPr>
          <w:rFonts w:ascii="Times New Roman" w:eastAsiaTheme="minorEastAsia" w:hAnsi="Times New Roman" w:cs="Times New Roman"/>
          <w:sz w:val="20"/>
          <w:szCs w:val="20"/>
        </w:rPr>
        <w:t xml:space="preserve"> &lt; 0.0</w:t>
      </w:r>
      <w:r>
        <w:rPr>
          <w:rFonts w:ascii="Times New Roman" w:eastAsiaTheme="minorEastAsia" w:hAnsi="Times New Roman" w:cs="Times New Roman"/>
          <w:sz w:val="20"/>
          <w:szCs w:val="20"/>
        </w:rPr>
        <w:t>5</w:t>
      </w:r>
      <w:r w:rsidRPr="00346C32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346C32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***</w:t>
      </w:r>
      <w:r w:rsidRPr="00346C32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346C32">
        <w:rPr>
          <w:rFonts w:ascii="Times New Roman" w:eastAsiaTheme="minorEastAsia" w:hAnsi="Times New Roman" w:cs="Times New Roman"/>
          <w:i/>
          <w:iCs/>
          <w:sz w:val="20"/>
          <w:szCs w:val="20"/>
        </w:rPr>
        <w:t>p</w:t>
      </w:r>
      <w:r w:rsidRPr="00346C32">
        <w:rPr>
          <w:rFonts w:ascii="Times New Roman" w:eastAsiaTheme="minorEastAsia" w:hAnsi="Times New Roman" w:cs="Times New Roman"/>
          <w:sz w:val="20"/>
          <w:szCs w:val="20"/>
        </w:rPr>
        <w:t xml:space="preserve"> &lt; 0.01</w:t>
      </w:r>
    </w:p>
    <w:p w14:paraId="7898BA6A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16346AF9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73F88CAC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2139A7DC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3BE962B0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037BC385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3E088707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6830FCD8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3A60DA7D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30AAB618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2018718A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64C88529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7BA9616A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2C0B1273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  <w:r w:rsidRPr="00FA283E">
        <w:t xml:space="preserve">Appendix Table S2 assesses sensitivity to selective observation of birth weight by re-estimating the main shock specifications using inverse probability weights derived from a model predicting whether birth weight is recorded. After reweighting, temperature anomalies remain strongly associated with lower birth weight, while rainfall anomalies remain </w:t>
      </w:r>
      <w:r w:rsidRPr="00FA283E">
        <w:lastRenderedPageBreak/>
        <w:t>statistically indistinguishable from zero. The similarity between the IPW-adjusted and baseline estimates suggests that selective reporting of birth weight is unlikely to be driving the paper’s central conclusions about the relative importance of thermal shocks versus rainfall anomalies.</w:t>
      </w:r>
    </w:p>
    <w:p w14:paraId="3FCF91D4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191A59DE" w14:textId="77777777" w:rsidR="004C66E6" w:rsidRPr="0033049F" w:rsidRDefault="004C66E6" w:rsidP="004C66E6">
      <w:pPr>
        <w:pStyle w:val="NormalWeb"/>
        <w:spacing w:before="0" w:beforeAutospacing="0" w:after="0" w:afterAutospacing="0"/>
        <w:ind w:firstLine="720"/>
      </w:pPr>
      <w:r w:rsidRPr="0033049F">
        <w:t>Robustness: Table 2 shocks with IPW for BW observed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0"/>
        <w:gridCol w:w="1800"/>
        <w:gridCol w:w="1890"/>
      </w:tblGrid>
      <w:tr w:rsidR="004C66E6" w14:paraId="7BAEAB7D" w14:textId="77777777" w:rsidTr="00B76E8D">
        <w:trPr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66A0C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F2460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364CC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4C66E6" w14:paraId="05DD671D" w14:textId="77777777" w:rsidTr="00B76E8D">
        <w:trPr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6F5E241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1F5BD97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B772BEF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IPW + NDVI</w:t>
            </w:r>
          </w:p>
        </w:tc>
      </w:tr>
      <w:tr w:rsidR="004C66E6" w14:paraId="19CB7881" w14:textId="77777777" w:rsidTr="00B76E8D">
        <w:trPr>
          <w:trHeight w:val="288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97D9B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Rainfall anomaly z-score (pregnancy)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47461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-1.961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19B9C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10.75</w:t>
            </w:r>
          </w:p>
        </w:tc>
      </w:tr>
      <w:tr w:rsidR="004C66E6" w14:paraId="6D144EE2" w14:textId="77777777" w:rsidTr="00B76E8D">
        <w:trPr>
          <w:trHeight w:val="288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DDAB59F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A76568D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(8.290)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8E32521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(9.693)</w:t>
            </w:r>
          </w:p>
        </w:tc>
      </w:tr>
      <w:tr w:rsidR="004C66E6" w14:paraId="62846D98" w14:textId="77777777" w:rsidTr="00B76E8D">
        <w:trPr>
          <w:trHeight w:val="288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F232385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16830D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4AE6C7A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6E6" w14:paraId="5AA14B63" w14:textId="77777777" w:rsidTr="00B76E8D">
        <w:trPr>
          <w:trHeight w:val="288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D6D4201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 anomaly z-score (pregnancy)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89D56A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-41.23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9CD0E10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-47.15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4C66E6" w14:paraId="2BCE2B7D" w14:textId="77777777" w:rsidTr="00B76E8D">
        <w:trPr>
          <w:trHeight w:val="288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8D5EB0E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1A76CF9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(8.249)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F0C7415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(8.705)</w:t>
            </w:r>
          </w:p>
        </w:tc>
      </w:tr>
      <w:tr w:rsidR="004C66E6" w14:paraId="041E9027" w14:textId="77777777" w:rsidTr="00B76E8D">
        <w:trPr>
          <w:trHeight w:val="288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F67166E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0D44065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9B732A3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6E6" w14:paraId="7AC0FFBD" w14:textId="77777777" w:rsidTr="00B76E8D">
        <w:trPr>
          <w:trHeight w:val="288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38CE23D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NDVI anomaly z-score (pregnancy; NDVI×10 then standardized)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D00F3B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EE538CE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-29.96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4C66E6" w14:paraId="4FCA658B" w14:textId="77777777" w:rsidTr="00B76E8D">
        <w:trPr>
          <w:trHeight w:val="288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FEBBF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3E26B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1E928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(10.16)</w:t>
            </w:r>
          </w:p>
        </w:tc>
      </w:tr>
      <w:tr w:rsidR="004C66E6" w14:paraId="031B575A" w14:textId="77777777" w:rsidTr="00B76E8D">
        <w:trPr>
          <w:trHeight w:val="288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66050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9AD3C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7BE46" w14:textId="77777777" w:rsidR="004C66E6" w:rsidRDefault="004C66E6" w:rsidP="00B76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13333</w:t>
            </w:r>
          </w:p>
        </w:tc>
      </w:tr>
    </w:tbl>
    <w:p w14:paraId="4AF2DBF4" w14:textId="77777777" w:rsidR="004C66E6" w:rsidRPr="00B51C00" w:rsidRDefault="004C66E6" w:rsidP="004C66E6">
      <w:pPr>
        <w:pStyle w:val="NormalWeb"/>
        <w:spacing w:before="0" w:beforeAutospacing="0" w:after="0" w:afterAutospacing="0"/>
        <w:ind w:left="810"/>
        <w:rPr>
          <w:sz w:val="20"/>
          <w:szCs w:val="20"/>
        </w:rPr>
      </w:pPr>
      <w:r w:rsidRPr="00B51C00">
        <w:rPr>
          <w:b/>
          <w:bCs/>
          <w:sz w:val="20"/>
          <w:szCs w:val="20"/>
        </w:rPr>
        <w:t>Notes:</w:t>
      </w:r>
      <w:r>
        <w:rPr>
          <w:sz w:val="20"/>
          <w:szCs w:val="20"/>
        </w:rPr>
        <w:t xml:space="preserve"> </w:t>
      </w:r>
      <w:r w:rsidRPr="00B51C00">
        <w:rPr>
          <w:sz w:val="20"/>
          <w:szCs w:val="20"/>
        </w:rPr>
        <w:t xml:space="preserve">IPW uses a logit model for </w:t>
      </w:r>
      <w:proofErr w:type="spellStart"/>
      <w:proofErr w:type="gramStart"/>
      <w:r w:rsidRPr="00B51C00">
        <w:rPr>
          <w:sz w:val="20"/>
          <w:szCs w:val="20"/>
        </w:rPr>
        <w:t>Pr</w:t>
      </w:r>
      <w:proofErr w:type="spellEnd"/>
      <w:r w:rsidRPr="00B51C00">
        <w:rPr>
          <w:sz w:val="20"/>
          <w:szCs w:val="20"/>
        </w:rPr>
        <w:t>(</w:t>
      </w:r>
      <w:proofErr w:type="gramEnd"/>
      <w:r w:rsidRPr="00B51C00">
        <w:rPr>
          <w:sz w:val="20"/>
          <w:szCs w:val="20"/>
        </w:rPr>
        <w:t>BW observed) with maternal age, birth order, maternal education, urban residence, child sex, singleton indicator, birth year fixed effects, and county fixed effects. Final weights equal DHS sampling weights (v005/1e6) multiplied by stabilized IPW, trimmed at the 99th percentile among BW-observed births.” *p &lt; 0.1, ** p &lt; 0.05, *** p &lt; 0.01</w:t>
      </w:r>
    </w:p>
    <w:p w14:paraId="61ED0BB0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5DE64CEE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6722392D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26F850B6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1F3D1609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0583086D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0EE6F712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4DA12D3A" w14:textId="77777777" w:rsidR="004C66E6" w:rsidRDefault="004C66E6" w:rsidP="004C66E6">
      <w:pPr>
        <w:pStyle w:val="NormalWeb"/>
        <w:spacing w:before="0" w:beforeAutospacing="0" w:after="0" w:afterAutospacing="0"/>
        <w:ind w:firstLine="720"/>
      </w:pPr>
    </w:p>
    <w:p w14:paraId="6B066F52" w14:textId="77777777" w:rsidR="00A91650" w:rsidRDefault="00A91650"/>
    <w:sectPr w:rsidR="00A9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6"/>
    <w:rsid w:val="000E2EDD"/>
    <w:rsid w:val="004C66E6"/>
    <w:rsid w:val="00912545"/>
    <w:rsid w:val="00A91650"/>
    <w:rsid w:val="00CD53DF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423A"/>
  <w15:chartTrackingRefBased/>
  <w15:docId w15:val="{13F903A3-A9DF-4978-97B2-5721921A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6E6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6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6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6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6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6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6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6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6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6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6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6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6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6E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6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6E6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6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6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C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2026-06-29T18:12:00Z</dcterms:created>
  <dcterms:modified xsi:type="dcterms:W3CDTF">2026-06-29T18:12:00Z</dcterms:modified>
</cp:coreProperties>
</file>