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sz w:val="32"/>
        </w:rPr>
        <w:t>Supplementary Material</w:t>
      </w:r>
    </w:p>
    <w:p>
      <w:pPr>
        <w:spacing w:after="80"/>
        <w:jc w:val="center"/>
      </w:pPr>
      <w:r>
        <w:rPr>
          <w:i/>
          <w:sz w:val="24"/>
        </w:rPr>
        <w:t>The Slow Revolution: AI Skills Demand in U.S. Healthcare Job Postings</w:t>
      </w:r>
    </w:p>
    <w:p>
      <w:pPr>
        <w:spacing w:after="280"/>
        <w:jc w:val="center"/>
      </w:pPr>
      <w:r>
        <w:rPr>
          <w:sz w:val="20"/>
        </w:rPr>
        <w:t>Faezeh Najafi | PhD Candidate, Department of Economics</w:t>
        <w:br/>
        <w:t>Virginia Polytechnic Institute and State University (Virginia Tech)</w:t>
        <w:br/>
        <w:t>Blacksburg, VA 24060, United States</w:t>
      </w:r>
    </w:p>
    <w:p>
      <w:pPr>
        <w:spacing w:after="120"/>
      </w:pPr>
      <w:r>
        <w:rPr>
          <w:sz w:val="22"/>
        </w:rPr>
        <w:t>This supplementary file contains four tables (S1–S4) and two figures (S1–S2) that provide supporting detail for the main manuscript. Table S1 reports year-by-year AI adoption counts; Table S2 summarises the pre/post-COVID comparison; Table S3 lists the AI keyword categories; and Table S4 provides illustrative AI-enabled roles by hospital job type. Figures S1 and S2 present additional cross-sector comparisons.</w:t>
      </w:r>
    </w:p>
    <w:p/>
    <w:p>
      <w:pPr>
        <w:spacing w:after="160"/>
      </w:pPr>
      <w:r>
        <w:rPr>
          <w:b/>
          <w:sz w:val="28"/>
        </w:rPr>
        <w:t>Supplementary Tables</w:t>
      </w:r>
    </w:p>
    <w:p>
      <w:pPr>
        <w:spacing w:after="60"/>
      </w:pPr>
      <w:r>
        <w:rPr>
          <w:b/>
          <w:sz w:val="20"/>
        </w:rPr>
        <w:t>Table S1. Yearly AI Adoption in U.S. Hospitals, 2015–2023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Year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AI Posts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Total Posts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% AI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AI Hosps.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% Hosps.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2015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496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1,105,083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0.0449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3.82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749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1,344,395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0.0557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4.11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2017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815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1,397,859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0.0583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134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5.51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2018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1,401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1,416,837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0.0989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180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7.41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2,092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1,493,982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0.1400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233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9.58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2020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1,962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1,514,039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0.1296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216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8.88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2021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2,978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1,773,238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0.1679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253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10.40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2022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4,840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1,998,336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0.2422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295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12.13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2023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3,031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1,800,061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0.1684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233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9.58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Total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18,364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13,843,830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0.1327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  <w:tc>
          <w:tcPr>
            <w:tcW w:type="dxa" w:w="1560"/>
          </w:tcPr>
          <w:p>
            <w:r>
              <w:rPr>
                <w:sz w:val="18"/>
              </w:rPr>
            </w:r>
          </w:p>
        </w:tc>
      </w:tr>
    </w:tbl>
    <w:p>
      <w:pPr>
        <w:spacing w:before="60" w:after="200"/>
      </w:pPr>
      <w:r>
        <w:rPr>
          <w:i/>
          <w:sz w:val="16"/>
        </w:rPr>
        <w:t>"AI Hosps." = number of distinct employers posting at least one AI role in that year. Goldfarb Core keyword definition. CAGR (2015–2023) ≈ 18%.</w:t>
      </w:r>
    </w:p>
    <w:p>
      <w:pPr>
        <w:spacing w:after="60"/>
      </w:pPr>
      <w:r>
        <w:rPr>
          <w:b/>
          <w:sz w:val="20"/>
        </w:rPr>
        <w:t>Table S2. Pre- vs. Post-COVID Adoption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Period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AI Posts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Total Posts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% AI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Peak Hosps.</w:t>
            </w:r>
          </w:p>
        </w:tc>
        <w:tc>
          <w:tcPr>
            <w:tcW w:type="dxa" w:w="1560"/>
            <w:shd w:val="clear" w:color="auto" w:fill="D9E1F2"/>
          </w:tcPr>
          <w:p>
            <w:r>
              <w:rPr>
                <w:b/>
                <w:sz w:val="18"/>
              </w:rPr>
              <w:t>Peak %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2015–2019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5,553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6,758,156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0.0822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233 (2019)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9.58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2020–2023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12,811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7,085,674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0.1808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295 (2022)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12.13</w:t>
            </w:r>
          </w:p>
        </w:tc>
      </w:tr>
      <w:tr>
        <w:tc>
          <w:tcPr>
            <w:tcW w:type="dxa" w:w="1560"/>
          </w:tcPr>
          <w:p>
            <w:r>
              <w:rPr>
                <w:sz w:val="18"/>
              </w:rPr>
              <w:t>Overall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18,364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13,843,830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0.1327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295 (2022)</w:t>
            </w:r>
          </w:p>
        </w:tc>
        <w:tc>
          <w:tcPr>
            <w:tcW w:type="dxa" w:w="1560"/>
          </w:tcPr>
          <w:p>
            <w:r>
              <w:rPr>
                <w:sz w:val="18"/>
              </w:rPr>
              <w:t>12.13</w:t>
            </w:r>
          </w:p>
        </w:tc>
      </w:tr>
    </w:tbl>
    <w:p>
      <w:pPr>
        <w:spacing w:before="60" w:after="200"/>
      </w:pPr>
      <w:r>
        <w:rPr>
          <w:i/>
          <w:sz w:val="16"/>
        </w:rPr>
        <w:t>AI posting share approximately doubles from the pre- to post-COVID window.</w:t>
      </w:r>
    </w:p>
    <w:p>
      <w:pPr>
        <w:spacing w:after="60"/>
      </w:pPr>
      <w:r>
        <w:rPr>
          <w:b/>
          <w:sz w:val="20"/>
        </w:rPr>
        <w:t>Table S3. AI Keyword Categories and Representative Terms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D9E1F2"/>
          </w:tcPr>
          <w:p>
            <w:r>
              <w:rPr>
                <w:b/>
                <w:sz w:val="18"/>
              </w:rPr>
              <w:t>Category</w:t>
            </w:r>
          </w:p>
        </w:tc>
        <w:tc>
          <w:tcPr>
            <w:tcW w:type="dxa" w:w="4680"/>
            <w:shd w:val="clear" w:color="auto" w:fill="D9E1F2"/>
          </w:tcPr>
          <w:p>
            <w:r>
              <w:rPr>
                <w:b/>
                <w:sz w:val="18"/>
              </w:rPr>
              <w:t>Representative Keywords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Machine Learning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machine learning, predictive modeling, random forest, gradient boosting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Deep Learning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deep learning, neural network, convolutional neural network, transformer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NLP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natural language processing, text mining, sentiment analysis, speech recognition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Computer Vision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computer vision, image recognition, object detection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General AI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artificial intelligence, AI algorithm, large language model, generative AI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Automation Tools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robotic process automation, intelligent automation, workflow optimization</w:t>
            </w:r>
          </w:p>
        </w:tc>
      </w:tr>
    </w:tbl>
    <w:p>
      <w:pPr>
        <w:spacing w:before="60" w:after="200"/>
      </w:pPr>
      <w:r>
        <w:rPr>
          <w:i/>
          <w:sz w:val="16"/>
        </w:rPr>
        <w:t>Keywords from Goldfarb et al. (2020). Conservative list targets stable, unambiguous AI terminology.</w:t>
      </w:r>
    </w:p>
    <w:p>
      <w:pPr>
        <w:spacing w:after="60"/>
      </w:pPr>
      <w:r>
        <w:rPr>
          <w:b/>
          <w:sz w:val="20"/>
        </w:rPr>
        <w:t>Table S4. Illustrative AI-Enabled Roles by Hospital Job Type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D9E1F2"/>
          </w:tcPr>
          <w:p>
            <w:r>
              <w:rPr>
                <w:b/>
                <w:sz w:val="18"/>
              </w:rPr>
              <w:t>Job Type</w:t>
            </w:r>
          </w:p>
        </w:tc>
        <w:tc>
          <w:tcPr>
            <w:tcW w:type="dxa" w:w="4680"/>
            <w:shd w:val="clear" w:color="auto" w:fill="D9E1F2"/>
          </w:tcPr>
          <w:p>
            <w:r>
              <w:rPr>
                <w:b/>
                <w:sz w:val="18"/>
              </w:rPr>
              <w:t>Illustrative AI-Enabled Roles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Clinical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Radiologist (ML for imaging); Nurse Practitioner (NLP for note summarisation); Physician (AI risk stratification)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Research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Biostatistician (ML for disease progression); Research Scientist (AI-powered genomic analysis)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IT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Informatics Specialist (clinical decision support AI); Data Engineer (ML pipeline development)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Administrative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Billing Specialist (NLP for automated coding); Revenue Cycle Analyst (AI fraud detection)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Teaching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Clinical Instructor (AI simulation tools); Medical Educator (AI curriculum personalisation)</w:t>
            </w:r>
          </w:p>
        </w:tc>
      </w:tr>
      <w:tr>
        <w:tc>
          <w:tcPr>
            <w:tcW w:type="dxa" w:w="4680"/>
          </w:tcPr>
          <w:p>
            <w:r>
              <w:rPr>
                <w:sz w:val="18"/>
              </w:rPr>
              <w:t>Other/Unspecified</w:t>
            </w:r>
          </w:p>
        </w:tc>
        <w:tc>
          <w:tcPr>
            <w:tcW w:type="dxa" w:w="4680"/>
          </w:tcPr>
          <w:p>
            <w:r>
              <w:rPr>
                <w:sz w:val="18"/>
              </w:rPr>
              <w:t>Information Manager (NLP for patient records); Compliance Officer (ML for regulatory violation detection)</w:t>
            </w:r>
          </w:p>
        </w:tc>
      </w:tr>
    </w:tbl>
    <w:p/>
    <w:p>
      <w:pPr>
        <w:spacing w:after="160"/>
      </w:pPr>
      <w:r>
        <w:rPr>
          <w:b/>
          <w:sz w:val="28"/>
        </w:rPr>
        <w:t>Supplementary Figures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029200" cy="2079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ldfarb_AI_Proportion_Comparison_2015_202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792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sz w:val="18"/>
        </w:rPr>
        <w:t>Figure S1. Goldfarb AI posting share by sector, 2015–2023: proportion comparison. This figure provides an alternative sector-level view complementing Figure 3 of the main manuscript. Healthcare consistently shows the lowest AI posting share of all sectors.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029200" cy="155819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ldfarb_AI_Proportion_and_CAGR_Comparison_2015_2023-sorte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581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sz w:val="18"/>
        </w:rPr>
        <w:t>Figure S2. Goldfarb AI posting share and compound annual growth rate (CAGR) comparison by sector, 2015–2023, sorted by CAGR. Healthcare exhibits a high CAGR from a very low base. This figure complements Figure 6 of the main manuscript.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