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39" w:type="dxa"/>
        <w:tblLook w:val="04A0" w:firstRow="1" w:lastRow="0" w:firstColumn="1" w:lastColumn="0" w:noHBand="0" w:noVBand="1"/>
      </w:tblPr>
      <w:tblGrid>
        <w:gridCol w:w="4395"/>
        <w:gridCol w:w="1842"/>
        <w:gridCol w:w="3402"/>
      </w:tblGrid>
      <w:tr w:rsidR="00435DF8" w:rsidRPr="00435DF8" w:rsidTr="00435DF8">
        <w:trPr>
          <w:trHeight w:val="330"/>
        </w:trPr>
        <w:tc>
          <w:tcPr>
            <w:tcW w:w="963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1 A summary of concomitant agents of all enrolled patients</w:t>
            </w:r>
          </w:p>
        </w:tc>
      </w:tr>
      <w:tr w:rsidR="00435DF8" w:rsidRPr="00435DF8" w:rsidTr="00435DF8">
        <w:trPr>
          <w:trHeight w:val="33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All RA patients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IL-2 combination treatment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888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233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Use of concomitant agents (no. of patients)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Methotrexate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Leflunomide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Sulfasalazine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Cyclophosphamide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Hydroxychloroquine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Thalidomide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Sirolimus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Tretinoin tablets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Biological agents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435DF8" w:rsidRPr="00435DF8" w:rsidTr="00435DF8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Tripterysium glycosides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435DF8" w:rsidRPr="00435DF8" w:rsidTr="00435DF8">
        <w:trPr>
          <w:trHeight w:val="33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Total Glucosides of Paeony Capsules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35DF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435DF8" w:rsidRPr="00435DF8" w:rsidTr="00435DF8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DF8" w:rsidRPr="00435DF8" w:rsidRDefault="00435DF8" w:rsidP="00435DF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435DF8" w:rsidRDefault="00435DF8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435DF8" w:rsidRDefault="00435DF8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C1C2F" w:rsidRDefault="007B1B75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6429957" cy="3016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.30_CD4+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6615" cy="302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C2F" w:rsidRPr="00AB23EE" w:rsidRDefault="00AB23E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t>Supplementary Figure 1:</w:t>
      </w:r>
      <w:r w:rsidRPr="00AB23EE">
        <w:t xml:space="preserve"> </w:t>
      </w:r>
      <w:r w:rsidRPr="00AB23EE">
        <w:rPr>
          <w:rFonts w:ascii="Times New Roman" w:hAnsi="Times New Roman"/>
          <w:b/>
          <w:sz w:val="24"/>
          <w:szCs w:val="24"/>
        </w:rPr>
        <w:t xml:space="preserve">Phenotypic characterization of </w:t>
      </w:r>
      <w:r>
        <w:rPr>
          <w:rFonts w:ascii="Times New Roman" w:hAnsi="Times New Roman"/>
          <w:b/>
          <w:sz w:val="24"/>
          <w:szCs w:val="24"/>
        </w:rPr>
        <w:t xml:space="preserve">CD4+T </w:t>
      </w:r>
      <w:r w:rsidRPr="00AB23EE">
        <w:rPr>
          <w:rFonts w:ascii="Times New Roman" w:hAnsi="Times New Roman"/>
          <w:b/>
          <w:sz w:val="24"/>
          <w:szCs w:val="24"/>
        </w:rPr>
        <w:t>lymphocyte sub</w:t>
      </w:r>
      <w:r>
        <w:rPr>
          <w:rFonts w:ascii="Times New Roman" w:hAnsi="Times New Roman"/>
          <w:b/>
          <w:sz w:val="24"/>
          <w:szCs w:val="24"/>
        </w:rPr>
        <w:t>set</w:t>
      </w:r>
      <w:r w:rsidRPr="00AB23EE">
        <w:rPr>
          <w:rFonts w:ascii="Times New Roman" w:hAnsi="Times New Roman"/>
          <w:b/>
          <w:sz w:val="24"/>
          <w:szCs w:val="24"/>
        </w:rPr>
        <w:t>s by Flow cytometry.</w:t>
      </w:r>
    </w:p>
    <w:p w:rsidR="00AB23EE" w:rsidRDefault="00AB23EE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AB23EE" w:rsidRDefault="00AB23EE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F12A87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6850" cy="38195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t xml:space="preserve">Supplementary Figure </w:t>
      </w:r>
      <w:r w:rsidR="00AB23EE">
        <w:rPr>
          <w:rFonts w:ascii="Times New Roman" w:hAnsi="Times New Roman"/>
          <w:sz w:val="24"/>
          <w:szCs w:val="24"/>
        </w:rPr>
        <w:t>2</w:t>
      </w:r>
      <w:r w:rsidRPr="006D5AD0">
        <w:rPr>
          <w:rFonts w:ascii="Times New Roman" w:hAnsi="Times New Roman"/>
          <w:sz w:val="24"/>
          <w:szCs w:val="24"/>
        </w:rPr>
        <w:t>:</w:t>
      </w:r>
      <w:r w:rsidRPr="006D5AD0">
        <w:rPr>
          <w:rFonts w:ascii="Times New Roman" w:hAnsi="Times New Roman"/>
          <w:b/>
          <w:sz w:val="24"/>
          <w:szCs w:val="24"/>
        </w:rPr>
        <w:t xml:space="preserve"> Differences in the proportion of CD4+T subsets in peripheral blood between patients with RA, including new and previously treated patients, and healthy controls</w:t>
      </w:r>
      <w:r w:rsidRPr="006D5AD0">
        <w:rPr>
          <w:rFonts w:ascii="Times New Roman" w:hAnsi="Times New Roman"/>
          <w:sz w:val="24"/>
          <w:szCs w:val="24"/>
        </w:rPr>
        <w:t>. (a–d) Proportions of Th1, Th2, and Tregs were significantly lower in treated patients than in healthy individuals; the proportion of Th17 cells did not differ significantly. New RA patients had a higher level of Th1 cells than previously treated RA patients</w:t>
      </w:r>
      <w:r>
        <w:rPr>
          <w:rFonts w:ascii="Times New Roman" w:hAnsi="Times New Roman"/>
          <w:sz w:val="24"/>
          <w:szCs w:val="24"/>
        </w:rPr>
        <w:t>,</w:t>
      </w:r>
      <w:r w:rsidRPr="006D5AD0">
        <w:rPr>
          <w:rFonts w:ascii="Times New Roman" w:hAnsi="Times New Roman"/>
          <w:sz w:val="24"/>
          <w:szCs w:val="24"/>
        </w:rPr>
        <w:t xml:space="preserve"> had a lower level of Tregs than healthy subjects. * 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0.05, ** 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0.01, *** 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0.001. Significance values are asymptotic (2-sided tests) and the significance level is </w:t>
      </w:r>
      <w:r w:rsidRPr="006D5AD0">
        <w:rPr>
          <w:rFonts w:ascii="Times New Roman" w:hAnsi="Times New Roman"/>
          <w:i/>
          <w:sz w:val="24"/>
          <w:szCs w:val="24"/>
        </w:rPr>
        <w:t xml:space="preserve">P &lt; </w:t>
      </w:r>
      <w:r w:rsidRPr="006D5AD0">
        <w:rPr>
          <w:rFonts w:ascii="Times New Roman" w:hAnsi="Times New Roman"/>
          <w:sz w:val="24"/>
          <w:szCs w:val="24"/>
        </w:rPr>
        <w:t>0.05.</w:t>
      </w: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F12A8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76850" cy="39052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t xml:space="preserve">Supplementary Figure </w:t>
      </w:r>
      <w:r w:rsidR="00AB23EE">
        <w:rPr>
          <w:rFonts w:ascii="Times New Roman" w:hAnsi="Times New Roman"/>
          <w:sz w:val="24"/>
          <w:szCs w:val="24"/>
        </w:rPr>
        <w:t>3</w:t>
      </w:r>
      <w:r w:rsidRPr="006D5AD0">
        <w:rPr>
          <w:rFonts w:ascii="Times New Roman" w:hAnsi="Times New Roman"/>
          <w:sz w:val="24"/>
          <w:szCs w:val="24"/>
        </w:rPr>
        <w:t xml:space="preserve">: </w:t>
      </w:r>
      <w:r w:rsidRPr="006D5AD0">
        <w:rPr>
          <w:rFonts w:ascii="Times New Roman" w:hAnsi="Times New Roman"/>
          <w:b/>
          <w:sz w:val="24"/>
          <w:szCs w:val="24"/>
        </w:rPr>
        <w:t>Changes in the proportion of circulating CD4+T subsets between RA patients with different levels of DAS28 and healthy controls</w:t>
      </w:r>
      <w:r w:rsidRPr="006D5AD0">
        <w:rPr>
          <w:rFonts w:ascii="Times New Roman" w:hAnsi="Times New Roman"/>
          <w:sz w:val="24"/>
          <w:szCs w:val="24"/>
        </w:rPr>
        <w:t xml:space="preserve">. (a–d) , The percentages of CD4+T subpopulations, except for Th17 cells, decreased with increasing disease activity compared with healthy </w:t>
      </w:r>
      <w:r>
        <w:rPr>
          <w:rFonts w:ascii="Times New Roman" w:hAnsi="Times New Roman"/>
          <w:sz w:val="24"/>
          <w:szCs w:val="24"/>
        </w:rPr>
        <w:t>controls</w:t>
      </w:r>
      <w:r w:rsidRPr="006D5AD0">
        <w:rPr>
          <w:rFonts w:ascii="Times New Roman" w:hAnsi="Times New Roman"/>
          <w:sz w:val="24"/>
          <w:szCs w:val="24"/>
        </w:rPr>
        <w:t xml:space="preserve">, although this </w:t>
      </w:r>
      <w:r>
        <w:rPr>
          <w:rFonts w:ascii="Times New Roman" w:hAnsi="Times New Roman"/>
          <w:sz w:val="24"/>
          <w:szCs w:val="24"/>
        </w:rPr>
        <w:t>difference</w:t>
      </w:r>
      <w:r w:rsidRPr="006D5AD0">
        <w:rPr>
          <w:rFonts w:ascii="Times New Roman" w:hAnsi="Times New Roman"/>
          <w:sz w:val="24"/>
          <w:szCs w:val="24"/>
        </w:rPr>
        <w:t xml:space="preserve"> was not significant. * 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0.05, ** 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0.01, *** 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0.001. Significance values are asymptotic (2-sided tests) and the significance level is </w:t>
      </w:r>
      <w:r w:rsidRPr="006D5AD0">
        <w:rPr>
          <w:rFonts w:ascii="Times New Roman" w:hAnsi="Times New Roman"/>
          <w:i/>
          <w:sz w:val="24"/>
          <w:szCs w:val="24"/>
        </w:rPr>
        <w:t xml:space="preserve">P &lt; </w:t>
      </w:r>
      <w:r w:rsidRPr="006D5AD0">
        <w:rPr>
          <w:rFonts w:ascii="Times New Roman" w:hAnsi="Times New Roman"/>
          <w:sz w:val="24"/>
          <w:szCs w:val="24"/>
        </w:rPr>
        <w:t>0.05.</w:t>
      </w: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CB65BF" w:rsidRDefault="00CB65B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B65BF" w:rsidRPr="006D5AD0" w:rsidRDefault="00CB65BF" w:rsidP="00CB65BF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>
            <wp:extent cx="5267325" cy="3648075"/>
            <wp:effectExtent l="0" t="0" r="9525" b="9525"/>
            <wp:docPr id="1" name="图片 1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5C9" w:rsidRPr="006D5AD0" w:rsidRDefault="00CB65BF" w:rsidP="00CB65BF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t>Supplementary</w:t>
      </w:r>
      <w:r w:rsidRPr="006D5AD0">
        <w:rPr>
          <w:rFonts w:ascii="Times New Roman" w:hAnsi="Times New Roman"/>
          <w:sz w:val="24"/>
          <w:szCs w:val="24"/>
        </w:rPr>
        <w:t xml:space="preserve"> </w:t>
      </w:r>
      <w:r w:rsidRPr="006D5AD0">
        <w:rPr>
          <w:rFonts w:ascii="Times New Roman" w:hAnsi="Times New Roman"/>
          <w:sz w:val="24"/>
          <w:szCs w:val="24"/>
        </w:rPr>
        <w:t xml:space="preserve">Figure </w:t>
      </w:r>
      <w:r>
        <w:rPr>
          <w:rFonts w:ascii="Times New Roman" w:hAnsi="Times New Roman"/>
          <w:sz w:val="24"/>
          <w:szCs w:val="24"/>
        </w:rPr>
        <w:t>4</w:t>
      </w:r>
      <w:r w:rsidRPr="006D5AD0">
        <w:rPr>
          <w:rFonts w:ascii="Times New Roman" w:hAnsi="Times New Roman"/>
          <w:sz w:val="24"/>
          <w:szCs w:val="24"/>
        </w:rPr>
        <w:t>: Differences in levels of RA-related autoantibodies among RA patients differ</w:t>
      </w:r>
      <w:r>
        <w:rPr>
          <w:rFonts w:ascii="Times New Roman" w:hAnsi="Times New Roman"/>
          <w:sz w:val="24"/>
          <w:szCs w:val="24"/>
        </w:rPr>
        <w:t>ing in</w:t>
      </w:r>
      <w:r w:rsidRPr="006D5AD0">
        <w:rPr>
          <w:rFonts w:ascii="Times New Roman" w:hAnsi="Times New Roman"/>
          <w:sz w:val="24"/>
          <w:szCs w:val="24"/>
        </w:rPr>
        <w:t xml:space="preserve"> disease activity level. (a) RA patients in remission had lower RF levels than patients with low or high disease activity levels. (b) There was no significant difference in anti-CCP level among RA patients differ</w:t>
      </w:r>
      <w:r>
        <w:rPr>
          <w:rFonts w:ascii="Times New Roman" w:hAnsi="Times New Roman"/>
          <w:sz w:val="24"/>
          <w:szCs w:val="24"/>
        </w:rPr>
        <w:t>ing in</w:t>
      </w:r>
      <w:r w:rsidRPr="006D5AD0">
        <w:rPr>
          <w:rFonts w:ascii="Times New Roman" w:hAnsi="Times New Roman"/>
          <w:sz w:val="24"/>
          <w:szCs w:val="24"/>
        </w:rPr>
        <w:t xml:space="preserve"> disease activity level. (c) Patients with a high disease activity level had higher anti-MCV levels than patients in remission or with moderate disease activity. *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 0.05, **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&lt;0.01, ***</w:t>
      </w:r>
      <w:r w:rsidRPr="006D5AD0">
        <w:rPr>
          <w:rFonts w:ascii="Times New Roman" w:hAnsi="Times New Roman"/>
          <w:i/>
          <w:sz w:val="24"/>
          <w:szCs w:val="24"/>
        </w:rPr>
        <w:t>P</w:t>
      </w:r>
      <w:r w:rsidRPr="006D5AD0">
        <w:rPr>
          <w:rFonts w:ascii="Times New Roman" w:hAnsi="Times New Roman"/>
          <w:sz w:val="24"/>
          <w:szCs w:val="24"/>
        </w:rPr>
        <w:t xml:space="preserve"> &lt;0.001. Significance values are asymptotic (2-sided tests) and the significance level is </w:t>
      </w:r>
      <w:r w:rsidRPr="006D5AD0">
        <w:rPr>
          <w:rFonts w:ascii="Times New Roman" w:hAnsi="Times New Roman"/>
          <w:i/>
          <w:sz w:val="24"/>
          <w:szCs w:val="24"/>
        </w:rPr>
        <w:t xml:space="preserve">P &lt; </w:t>
      </w:r>
      <w:r w:rsidRPr="006D5AD0">
        <w:rPr>
          <w:rFonts w:ascii="Times New Roman" w:hAnsi="Times New Roman"/>
          <w:sz w:val="24"/>
          <w:szCs w:val="24"/>
        </w:rPr>
        <w:t>0.05. RF: rheumatoid factor, anti-CCP: anti-cyclic citrullinated peptide antibody, anti-MCV: anti-mutated citrullinated vimentin antibody.</w:t>
      </w: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bookmarkStart w:id="0" w:name="_GoBack"/>
      <w:r w:rsidRPr="00F12A8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A21A51E" wp14:editId="47C821BA">
            <wp:extent cx="5276850" cy="35718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t xml:space="preserve">Supplementary Figure </w:t>
      </w:r>
      <w:r w:rsidR="00CB65BF">
        <w:rPr>
          <w:rFonts w:ascii="Times New Roman" w:hAnsi="Times New Roman"/>
          <w:sz w:val="24"/>
          <w:szCs w:val="24"/>
        </w:rPr>
        <w:t>5</w:t>
      </w:r>
      <w:r w:rsidRPr="006D5AD0">
        <w:rPr>
          <w:rFonts w:ascii="Times New Roman" w:hAnsi="Times New Roman"/>
          <w:sz w:val="24"/>
          <w:szCs w:val="24"/>
        </w:rPr>
        <w:t xml:space="preserve">: </w:t>
      </w:r>
      <w:r w:rsidRPr="006D5AD0">
        <w:rPr>
          <w:rFonts w:ascii="Times New Roman" w:hAnsi="Times New Roman"/>
          <w:b/>
          <w:sz w:val="24"/>
          <w:szCs w:val="24"/>
        </w:rPr>
        <w:t xml:space="preserve">Correlation of autoantibodies with </w:t>
      </w:r>
      <w:r w:rsidRPr="006F6853">
        <w:rPr>
          <w:rFonts w:ascii="Times New Roman" w:hAnsi="Times New Roman"/>
          <w:b/>
          <w:sz w:val="24"/>
          <w:szCs w:val="24"/>
        </w:rPr>
        <w:t>markers of disease activity</w:t>
      </w:r>
      <w:r w:rsidRPr="006D5AD0">
        <w:rPr>
          <w:rFonts w:ascii="Times New Roman" w:hAnsi="Times New Roman"/>
          <w:b/>
          <w:sz w:val="24"/>
          <w:szCs w:val="24"/>
        </w:rPr>
        <w:t xml:space="preserve"> and Tregs.</w:t>
      </w:r>
      <w:r w:rsidRPr="006D5AD0">
        <w:rPr>
          <w:rFonts w:ascii="Times New Roman" w:hAnsi="Times New Roman"/>
          <w:sz w:val="24"/>
          <w:szCs w:val="24"/>
        </w:rPr>
        <w:t xml:space="preserve"> (a–c) The level of RF was significantly correlated with DAS28, ESR, and CRP. (d–f) The anti-MCV level was significantly correlated with DAS28 and ESR. (g–i) Only RF was significantly correlated with the absolute count of peripheral Tregs. RF: rheumatoid factor, anti-CCP: anti-cyclic citrullinated peptide antibody, anti-MCV: anti-mutated citrullinated vimentin antibody.</w:t>
      </w:r>
    </w:p>
    <w:p w:rsidR="00EF55C9" w:rsidRPr="006D5AD0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br w:type="page"/>
      </w:r>
      <w:r w:rsidRPr="00F12A8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3C2AE64" wp14:editId="3EA919A8">
            <wp:extent cx="5276850" cy="35147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07A" w:rsidRPr="00EF55C9" w:rsidRDefault="00EF55C9" w:rsidP="00EF55C9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D5AD0">
        <w:rPr>
          <w:rFonts w:ascii="Times New Roman" w:hAnsi="Times New Roman"/>
          <w:sz w:val="24"/>
          <w:szCs w:val="24"/>
        </w:rPr>
        <w:t xml:space="preserve">Supplementary Figure </w:t>
      </w:r>
      <w:r w:rsidR="00CB65BF">
        <w:rPr>
          <w:rFonts w:ascii="Times New Roman" w:hAnsi="Times New Roman"/>
          <w:sz w:val="24"/>
          <w:szCs w:val="24"/>
        </w:rPr>
        <w:t>6</w:t>
      </w:r>
      <w:r w:rsidRPr="006D5AD0">
        <w:rPr>
          <w:rFonts w:ascii="Times New Roman" w:hAnsi="Times New Roman"/>
          <w:sz w:val="24"/>
          <w:szCs w:val="24"/>
        </w:rPr>
        <w:t xml:space="preserve">: </w:t>
      </w:r>
      <w:r w:rsidRPr="006D5AD0">
        <w:rPr>
          <w:rFonts w:ascii="Times New Roman" w:hAnsi="Times New Roman"/>
          <w:b/>
          <w:sz w:val="24"/>
          <w:szCs w:val="24"/>
        </w:rPr>
        <w:t>Effects of low-dose IL-2 treatment on the proportion of peripheral CD4+T subsets in patients with RA</w:t>
      </w:r>
      <w:r w:rsidRPr="006D5AD0">
        <w:rPr>
          <w:rFonts w:ascii="Times New Roman" w:hAnsi="Times New Roman"/>
          <w:sz w:val="24"/>
          <w:szCs w:val="24"/>
        </w:rPr>
        <w:t xml:space="preserve">. (a–d) The proportion of Tregs increased significantly in RA patients following IL-2 treatment compared </w:t>
      </w:r>
      <w:r>
        <w:rPr>
          <w:rFonts w:ascii="Times New Roman" w:hAnsi="Times New Roman"/>
          <w:sz w:val="24"/>
          <w:szCs w:val="24"/>
        </w:rPr>
        <w:t>with</w:t>
      </w:r>
      <w:r w:rsidRPr="006D5AD0">
        <w:rPr>
          <w:rFonts w:ascii="Times New Roman" w:hAnsi="Times New Roman"/>
          <w:sz w:val="24"/>
          <w:szCs w:val="24"/>
        </w:rPr>
        <w:t xml:space="preserve"> baseline values, while those of Th1, Th2, and Th17 cells did not change. *** </w:t>
      </w:r>
      <w:r w:rsidRPr="006D5AD0">
        <w:rPr>
          <w:rFonts w:ascii="Times New Roman" w:hAnsi="Times New Roman"/>
          <w:i/>
          <w:sz w:val="24"/>
          <w:szCs w:val="24"/>
        </w:rPr>
        <w:t xml:space="preserve">P </w:t>
      </w:r>
      <w:r w:rsidRPr="006D5AD0">
        <w:rPr>
          <w:rFonts w:ascii="Times New Roman" w:hAnsi="Times New Roman"/>
          <w:sz w:val="24"/>
          <w:szCs w:val="24"/>
        </w:rPr>
        <w:t xml:space="preserve">&lt; 0.001. Significance values are asymptotic (2-sided tests) and the significance level is </w:t>
      </w:r>
      <w:r w:rsidRPr="006D5AD0">
        <w:rPr>
          <w:rFonts w:ascii="Times New Roman" w:hAnsi="Times New Roman"/>
          <w:i/>
          <w:sz w:val="24"/>
          <w:szCs w:val="24"/>
        </w:rPr>
        <w:t xml:space="preserve">P &lt; </w:t>
      </w:r>
      <w:r>
        <w:rPr>
          <w:rFonts w:ascii="Times New Roman" w:hAnsi="Times New Roman"/>
          <w:sz w:val="24"/>
          <w:szCs w:val="24"/>
        </w:rPr>
        <w:t>0.05.</w:t>
      </w:r>
    </w:p>
    <w:sectPr w:rsidR="00C3407A" w:rsidRPr="00EF55C9" w:rsidSect="007B1B75">
      <w:pgSz w:w="11906" w:h="16838"/>
      <w:pgMar w:top="1440" w:right="1800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641" w:rsidRDefault="00C15641" w:rsidP="001B4630">
      <w:r>
        <w:separator/>
      </w:r>
    </w:p>
  </w:endnote>
  <w:endnote w:type="continuationSeparator" w:id="0">
    <w:p w:rsidR="00C15641" w:rsidRDefault="00C15641" w:rsidP="001B4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641" w:rsidRDefault="00C15641" w:rsidP="001B4630">
      <w:r>
        <w:separator/>
      </w:r>
    </w:p>
  </w:footnote>
  <w:footnote w:type="continuationSeparator" w:id="0">
    <w:p w:rsidR="00C15641" w:rsidRDefault="00C15641" w:rsidP="001B4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522"/>
    <w:rsid w:val="00034686"/>
    <w:rsid w:val="0003496F"/>
    <w:rsid w:val="00113D9D"/>
    <w:rsid w:val="001140A7"/>
    <w:rsid w:val="001B1FF6"/>
    <w:rsid w:val="001B4630"/>
    <w:rsid w:val="001C1C2F"/>
    <w:rsid w:val="001F2050"/>
    <w:rsid w:val="00220D03"/>
    <w:rsid w:val="00337EA9"/>
    <w:rsid w:val="00376522"/>
    <w:rsid w:val="00435DF8"/>
    <w:rsid w:val="005764E2"/>
    <w:rsid w:val="00642344"/>
    <w:rsid w:val="00673852"/>
    <w:rsid w:val="00684072"/>
    <w:rsid w:val="00684770"/>
    <w:rsid w:val="00726EB5"/>
    <w:rsid w:val="00750426"/>
    <w:rsid w:val="007B1B75"/>
    <w:rsid w:val="00896C7A"/>
    <w:rsid w:val="00AB23EE"/>
    <w:rsid w:val="00B87BBA"/>
    <w:rsid w:val="00C15641"/>
    <w:rsid w:val="00C3407A"/>
    <w:rsid w:val="00CB00F6"/>
    <w:rsid w:val="00CB65BF"/>
    <w:rsid w:val="00EA0C20"/>
    <w:rsid w:val="00E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A407A"/>
  <w15:chartTrackingRefBased/>
  <w15:docId w15:val="{DBF6CDDC-0207-4724-8AD8-1BF17B2D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55C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4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46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46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80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2019-11-10T14:45:00Z</dcterms:created>
  <dcterms:modified xsi:type="dcterms:W3CDTF">2020-05-13T09:13:00Z</dcterms:modified>
</cp:coreProperties>
</file>