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65958" w14:textId="48011BF6" w:rsidR="00706949" w:rsidRPr="00706949" w:rsidRDefault="00706949" w:rsidP="008753E6">
      <w:pPr>
        <w:spacing w:after="0" w:line="360" w:lineRule="auto"/>
        <w:jc w:val="center"/>
        <w:rPr>
          <w:rStyle w:val="ng-star-inserted"/>
          <w:rFonts w:ascii="Arial" w:hAnsi="Arial" w:cs="Arial"/>
          <w:color w:val="1A1C1E"/>
          <w:sz w:val="24"/>
          <w:szCs w:val="24"/>
          <w:shd w:val="clear" w:color="auto" w:fill="FFFFFF"/>
        </w:rPr>
      </w:pPr>
      <w:r w:rsidRPr="00706949">
        <w:rPr>
          <w:rStyle w:val="ng-star-inserted"/>
          <w:rFonts w:ascii="Arial" w:hAnsi="Arial" w:cs="Arial"/>
          <w:color w:val="1A1C1E"/>
          <w:sz w:val="24"/>
          <w:szCs w:val="24"/>
          <w:shd w:val="clear" w:color="auto" w:fill="FFFFFF"/>
        </w:rPr>
        <w:t>Supplemental data</w:t>
      </w:r>
    </w:p>
    <w:p w14:paraId="3EA5B03A" w14:textId="77777777" w:rsidR="006C5C06" w:rsidRPr="00D95AD1" w:rsidRDefault="006C5C06" w:rsidP="006C5C06">
      <w:pPr>
        <w:spacing w:before="40" w:after="60" w:line="240" w:lineRule="auto"/>
        <w:jc w:val="both"/>
        <w:rPr>
          <w:rFonts w:ascii="Times New Roman" w:eastAsia="Times New Roman" w:hAnsi="Times New Roman" w:cs="Times New Roman"/>
          <w:b/>
          <w:bCs/>
          <w:color w:val="000000"/>
          <w:sz w:val="32"/>
          <w:szCs w:val="32"/>
          <w:lang w:val="en-GB" w:eastAsia="fr-FR"/>
        </w:rPr>
      </w:pPr>
      <w:r w:rsidRPr="00D95AD1">
        <w:rPr>
          <w:rFonts w:ascii="Arial" w:eastAsia="Times New Roman" w:hAnsi="Arial" w:cs="Arial"/>
          <w:b/>
          <w:bCs/>
          <w:color w:val="000000"/>
          <w:sz w:val="24"/>
          <w:szCs w:val="24"/>
          <w:lang w:val="en-GB" w:eastAsia="fr-FR"/>
        </w:rPr>
        <w:t xml:space="preserve">Human Serum Albumin Profiling by </w:t>
      </w:r>
      <w:r w:rsidRPr="00E80BA9">
        <w:rPr>
          <w:rFonts w:ascii="Arial" w:eastAsia="Times New Roman" w:hAnsi="Arial" w:cs="Arial"/>
          <w:b/>
          <w:bCs/>
          <w:color w:val="000000"/>
          <w:sz w:val="24"/>
          <w:szCs w:val="24"/>
          <w:lang w:val="en-GB" w:eastAsia="fr-FR"/>
        </w:rPr>
        <w:t>Top-down Analysis</w:t>
      </w:r>
      <w:r w:rsidRPr="00D95AD1">
        <w:rPr>
          <w:rFonts w:ascii="Arial" w:eastAsia="Times New Roman" w:hAnsi="Arial" w:cs="Arial"/>
          <w:b/>
          <w:bCs/>
          <w:color w:val="000000"/>
          <w:sz w:val="24"/>
          <w:szCs w:val="24"/>
          <w:lang w:val="en-GB" w:eastAsia="fr-FR"/>
        </w:rPr>
        <w:t xml:space="preserve"> Enables Multi-Class Liver Fibrosis Staging: A Cross-Platform Validation Study</w:t>
      </w:r>
    </w:p>
    <w:p w14:paraId="75667DFA" w14:textId="77777777" w:rsidR="006C5C06" w:rsidRPr="00E80BA9" w:rsidRDefault="006C5C06" w:rsidP="006C5C06">
      <w:pPr>
        <w:spacing w:after="0" w:line="360" w:lineRule="auto"/>
        <w:rPr>
          <w:rStyle w:val="ng-star-inserted"/>
          <w:rFonts w:ascii="Arial" w:hAnsi="Arial" w:cs="Arial"/>
          <w:b/>
          <w:bCs/>
          <w:color w:val="1A1C1E"/>
          <w:shd w:val="clear" w:color="auto" w:fill="FFFFFF"/>
          <w:lang w:val="en-GB"/>
        </w:rPr>
      </w:pPr>
    </w:p>
    <w:p w14:paraId="77FBE903" w14:textId="77777777" w:rsidR="006C5C06" w:rsidRPr="00E80BA9" w:rsidRDefault="006C5C06" w:rsidP="006C5C06">
      <w:pPr>
        <w:spacing w:after="0" w:line="360" w:lineRule="auto"/>
        <w:rPr>
          <w:rFonts w:ascii="Arial" w:hAnsi="Arial" w:cs="Arial"/>
          <w:lang w:val="en-GB"/>
        </w:rPr>
      </w:pPr>
      <w:r w:rsidRPr="00E80BA9">
        <w:rPr>
          <w:rFonts w:ascii="Arial" w:hAnsi="Arial" w:cs="Arial"/>
          <w:lang w:val="en-GB"/>
        </w:rPr>
        <w:t>Souleiman El Balkhi</w:t>
      </w:r>
      <w:r w:rsidRPr="00E80BA9">
        <w:rPr>
          <w:rFonts w:ascii="Arial" w:hAnsi="Arial" w:cs="Arial"/>
          <w:vertAlign w:val="superscript"/>
          <w:lang w:val="en-GB"/>
        </w:rPr>
        <w:t>1,2</w:t>
      </w:r>
      <w:r w:rsidRPr="00E80BA9">
        <w:rPr>
          <w:rFonts w:ascii="Arial" w:hAnsi="Arial" w:cs="Arial"/>
          <w:lang w:val="en-GB"/>
        </w:rPr>
        <w:t xml:space="preserve">, </w:t>
      </w:r>
      <w:proofErr w:type="spellStart"/>
      <w:r w:rsidRPr="00E80BA9">
        <w:rPr>
          <w:rFonts w:ascii="Arial" w:hAnsi="Arial" w:cs="Arial"/>
          <w:lang w:val="en-GB"/>
        </w:rPr>
        <w:t>Racym</w:t>
      </w:r>
      <w:proofErr w:type="spellEnd"/>
      <w:r w:rsidRPr="00E80BA9">
        <w:rPr>
          <w:rFonts w:ascii="Arial" w:hAnsi="Arial" w:cs="Arial"/>
          <w:lang w:val="en-GB"/>
        </w:rPr>
        <w:t xml:space="preserve"> Berrah</w:t>
      </w:r>
      <w:r w:rsidRPr="00E80BA9">
        <w:rPr>
          <w:rFonts w:ascii="Arial" w:hAnsi="Arial" w:cs="Arial"/>
          <w:vertAlign w:val="superscript"/>
          <w:lang w:val="en-GB"/>
        </w:rPr>
        <w:t>1</w:t>
      </w:r>
      <w:r w:rsidRPr="00E80BA9">
        <w:rPr>
          <w:rFonts w:ascii="Arial" w:hAnsi="Arial" w:cs="Arial"/>
          <w:lang w:val="en-GB"/>
        </w:rPr>
        <w:t>, Léa Le Du</w:t>
      </w:r>
      <w:r w:rsidRPr="00E80BA9">
        <w:rPr>
          <w:rFonts w:ascii="Arial" w:hAnsi="Arial" w:cs="Arial"/>
          <w:vertAlign w:val="superscript"/>
          <w:lang w:val="en-GB"/>
        </w:rPr>
        <w:t>3</w:t>
      </w:r>
      <w:r w:rsidRPr="00E80BA9">
        <w:rPr>
          <w:rFonts w:ascii="Arial" w:hAnsi="Arial" w:cs="Arial"/>
          <w:lang w:val="en-GB"/>
        </w:rPr>
        <w:t>, Mohamad Ali Rahali</w:t>
      </w:r>
      <w:r w:rsidRPr="00E80BA9">
        <w:rPr>
          <w:rFonts w:ascii="Arial" w:hAnsi="Arial" w:cs="Arial"/>
          <w:vertAlign w:val="superscript"/>
          <w:lang w:val="en-GB"/>
        </w:rPr>
        <w:t>1,2</w:t>
      </w:r>
      <w:r w:rsidRPr="00E80BA9">
        <w:rPr>
          <w:rFonts w:ascii="Arial" w:hAnsi="Arial" w:cs="Arial"/>
          <w:lang w:val="en-GB"/>
        </w:rPr>
        <w:t>, Roy Lakis</w:t>
      </w:r>
      <w:r w:rsidRPr="00E80BA9">
        <w:rPr>
          <w:rFonts w:ascii="Arial" w:hAnsi="Arial" w:cs="Arial"/>
          <w:vertAlign w:val="superscript"/>
          <w:lang w:val="en-GB"/>
        </w:rPr>
        <w:t>1</w:t>
      </w:r>
      <w:r w:rsidRPr="00E80BA9">
        <w:rPr>
          <w:rFonts w:ascii="Arial" w:hAnsi="Arial" w:cs="Arial"/>
          <w:lang w:val="en-GB"/>
        </w:rPr>
        <w:t>, François Ludovic Sauvage</w:t>
      </w:r>
      <w:r w:rsidRPr="00E80BA9">
        <w:rPr>
          <w:rFonts w:ascii="Arial" w:hAnsi="Arial" w:cs="Arial"/>
          <w:vertAlign w:val="superscript"/>
          <w:lang w:val="en-GB"/>
        </w:rPr>
        <w:t>1</w:t>
      </w:r>
      <w:r w:rsidRPr="00E80BA9">
        <w:rPr>
          <w:rFonts w:ascii="Arial" w:hAnsi="Arial" w:cs="Arial"/>
          <w:lang w:val="en-GB"/>
        </w:rPr>
        <w:t>, Pierre Marquet</w:t>
      </w:r>
      <w:r w:rsidRPr="00E80BA9">
        <w:rPr>
          <w:rFonts w:ascii="Arial" w:hAnsi="Arial" w:cs="Arial"/>
          <w:vertAlign w:val="superscript"/>
          <w:lang w:val="en-GB"/>
        </w:rPr>
        <w:t>1,2</w:t>
      </w:r>
      <w:r w:rsidRPr="00E80BA9">
        <w:rPr>
          <w:rFonts w:ascii="Arial" w:hAnsi="Arial" w:cs="Arial"/>
          <w:lang w:val="en-GB"/>
        </w:rPr>
        <w:t>, Franck Saint-Marcoux</w:t>
      </w:r>
      <w:r w:rsidRPr="00E80BA9">
        <w:rPr>
          <w:rFonts w:ascii="Arial" w:hAnsi="Arial" w:cs="Arial"/>
          <w:vertAlign w:val="superscript"/>
          <w:lang w:val="en-GB"/>
        </w:rPr>
        <w:t>1,2</w:t>
      </w:r>
      <w:r w:rsidRPr="00E80BA9">
        <w:rPr>
          <w:rFonts w:ascii="Arial" w:hAnsi="Arial" w:cs="Arial"/>
          <w:lang w:val="en-GB"/>
        </w:rPr>
        <w:t>, Véronique Loustaud-Ratti</w:t>
      </w:r>
      <w:r w:rsidRPr="00E80BA9">
        <w:rPr>
          <w:rFonts w:ascii="Arial" w:hAnsi="Arial" w:cs="Arial"/>
          <w:vertAlign w:val="superscript"/>
          <w:lang w:val="en-GB"/>
        </w:rPr>
        <w:t>1,3</w:t>
      </w:r>
      <w:r w:rsidRPr="00E80BA9">
        <w:rPr>
          <w:rFonts w:ascii="Arial" w:hAnsi="Arial" w:cs="Arial"/>
          <w:lang w:val="en-GB"/>
        </w:rPr>
        <w:t>, Paul Carrier</w:t>
      </w:r>
      <w:r w:rsidRPr="00E80BA9">
        <w:rPr>
          <w:rFonts w:ascii="Arial" w:hAnsi="Arial" w:cs="Arial"/>
          <w:vertAlign w:val="superscript"/>
          <w:lang w:val="en-GB"/>
        </w:rPr>
        <w:t>1,3</w:t>
      </w:r>
    </w:p>
    <w:p w14:paraId="16270869" w14:textId="77777777" w:rsidR="006C5C06" w:rsidRPr="00E80BA9" w:rsidRDefault="006C5C06" w:rsidP="006C5C06">
      <w:pPr>
        <w:widowControl w:val="0"/>
        <w:autoSpaceDE w:val="0"/>
        <w:autoSpaceDN w:val="0"/>
        <w:adjustRightInd w:val="0"/>
        <w:spacing w:after="0" w:line="240" w:lineRule="auto"/>
        <w:rPr>
          <w:rFonts w:ascii="Arial" w:hAnsi="Arial" w:cs="Arial"/>
          <w:i/>
          <w:iCs/>
          <w:lang w:val="en-GB"/>
        </w:rPr>
      </w:pPr>
      <w:r w:rsidRPr="00E80BA9">
        <w:rPr>
          <w:rFonts w:ascii="Arial" w:hAnsi="Arial" w:cs="Arial"/>
          <w:i/>
          <w:iCs/>
          <w:vertAlign w:val="superscript"/>
          <w:lang w:val="en-GB"/>
        </w:rPr>
        <w:t xml:space="preserve">1 </w:t>
      </w:r>
      <w:r w:rsidRPr="00E80BA9">
        <w:rPr>
          <w:rFonts w:ascii="Arial" w:hAnsi="Arial" w:cs="Arial"/>
          <w:i/>
          <w:iCs/>
          <w:lang w:val="en-GB"/>
        </w:rPr>
        <w:t xml:space="preserve">P&amp;T, UMR1248, Inserm, Univ. Limoges, France. </w:t>
      </w:r>
    </w:p>
    <w:p w14:paraId="727A6268" w14:textId="77777777" w:rsidR="006C5C06" w:rsidRPr="00E80BA9" w:rsidRDefault="006C5C06" w:rsidP="006C5C06">
      <w:pPr>
        <w:widowControl w:val="0"/>
        <w:autoSpaceDE w:val="0"/>
        <w:autoSpaceDN w:val="0"/>
        <w:adjustRightInd w:val="0"/>
        <w:spacing w:after="0" w:line="240" w:lineRule="auto"/>
        <w:rPr>
          <w:rFonts w:ascii="Arial" w:hAnsi="Arial" w:cs="Arial"/>
          <w:i/>
          <w:iCs/>
          <w:lang w:val="en-GB"/>
        </w:rPr>
      </w:pPr>
      <w:r w:rsidRPr="00E80BA9">
        <w:rPr>
          <w:rFonts w:ascii="Arial" w:hAnsi="Arial" w:cs="Arial"/>
          <w:i/>
          <w:iCs/>
          <w:vertAlign w:val="superscript"/>
          <w:lang w:val="en-GB"/>
        </w:rPr>
        <w:t xml:space="preserve">2 </w:t>
      </w:r>
      <w:r w:rsidRPr="00E80BA9">
        <w:rPr>
          <w:rFonts w:ascii="Arial" w:hAnsi="Arial" w:cs="Arial"/>
          <w:i/>
          <w:iCs/>
          <w:lang w:val="en-GB"/>
        </w:rPr>
        <w:t>Department of pharmacology, toxicology and pharmacovigilance,</w:t>
      </w:r>
      <w:r w:rsidRPr="00E80BA9">
        <w:rPr>
          <w:rFonts w:ascii="Arial" w:hAnsi="Arial" w:cs="Arial"/>
          <w:i/>
          <w:iCs/>
          <w:vertAlign w:val="superscript"/>
          <w:lang w:val="en-GB"/>
        </w:rPr>
        <w:t xml:space="preserve"> </w:t>
      </w:r>
      <w:r w:rsidRPr="00E80BA9">
        <w:rPr>
          <w:rFonts w:ascii="Arial" w:hAnsi="Arial" w:cs="Arial"/>
          <w:i/>
          <w:iCs/>
          <w:lang w:val="en-GB"/>
        </w:rPr>
        <w:t>CHU Limoges, France.</w:t>
      </w:r>
    </w:p>
    <w:p w14:paraId="5C1E2DCF" w14:textId="77777777" w:rsidR="006C5C06" w:rsidRPr="00E80BA9" w:rsidRDefault="006C5C06" w:rsidP="006C5C06">
      <w:pPr>
        <w:widowControl w:val="0"/>
        <w:autoSpaceDE w:val="0"/>
        <w:autoSpaceDN w:val="0"/>
        <w:adjustRightInd w:val="0"/>
        <w:spacing w:after="0" w:line="240" w:lineRule="auto"/>
        <w:rPr>
          <w:rFonts w:ascii="Arial" w:hAnsi="Arial" w:cs="Arial"/>
          <w:i/>
          <w:iCs/>
          <w:lang w:val="en-GB"/>
        </w:rPr>
      </w:pPr>
      <w:r w:rsidRPr="00E80BA9">
        <w:rPr>
          <w:rFonts w:ascii="Arial" w:hAnsi="Arial" w:cs="Arial"/>
          <w:i/>
          <w:iCs/>
          <w:vertAlign w:val="superscript"/>
          <w:lang w:val="en-GB"/>
        </w:rPr>
        <w:t xml:space="preserve">3 </w:t>
      </w:r>
      <w:r w:rsidRPr="00E80BA9">
        <w:rPr>
          <w:rFonts w:ascii="Arial" w:hAnsi="Arial" w:cs="Arial"/>
          <w:i/>
          <w:iCs/>
          <w:lang w:val="en-GB"/>
        </w:rPr>
        <w:t>Department of Liver Disease, CHU Limoges, Limoges, France</w:t>
      </w:r>
    </w:p>
    <w:p w14:paraId="0593143E" w14:textId="77777777" w:rsidR="00706949" w:rsidRPr="00C30EDA" w:rsidRDefault="00706949" w:rsidP="00706949">
      <w:pPr>
        <w:autoSpaceDE w:val="0"/>
        <w:autoSpaceDN w:val="0"/>
        <w:adjustRightInd w:val="0"/>
        <w:spacing w:after="0" w:line="240" w:lineRule="auto"/>
        <w:jc w:val="both"/>
        <w:rPr>
          <w:rFonts w:ascii="Arial" w:hAnsi="Arial" w:cs="Arial"/>
          <w:b/>
          <w:sz w:val="24"/>
          <w:szCs w:val="24"/>
        </w:rPr>
      </w:pPr>
    </w:p>
    <w:p w14:paraId="767C472B" w14:textId="77777777" w:rsidR="00706949" w:rsidRPr="00C30EDA" w:rsidRDefault="00706949" w:rsidP="00706949">
      <w:pPr>
        <w:autoSpaceDE w:val="0"/>
        <w:autoSpaceDN w:val="0"/>
        <w:adjustRightInd w:val="0"/>
        <w:spacing w:after="0" w:line="240" w:lineRule="auto"/>
        <w:jc w:val="both"/>
        <w:rPr>
          <w:rFonts w:ascii="Arial" w:hAnsi="Arial" w:cs="Arial"/>
          <w:b/>
          <w:sz w:val="24"/>
          <w:szCs w:val="24"/>
        </w:rPr>
      </w:pPr>
    </w:p>
    <w:p w14:paraId="18C322C0" w14:textId="77777777" w:rsidR="00706949" w:rsidRPr="006C5C06" w:rsidRDefault="00706949" w:rsidP="00706949">
      <w:pPr>
        <w:spacing w:after="0" w:line="240" w:lineRule="auto"/>
        <w:rPr>
          <w:rFonts w:ascii="Arial" w:hAnsi="Arial" w:cs="Arial"/>
          <w:bCs/>
          <w:lang w:val="fr-FR"/>
        </w:rPr>
      </w:pPr>
      <w:proofErr w:type="spellStart"/>
      <w:r w:rsidRPr="006C5C06">
        <w:rPr>
          <w:rFonts w:ascii="Arial" w:hAnsi="Arial" w:cs="Arial"/>
          <w:bCs/>
          <w:lang w:val="fr-FR"/>
        </w:rPr>
        <w:t>Address</w:t>
      </w:r>
      <w:proofErr w:type="spellEnd"/>
      <w:r w:rsidRPr="006C5C06">
        <w:rPr>
          <w:rFonts w:ascii="Arial" w:hAnsi="Arial" w:cs="Arial"/>
          <w:bCs/>
          <w:lang w:val="fr-FR"/>
        </w:rPr>
        <w:t xml:space="preserve"> for </w:t>
      </w:r>
      <w:proofErr w:type="spellStart"/>
      <w:proofErr w:type="gramStart"/>
      <w:r w:rsidRPr="006C5C06">
        <w:rPr>
          <w:rFonts w:ascii="Arial" w:hAnsi="Arial" w:cs="Arial"/>
          <w:bCs/>
          <w:lang w:val="fr-FR"/>
        </w:rPr>
        <w:t>correspondence</w:t>
      </w:r>
      <w:proofErr w:type="spellEnd"/>
      <w:r w:rsidRPr="006C5C06">
        <w:rPr>
          <w:rFonts w:ascii="Arial" w:hAnsi="Arial" w:cs="Arial"/>
          <w:bCs/>
          <w:lang w:val="fr-FR"/>
        </w:rPr>
        <w:t>:</w:t>
      </w:r>
      <w:proofErr w:type="gramEnd"/>
      <w:r w:rsidRPr="006C5C06">
        <w:rPr>
          <w:rFonts w:ascii="Arial" w:hAnsi="Arial" w:cs="Arial"/>
          <w:bCs/>
          <w:lang w:val="fr-FR"/>
        </w:rPr>
        <w:t xml:space="preserve"> Souleiman El </w:t>
      </w:r>
      <w:proofErr w:type="spellStart"/>
      <w:r w:rsidRPr="006C5C06">
        <w:rPr>
          <w:rFonts w:ascii="Arial" w:hAnsi="Arial" w:cs="Arial"/>
          <w:bCs/>
          <w:lang w:val="fr-FR"/>
        </w:rPr>
        <w:t>Balkhi</w:t>
      </w:r>
      <w:proofErr w:type="spellEnd"/>
      <w:r w:rsidRPr="006C5C06">
        <w:rPr>
          <w:rFonts w:ascii="Arial" w:hAnsi="Arial" w:cs="Arial"/>
          <w:bCs/>
          <w:lang w:val="fr-FR"/>
        </w:rPr>
        <w:t xml:space="preserve">, </w:t>
      </w:r>
      <w:proofErr w:type="spellStart"/>
      <w:r w:rsidRPr="006C5C06">
        <w:rPr>
          <w:rFonts w:ascii="Arial" w:hAnsi="Arial" w:cs="Arial"/>
          <w:bCs/>
          <w:lang w:val="fr-FR"/>
        </w:rPr>
        <w:t>Pharmacology-Toxicology</w:t>
      </w:r>
      <w:proofErr w:type="spellEnd"/>
      <w:r w:rsidRPr="006C5C06">
        <w:rPr>
          <w:rFonts w:ascii="Arial" w:hAnsi="Arial" w:cs="Arial"/>
          <w:bCs/>
          <w:lang w:val="fr-FR"/>
        </w:rPr>
        <w:t xml:space="preserve"> and Pharmacovigilance </w:t>
      </w:r>
      <w:proofErr w:type="spellStart"/>
      <w:r w:rsidRPr="006C5C06">
        <w:rPr>
          <w:rFonts w:ascii="Arial" w:hAnsi="Arial" w:cs="Arial"/>
          <w:bCs/>
          <w:lang w:val="fr-FR"/>
        </w:rPr>
        <w:t>Department</w:t>
      </w:r>
      <w:proofErr w:type="spellEnd"/>
      <w:r w:rsidRPr="006C5C06">
        <w:rPr>
          <w:rFonts w:ascii="Arial" w:hAnsi="Arial" w:cs="Arial"/>
          <w:bCs/>
          <w:lang w:val="fr-FR"/>
        </w:rPr>
        <w:t xml:space="preserve">, Centre de Biologie et de Recherche en Santé (CBRS), 2, av. Martin Luther King, 87042 Limoges Cedex, France.  </w:t>
      </w:r>
      <w:proofErr w:type="gramStart"/>
      <w:r w:rsidRPr="006C5C06">
        <w:rPr>
          <w:rFonts w:ascii="Arial" w:hAnsi="Arial" w:cs="Arial"/>
          <w:bCs/>
          <w:lang w:val="fr-FR"/>
        </w:rPr>
        <w:t>Phone:</w:t>
      </w:r>
      <w:proofErr w:type="gramEnd"/>
      <w:r w:rsidRPr="006C5C06">
        <w:rPr>
          <w:rFonts w:ascii="Arial" w:hAnsi="Arial" w:cs="Arial"/>
          <w:bCs/>
          <w:lang w:val="fr-FR"/>
        </w:rPr>
        <w:t xml:space="preserve"> +33555056140. </w:t>
      </w:r>
    </w:p>
    <w:p w14:paraId="1118E968" w14:textId="10555FD8" w:rsidR="00706949" w:rsidRPr="006C5C06" w:rsidRDefault="00706949" w:rsidP="00706949">
      <w:pPr>
        <w:spacing w:after="0" w:line="240" w:lineRule="auto"/>
        <w:rPr>
          <w:rFonts w:ascii="Arial" w:hAnsi="Arial" w:cs="Arial"/>
          <w:bCs/>
          <w:lang w:val="fr-FR"/>
        </w:rPr>
      </w:pPr>
      <w:proofErr w:type="gramStart"/>
      <w:r w:rsidRPr="006C5C06">
        <w:rPr>
          <w:rFonts w:ascii="Arial" w:hAnsi="Arial" w:cs="Arial"/>
          <w:bCs/>
          <w:lang w:val="fr-FR"/>
        </w:rPr>
        <w:t>E-mail:</w:t>
      </w:r>
      <w:proofErr w:type="gramEnd"/>
      <w:r w:rsidRPr="006C5C06">
        <w:rPr>
          <w:rFonts w:ascii="Arial" w:hAnsi="Arial" w:cs="Arial"/>
          <w:bCs/>
          <w:lang w:val="fr-FR"/>
        </w:rPr>
        <w:t xml:space="preserve"> </w:t>
      </w:r>
      <w:hyperlink r:id="rId4" w:history="1">
        <w:r w:rsidRPr="006C5C06">
          <w:rPr>
            <w:rStyle w:val="Lienhypertexte"/>
            <w:rFonts w:ascii="Arial" w:hAnsi="Arial" w:cs="Arial"/>
            <w:bCs/>
            <w:lang w:val="fr-FR"/>
          </w:rPr>
          <w:t>souleiman.elbalkhi@chu-limoges.fr</w:t>
        </w:r>
      </w:hyperlink>
    </w:p>
    <w:p w14:paraId="3E560F6C" w14:textId="77777777" w:rsidR="00DC7D8B" w:rsidRDefault="00DC7D8B"/>
    <w:p w14:paraId="70D5F2CB" w14:textId="5AD03FD8" w:rsidR="00706949" w:rsidRDefault="00706949">
      <w:pPr>
        <w:spacing w:after="0" w:line="240" w:lineRule="auto"/>
      </w:pPr>
      <w:r>
        <w:br w:type="page"/>
      </w:r>
    </w:p>
    <w:p w14:paraId="74D2BD7E" w14:textId="77777777" w:rsidR="00965447" w:rsidRPr="00184F81" w:rsidRDefault="00965447" w:rsidP="00965447">
      <w:pPr>
        <w:shd w:val="clear" w:color="auto" w:fill="FFFFFF"/>
        <w:spacing w:after="0" w:line="360" w:lineRule="auto"/>
        <w:jc w:val="both"/>
        <w:rPr>
          <w:rFonts w:ascii="Arial" w:eastAsia="Times New Roman" w:hAnsi="Arial" w:cs="Arial"/>
          <w:color w:val="1A1C1E"/>
          <w:lang w:eastAsia="fr-FR"/>
        </w:rPr>
      </w:pPr>
      <w:r w:rsidRPr="00184F81">
        <w:rPr>
          <w:rFonts w:ascii="Arial" w:eastAsia="Times New Roman" w:hAnsi="Arial" w:cs="Arial"/>
          <w:color w:val="1A1C1E"/>
          <w:lang w:eastAsia="fr-FR"/>
        </w:rPr>
        <w:lastRenderedPageBreak/>
        <w:t xml:space="preserve">Between January 2021 and January 2023, 172 patients diagnosed with chronic liver disease (CLD) at various stages and 82 control subjects met the initial eligibility criteria. </w:t>
      </w:r>
    </w:p>
    <w:p w14:paraId="53BC831B" w14:textId="594ED463" w:rsidR="00965447" w:rsidRPr="00184F81" w:rsidRDefault="00965447" w:rsidP="00965447">
      <w:pPr>
        <w:shd w:val="clear" w:color="auto" w:fill="FFFFFF"/>
        <w:spacing w:after="0" w:line="360" w:lineRule="auto"/>
        <w:jc w:val="both"/>
        <w:rPr>
          <w:rFonts w:ascii="Arial" w:eastAsia="Times New Roman" w:hAnsi="Arial" w:cs="Arial"/>
          <w:color w:val="1A1C1E"/>
          <w:lang w:eastAsia="fr-FR"/>
        </w:rPr>
      </w:pPr>
      <w:r w:rsidRPr="00184F81">
        <w:rPr>
          <w:rFonts w:ascii="Arial" w:eastAsia="Times New Roman" w:hAnsi="Arial" w:cs="Arial"/>
          <w:color w:val="1A1C1E"/>
          <w:lang w:eastAsia="fr-FR"/>
        </w:rPr>
        <w:t>The patient group consisted predominantly of males (116/172, 67.4%), with a median age at inclusion of 61 years.</w:t>
      </w:r>
    </w:p>
    <w:p w14:paraId="01FE983A" w14:textId="77777777" w:rsidR="00965447" w:rsidRPr="00184F81" w:rsidRDefault="00965447" w:rsidP="00965447">
      <w:pPr>
        <w:shd w:val="clear" w:color="auto" w:fill="FFFFFF"/>
        <w:spacing w:after="0" w:line="360" w:lineRule="auto"/>
        <w:jc w:val="both"/>
        <w:rPr>
          <w:rFonts w:ascii="Arial" w:eastAsia="Times New Roman" w:hAnsi="Arial" w:cs="Arial"/>
          <w:color w:val="1A1C1E"/>
          <w:lang w:eastAsia="fr-FR"/>
        </w:rPr>
      </w:pPr>
      <w:r w:rsidRPr="00184F81">
        <w:rPr>
          <w:rFonts w:ascii="Arial" w:eastAsia="Times New Roman" w:hAnsi="Arial" w:cs="Arial"/>
          <w:color w:val="1A1C1E"/>
          <w:lang w:eastAsia="fr-FR"/>
        </w:rPr>
        <w:t>The distribution across fibrosis stages was as follows: 36 (20.9%) patients were classified as F0/F1, 23 (13%) as F2, 30 (17%) as F3, and 83 (48%) as F4 (cirrhosis). Most fibrosis staging assessments relied on transient elastography.</w:t>
      </w:r>
    </w:p>
    <w:p w14:paraId="1F228E63" w14:textId="421FCED7" w:rsidR="00965447" w:rsidRPr="00184F81" w:rsidRDefault="00965447" w:rsidP="00965447">
      <w:pPr>
        <w:shd w:val="clear" w:color="auto" w:fill="FFFFFF"/>
        <w:spacing w:after="0" w:line="360" w:lineRule="auto"/>
        <w:jc w:val="both"/>
        <w:rPr>
          <w:rFonts w:ascii="Arial" w:eastAsia="Times New Roman" w:hAnsi="Arial" w:cs="Arial"/>
          <w:color w:val="1A1C1E"/>
          <w:lang w:eastAsia="fr-FR"/>
        </w:rPr>
      </w:pPr>
      <w:r w:rsidRPr="00184F81">
        <w:rPr>
          <w:rFonts w:ascii="Arial" w:eastAsia="Times New Roman" w:hAnsi="Arial" w:cs="Arial"/>
          <w:color w:val="1A1C1E"/>
          <w:lang w:eastAsia="fr-FR"/>
        </w:rPr>
        <w:t>Among the 83 patients with cirrhosis (F4), disease severity was assessed using the Child-Pugh classification. Thirty-seven patients (44.6% of F4; 21.5% of total cohort) were classified as Child-Pugh Class A, 26 (31.3% of F4; 15.1% of total) as Class B, and 20 (24.1% of F4; 11.6% of total) as Class C. The average MELD score progressively increased with Child-Pugh class, reflecting increasing disease severity.</w:t>
      </w:r>
    </w:p>
    <w:p w14:paraId="0BBD30FB" w14:textId="77777777" w:rsidR="00965447" w:rsidRPr="00184F81" w:rsidRDefault="00965447" w:rsidP="00965447">
      <w:pPr>
        <w:shd w:val="clear" w:color="auto" w:fill="FFFFFF"/>
        <w:spacing w:after="0" w:line="360" w:lineRule="auto"/>
        <w:jc w:val="both"/>
        <w:rPr>
          <w:rFonts w:ascii="Arial" w:eastAsia="Times New Roman" w:hAnsi="Arial" w:cs="Arial"/>
          <w:color w:val="1A1C1E"/>
          <w:lang w:eastAsia="fr-FR"/>
        </w:rPr>
      </w:pPr>
      <w:r w:rsidRPr="00184F81">
        <w:rPr>
          <w:rFonts w:ascii="Arial" w:eastAsia="Times New Roman" w:hAnsi="Arial" w:cs="Arial"/>
          <w:color w:val="1A1C1E"/>
          <w:lang w:eastAsia="fr-FR"/>
        </w:rPr>
        <w:t>The primary etiologies of CLD in this cohort were nonalcoholic steatohepatitis (NASH; 62 patients, 36.0%) and alcohol-related liver disease (ALD; 40 patients, 23.3%). A combination of ALD and NASH was identified in 11 patients (6.4%). Other etiologies included viral hepatitis B (HBV; 15 patients, 8.7%), viral hepatitis C (HCV; 11 patients, 6.4%), autoimmune hepatitis (AIH; 11 patients, 6.4%), and less common causes such as hemochromatosis, primary biliary cholangitis (PBC), primary sclerosing cholangitis (PSC), cardiac hepatopathy, and cryptogenic cirrhosis. The detailed etiological breakdown is shown in Table 1.</w:t>
      </w:r>
    </w:p>
    <w:p w14:paraId="5B3AAB84" w14:textId="0F903B4A" w:rsidR="00965447" w:rsidRPr="00184F81" w:rsidRDefault="00965447" w:rsidP="00965447">
      <w:pPr>
        <w:spacing w:after="0" w:line="360" w:lineRule="auto"/>
        <w:jc w:val="both"/>
        <w:rPr>
          <w:rFonts w:ascii="Arial" w:eastAsia="Times New Roman" w:hAnsi="Arial" w:cs="Arial"/>
          <w:color w:val="1A1C1E"/>
          <w:lang w:eastAsia="fr-FR"/>
        </w:rPr>
      </w:pPr>
      <w:r w:rsidRPr="00184F81">
        <w:rPr>
          <w:rFonts w:ascii="Arial" w:eastAsia="Times New Roman" w:hAnsi="Arial" w:cs="Arial"/>
          <w:color w:val="1A1C1E"/>
          <w:lang w:eastAsia="fr-FR"/>
        </w:rPr>
        <w:t xml:space="preserve">Clinical manifestations of decompensation were frequent among the cirrhotic patients. Ascites was present in 30 of the 83 (36.1%) individuals with cirrhosis. It was graded as moderate in 18 patients (distributed across 7 Child-Pugh B and 11 Child-Pugh C cases) and was tense or refractory to diuretics in 12 patients (7 Child-Pugh B and 5 Child-Pugh C cases). Hepatic encephalopathy (clinically apparent, West Haven grade II or III) was documented in 18 (21.7%) cirrhotic patients. This included one patient classified as Child-Pugh A (stage II), seven patients as Child-Pugh B (4 stage II, 3 stage III), and ten patients as Child-Pugh C (8 stage II, 2 stage III). </w:t>
      </w:r>
    </w:p>
    <w:p w14:paraId="2281647E" w14:textId="77777777" w:rsidR="00965447" w:rsidRPr="00184F81" w:rsidRDefault="00965447" w:rsidP="00965447">
      <w:pPr>
        <w:spacing w:after="0" w:line="360" w:lineRule="auto"/>
        <w:jc w:val="both"/>
        <w:rPr>
          <w:rFonts w:ascii="Arial" w:eastAsia="Times New Roman" w:hAnsi="Arial" w:cs="Arial"/>
          <w:b/>
          <w:bCs/>
          <w:lang w:val="en-GB" w:eastAsia="fr-FR"/>
        </w:rPr>
      </w:pPr>
    </w:p>
    <w:p w14:paraId="47AC9E97" w14:textId="478F303F" w:rsidR="00706949" w:rsidRPr="00184F81" w:rsidRDefault="00706949" w:rsidP="00706949">
      <w:pPr>
        <w:spacing w:after="0" w:line="360" w:lineRule="auto"/>
        <w:jc w:val="both"/>
        <w:rPr>
          <w:rFonts w:ascii="Arial" w:eastAsia="Times New Roman" w:hAnsi="Arial" w:cs="Arial"/>
          <w:b/>
          <w:bCs/>
          <w:lang w:val="en-GB" w:eastAsia="fr-FR"/>
        </w:rPr>
      </w:pPr>
      <w:r w:rsidRPr="00184F81">
        <w:rPr>
          <w:rFonts w:ascii="Arial" w:eastAsia="Times New Roman" w:hAnsi="Arial" w:cs="Arial"/>
          <w:b/>
          <w:bCs/>
          <w:lang w:val="en-GB" w:eastAsia="fr-FR"/>
        </w:rPr>
        <w:t>Analysis of classical liver disease biomarkers</w:t>
      </w:r>
    </w:p>
    <w:p w14:paraId="444CDA67" w14:textId="6D8B3787" w:rsidR="00706949" w:rsidRPr="00184F81" w:rsidRDefault="00706949" w:rsidP="00706949">
      <w:pPr>
        <w:spacing w:after="0" w:line="360" w:lineRule="auto"/>
        <w:jc w:val="both"/>
        <w:rPr>
          <w:rFonts w:ascii="Arial" w:eastAsia="Times New Roman" w:hAnsi="Arial" w:cs="Arial"/>
          <w:lang w:val="en-GB" w:eastAsia="fr-FR"/>
        </w:rPr>
      </w:pPr>
      <w:r w:rsidRPr="00184F81">
        <w:rPr>
          <w:rFonts w:ascii="Arial" w:eastAsia="Times New Roman" w:hAnsi="Arial" w:cs="Arial"/>
          <w:lang w:val="en-GB" w:eastAsia="fr-FR"/>
        </w:rPr>
        <w:t>Among classical laboratory parameters, serum albumin concentration, as determined by routine biochemical methods, exhibited a significant decline with advanced liver disease (Figure S</w:t>
      </w:r>
      <w:r w:rsidR="0058753A" w:rsidRPr="00184F81">
        <w:rPr>
          <w:rFonts w:ascii="Arial" w:eastAsia="Times New Roman" w:hAnsi="Arial" w:cs="Arial"/>
          <w:lang w:val="en-GB" w:eastAsia="fr-FR"/>
        </w:rPr>
        <w:t>1</w:t>
      </w:r>
      <w:r w:rsidRPr="00184F81">
        <w:rPr>
          <w:rFonts w:ascii="Arial" w:eastAsia="Times New Roman" w:hAnsi="Arial" w:cs="Arial"/>
          <w:lang w:val="en-GB" w:eastAsia="fr-FR"/>
        </w:rPr>
        <w:t>). While levels in controls (n= 19; mean = 45 g/L) and patients with early fibrosis stages F0/F1 (47.5 g/L), F2 (44.6 g/L), and F3 (42.7 g/L) remained relatively stable, a highly significant (p&lt;0.0001) progressive decrease was observed in patients with cirrhosis. Specifically, albumin levels dropped from 40.7 g/L in F4 Child-Pugh A (F4_A) to significantly lower levels in F4 Child-Pugh B (F4_B; 29.9 g/L; p&lt;0.05 vs F4_A) and further to Child-Pugh C (F4_C; 26.4 g/L; p&lt;0.0001 vs F4_A and F4_B).</w:t>
      </w:r>
    </w:p>
    <w:p w14:paraId="53636933" w14:textId="77777777" w:rsidR="00706949" w:rsidRPr="00184F81" w:rsidRDefault="00706949" w:rsidP="00706949">
      <w:pPr>
        <w:spacing w:after="0" w:line="360" w:lineRule="auto"/>
        <w:jc w:val="both"/>
        <w:rPr>
          <w:rFonts w:ascii="Arial" w:eastAsia="Times New Roman" w:hAnsi="Arial" w:cs="Arial"/>
          <w:lang w:val="en-GB" w:eastAsia="fr-FR"/>
        </w:rPr>
      </w:pPr>
      <w:r w:rsidRPr="00184F81">
        <w:rPr>
          <w:rFonts w:ascii="Arial" w:eastAsia="Times New Roman" w:hAnsi="Arial" w:cs="Arial"/>
          <w:lang w:val="en-GB" w:eastAsia="fr-FR"/>
        </w:rPr>
        <w:lastRenderedPageBreak/>
        <w:t>The FIB-4 index, demonstrated a clear stepwise increase with disease progression (Figure 6, FIB4). Starting from low values in the F0/F1 group, FIB-4 scores significantly increased through stages F2, F3, and F4_A, reaching markedly higher levels in patients with F4_B and F4_C cirrhosis (p&lt;0.01 for F4_B vs F4_A; p&lt;0.01 for F4_C vs F4_B). The difference between F0/F1 and all F4 stages was highly significant (p&lt;0.0001).</w:t>
      </w:r>
    </w:p>
    <w:p w14:paraId="27C7A3D1" w14:textId="6D60DD59" w:rsidR="00706949" w:rsidRPr="00184F81" w:rsidRDefault="00706949" w:rsidP="00706949">
      <w:pPr>
        <w:spacing w:after="0" w:line="360" w:lineRule="auto"/>
        <w:jc w:val="both"/>
        <w:rPr>
          <w:rFonts w:ascii="Arial" w:eastAsia="Times New Roman" w:hAnsi="Arial" w:cs="Arial"/>
          <w:lang w:val="en-GB" w:eastAsia="fr-FR"/>
        </w:rPr>
      </w:pPr>
      <w:r w:rsidRPr="00184F81">
        <w:rPr>
          <w:rFonts w:ascii="Arial" w:eastAsia="Times New Roman" w:hAnsi="Arial" w:cs="Arial"/>
          <w:lang w:val="en-GB" w:eastAsia="fr-FR"/>
        </w:rPr>
        <w:t xml:space="preserve">AST levels, indicative of hepatocellular injury, showed a trend towards elevation with increasing disease severity (Figure S1, AST). While AST levels were relatively low and comparable across controls and fibrosis stages F0/F1, F2, and F3, they became significantly higher in patients with F4_A, F4_B, and F4_C cirrhosis compared to the F0/F1 group (p&lt;0.0001). A significant increase was also observed between F4_A and F4_B (p&lt;0.05). ALT </w:t>
      </w:r>
      <w:proofErr w:type="gramStart"/>
      <w:r w:rsidRPr="00184F81">
        <w:rPr>
          <w:rFonts w:ascii="Arial" w:eastAsia="Times New Roman" w:hAnsi="Arial" w:cs="Arial"/>
          <w:lang w:val="en-GB" w:eastAsia="fr-FR"/>
        </w:rPr>
        <w:t>was not able to</w:t>
      </w:r>
      <w:proofErr w:type="gramEnd"/>
      <w:r w:rsidRPr="00184F81">
        <w:rPr>
          <w:rFonts w:ascii="Arial" w:eastAsia="Times New Roman" w:hAnsi="Arial" w:cs="Arial"/>
          <w:lang w:val="en-GB" w:eastAsia="fr-FR"/>
        </w:rPr>
        <w:t xml:space="preserve"> discriminate between any of the groups. </w:t>
      </w:r>
    </w:p>
    <w:p w14:paraId="30E45E0C" w14:textId="744F742A" w:rsidR="00706949" w:rsidRPr="00184F81" w:rsidRDefault="00706949" w:rsidP="00706949">
      <w:pPr>
        <w:spacing w:after="0" w:line="360" w:lineRule="auto"/>
        <w:jc w:val="both"/>
        <w:rPr>
          <w:rFonts w:ascii="Arial" w:eastAsia="Times New Roman" w:hAnsi="Arial" w:cs="Arial"/>
          <w:lang w:val="en-GB" w:eastAsia="fr-FR"/>
        </w:rPr>
      </w:pPr>
      <w:r w:rsidRPr="00184F81">
        <w:rPr>
          <w:rFonts w:ascii="Arial" w:eastAsia="Times New Roman" w:hAnsi="Arial" w:cs="Arial"/>
          <w:lang w:val="en-GB" w:eastAsia="fr-FR"/>
        </w:rPr>
        <w:t>Serum bilirubin concentration, a marker of hepatic excretory function, remained low across controls and fibrosis stages F0/F1, F2, F3, and even in F4_A cirrhosis (Figure S1, Bilirubin). However, bilirubin levels markedly and progressively increased in patients with F4_B and F4_C cirrhosis, with highly significant differences (p&lt;0.0001) observed between these advanced stages and all preceding stages, as well as between F4_B and F4_C.</w:t>
      </w:r>
    </w:p>
    <w:p w14:paraId="022E231B" w14:textId="39595E7B" w:rsidR="00F804A7" w:rsidRPr="00184F81" w:rsidRDefault="00F804A7">
      <w:pPr>
        <w:spacing w:after="0" w:line="240" w:lineRule="auto"/>
        <w:rPr>
          <w:sz w:val="21"/>
          <w:szCs w:val="21"/>
        </w:rPr>
      </w:pPr>
      <w:r w:rsidRPr="00184F81">
        <w:rPr>
          <w:sz w:val="21"/>
          <w:szCs w:val="21"/>
        </w:rPr>
        <w:br w:type="page"/>
      </w:r>
    </w:p>
    <w:p w14:paraId="348A6C33" w14:textId="03916F7A" w:rsidR="00706949" w:rsidRDefault="00F804A7">
      <w:r>
        <w:rPr>
          <w:noProof/>
          <w14:ligatures w14:val="standardContextual"/>
        </w:rPr>
        <w:lastRenderedPageBreak/>
        <w:drawing>
          <wp:inline distT="0" distB="0" distL="0" distR="0" wp14:anchorId="7D6E5DEE" wp14:editId="406FEB06">
            <wp:extent cx="5702300" cy="6997700"/>
            <wp:effectExtent l="0" t="0" r="0" b="0"/>
            <wp:docPr id="1850499171" name="Image 1" descr="Une image contenant diagramme, texte, Plan, Dessin techn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99171" name="Image 1" descr="Une image contenant diagramme, texte, Plan, Dessin technique&#10;&#10;Le contenu généré par l’IA peut êtr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02300" cy="6997700"/>
                    </a:xfrm>
                    <a:prstGeom prst="rect">
                      <a:avLst/>
                    </a:prstGeom>
                  </pic:spPr>
                </pic:pic>
              </a:graphicData>
            </a:graphic>
          </wp:inline>
        </w:drawing>
      </w:r>
    </w:p>
    <w:p w14:paraId="73DB733B" w14:textId="77777777" w:rsidR="00F458C5" w:rsidRDefault="00F458C5"/>
    <w:p w14:paraId="373A5EC2" w14:textId="77777777" w:rsidR="00F458C5" w:rsidRPr="00E80BA9" w:rsidRDefault="00F458C5" w:rsidP="00F458C5">
      <w:pPr>
        <w:spacing w:before="100" w:beforeAutospacing="1" w:after="100" w:afterAutospacing="1" w:line="240" w:lineRule="auto"/>
        <w:jc w:val="both"/>
        <w:rPr>
          <w:rFonts w:ascii="Arial" w:eastAsia="Times New Roman" w:hAnsi="Arial" w:cs="Arial"/>
          <w:lang w:val="en-GB" w:eastAsia="fr-FR"/>
        </w:rPr>
      </w:pPr>
      <w:r w:rsidRPr="00E80BA9">
        <w:rPr>
          <w:rFonts w:ascii="Arial" w:eastAsia="Times New Roman" w:hAnsi="Arial" w:cs="Arial"/>
          <w:b/>
          <w:bCs/>
          <w:lang w:val="en-GB" w:eastAsia="fr-FR"/>
        </w:rPr>
        <w:t>Figure S1. Classical clinical and biochemical markers across chronic liver disease stages.</w:t>
      </w:r>
      <w:r w:rsidRPr="00E80BA9">
        <w:rPr>
          <w:rFonts w:ascii="Arial" w:eastAsia="Times New Roman" w:hAnsi="Arial" w:cs="Arial"/>
          <w:lang w:val="en-GB" w:eastAsia="fr-FR"/>
        </w:rPr>
        <w:t xml:space="preserve"> Dot plots showing values for </w:t>
      </w:r>
      <w:r w:rsidRPr="00E80BA9">
        <w:rPr>
          <w:rFonts w:ascii="Arial" w:eastAsia="Times New Roman" w:hAnsi="Arial" w:cs="Arial"/>
          <w:b/>
          <w:bCs/>
          <w:lang w:val="en-GB" w:eastAsia="fr-FR"/>
        </w:rPr>
        <w:t>(A)</w:t>
      </w:r>
      <w:r w:rsidRPr="00E80BA9">
        <w:rPr>
          <w:rFonts w:ascii="Arial" w:eastAsia="Times New Roman" w:hAnsi="Arial" w:cs="Arial"/>
          <w:lang w:val="en-GB" w:eastAsia="fr-FR"/>
        </w:rPr>
        <w:t xml:space="preserve"> routine serum albumin (g/L), </w:t>
      </w:r>
      <w:r w:rsidRPr="00E80BA9">
        <w:rPr>
          <w:rFonts w:ascii="Arial" w:eastAsia="Times New Roman" w:hAnsi="Arial" w:cs="Arial"/>
          <w:b/>
          <w:bCs/>
          <w:lang w:val="en-GB" w:eastAsia="fr-FR"/>
        </w:rPr>
        <w:t>(B)</w:t>
      </w:r>
      <w:r w:rsidRPr="00E80BA9">
        <w:rPr>
          <w:rFonts w:ascii="Arial" w:eastAsia="Times New Roman" w:hAnsi="Arial" w:cs="Arial"/>
          <w:lang w:val="en-GB" w:eastAsia="fr-FR"/>
        </w:rPr>
        <w:t xml:space="preserve"> FIB-4 index, </w:t>
      </w:r>
      <w:r w:rsidRPr="00E80BA9">
        <w:rPr>
          <w:rFonts w:ascii="Arial" w:eastAsia="Times New Roman" w:hAnsi="Arial" w:cs="Arial"/>
          <w:b/>
          <w:bCs/>
          <w:lang w:val="en-GB" w:eastAsia="fr-FR"/>
        </w:rPr>
        <w:t>(C)</w:t>
      </w:r>
      <w:r w:rsidRPr="00E80BA9">
        <w:rPr>
          <w:rFonts w:ascii="Arial" w:eastAsia="Times New Roman" w:hAnsi="Arial" w:cs="Arial"/>
          <w:lang w:val="en-GB" w:eastAsia="fr-FR"/>
        </w:rPr>
        <w:t xml:space="preserve"> aspartate aminotransferase (AST, U/L), </w:t>
      </w:r>
      <w:r w:rsidRPr="00E80BA9">
        <w:rPr>
          <w:rFonts w:ascii="Arial" w:eastAsia="Times New Roman" w:hAnsi="Arial" w:cs="Arial"/>
          <w:b/>
          <w:bCs/>
          <w:lang w:val="en-GB" w:eastAsia="fr-FR"/>
        </w:rPr>
        <w:t>(D)</w:t>
      </w:r>
      <w:r w:rsidRPr="00E80BA9">
        <w:rPr>
          <w:rFonts w:ascii="Arial" w:eastAsia="Times New Roman" w:hAnsi="Arial" w:cs="Arial"/>
          <w:lang w:val="en-GB" w:eastAsia="fr-FR"/>
        </w:rPr>
        <w:t xml:space="preserve"> total bilirubin (µmol/L), and </w:t>
      </w:r>
      <w:r w:rsidRPr="00E80BA9">
        <w:rPr>
          <w:rFonts w:ascii="Arial" w:eastAsia="Times New Roman" w:hAnsi="Arial" w:cs="Arial"/>
          <w:b/>
          <w:bCs/>
          <w:lang w:val="en-GB" w:eastAsia="fr-FR"/>
        </w:rPr>
        <w:t>(E)</w:t>
      </w:r>
      <w:r w:rsidRPr="00E80BA9">
        <w:rPr>
          <w:rFonts w:ascii="Arial" w:eastAsia="Times New Roman" w:hAnsi="Arial" w:cs="Arial"/>
          <w:lang w:val="en-GB" w:eastAsia="fr-FR"/>
        </w:rPr>
        <w:t xml:space="preserve"> alanine aminotransferase (ALT, U/L) stratified by fibrosis stage. Horizontal bars represent mean ± SEM. Statistical significance is indicated (*p &lt; 0.05, **p &lt; 0.01, ***p &lt; 0.001, ****p &lt; 0.0001; one-way ANOVA with Tukey's post-hoc test). FIB-4: Fibrosis-4 index; AST: aspartate aminotransferase; ALT: alanine aminotransferase.</w:t>
      </w:r>
    </w:p>
    <w:p w14:paraId="5551F970" w14:textId="249CD01F" w:rsidR="00F458C5" w:rsidRPr="00E80BA9" w:rsidRDefault="00F458C5" w:rsidP="00F458C5">
      <w:pPr>
        <w:spacing w:after="0" w:line="240" w:lineRule="auto"/>
        <w:jc w:val="both"/>
        <w:rPr>
          <w:rFonts w:ascii="Arial" w:eastAsia="Times New Roman" w:hAnsi="Arial" w:cs="Arial"/>
          <w:lang w:val="en-GB" w:eastAsia="fr-FR"/>
        </w:rPr>
      </w:pPr>
      <w:r w:rsidRPr="00F458C5">
        <w:rPr>
          <w:rFonts w:ascii="Arial" w:eastAsia="Times New Roman" w:hAnsi="Arial" w:cs="Arial"/>
          <w:lang w:val="en-GB" w:eastAsia="fr-FR"/>
        </w:rPr>
        <w:lastRenderedPageBreak/>
        <w:drawing>
          <wp:inline distT="0" distB="0" distL="0" distR="0" wp14:anchorId="2EE90B6E" wp14:editId="1E63DA38">
            <wp:extent cx="5760720" cy="4806315"/>
            <wp:effectExtent l="0" t="0" r="5080" b="0"/>
            <wp:docPr id="1998389015" name="Image 1" descr="Une image contenant texte, diagramme, lign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89015" name="Image 1" descr="Une image contenant texte, diagramme, ligne, Police&#10;&#10;Le contenu généré par l’IA peut être incorrect."/>
                    <pic:cNvPicPr/>
                  </pic:nvPicPr>
                  <pic:blipFill>
                    <a:blip r:embed="rId6"/>
                    <a:stretch>
                      <a:fillRect/>
                    </a:stretch>
                  </pic:blipFill>
                  <pic:spPr>
                    <a:xfrm>
                      <a:off x="0" y="0"/>
                      <a:ext cx="5760720" cy="4806315"/>
                    </a:xfrm>
                    <a:prstGeom prst="rect">
                      <a:avLst/>
                    </a:prstGeom>
                  </pic:spPr>
                </pic:pic>
              </a:graphicData>
            </a:graphic>
          </wp:inline>
        </w:drawing>
      </w:r>
    </w:p>
    <w:p w14:paraId="44DB2A09" w14:textId="77777777" w:rsidR="00F458C5" w:rsidRPr="00E80BA9" w:rsidRDefault="00F458C5" w:rsidP="00F458C5">
      <w:pPr>
        <w:spacing w:before="100" w:beforeAutospacing="1" w:after="100" w:afterAutospacing="1" w:line="240" w:lineRule="auto"/>
        <w:jc w:val="both"/>
        <w:rPr>
          <w:rFonts w:ascii="Arial" w:eastAsia="Times New Roman" w:hAnsi="Arial" w:cs="Arial"/>
          <w:lang w:val="en-GB" w:eastAsia="fr-FR"/>
        </w:rPr>
      </w:pPr>
      <w:r w:rsidRPr="00E80BA9">
        <w:rPr>
          <w:rFonts w:ascii="Arial" w:eastAsia="Times New Roman" w:hAnsi="Arial" w:cs="Arial"/>
          <w:b/>
          <w:bCs/>
          <w:lang w:val="en-GB" w:eastAsia="fr-FR"/>
        </w:rPr>
        <w:t>Figure S2. ROC curve analysis of classical clinical markers and native HSA.</w:t>
      </w:r>
      <w:r w:rsidRPr="00E80BA9">
        <w:rPr>
          <w:rFonts w:ascii="Arial" w:eastAsia="Times New Roman" w:hAnsi="Arial" w:cs="Arial"/>
          <w:lang w:val="en-GB" w:eastAsia="fr-FR"/>
        </w:rPr>
        <w:t xml:space="preserve"> Receiver operating characteristic curves for </w:t>
      </w:r>
      <w:r w:rsidRPr="00E80BA9">
        <w:rPr>
          <w:rFonts w:ascii="Arial" w:eastAsia="Times New Roman" w:hAnsi="Arial" w:cs="Arial"/>
          <w:b/>
          <w:bCs/>
          <w:lang w:val="en-GB" w:eastAsia="fr-FR"/>
        </w:rPr>
        <w:t>(A)</w:t>
      </w:r>
      <w:r w:rsidRPr="00E80BA9">
        <w:rPr>
          <w:rFonts w:ascii="Arial" w:eastAsia="Times New Roman" w:hAnsi="Arial" w:cs="Arial"/>
          <w:lang w:val="en-GB" w:eastAsia="fr-FR"/>
        </w:rPr>
        <w:t xml:space="preserve"> routine serum albumin, </w:t>
      </w:r>
      <w:r w:rsidRPr="00E80BA9">
        <w:rPr>
          <w:rFonts w:ascii="Arial" w:eastAsia="Times New Roman" w:hAnsi="Arial" w:cs="Arial"/>
          <w:b/>
          <w:bCs/>
          <w:lang w:val="en-GB" w:eastAsia="fr-FR"/>
        </w:rPr>
        <w:t>(B)</w:t>
      </w:r>
      <w:r w:rsidRPr="00E80BA9">
        <w:rPr>
          <w:rFonts w:ascii="Arial" w:eastAsia="Times New Roman" w:hAnsi="Arial" w:cs="Arial"/>
          <w:lang w:val="en-GB" w:eastAsia="fr-FR"/>
        </w:rPr>
        <w:t xml:space="preserve"> AST, </w:t>
      </w:r>
      <w:r w:rsidRPr="00E80BA9">
        <w:rPr>
          <w:rFonts w:ascii="Arial" w:eastAsia="Times New Roman" w:hAnsi="Arial" w:cs="Arial"/>
          <w:b/>
          <w:bCs/>
          <w:lang w:val="en-GB" w:eastAsia="fr-FR"/>
        </w:rPr>
        <w:t>(C)</w:t>
      </w:r>
      <w:r w:rsidRPr="00E80BA9">
        <w:rPr>
          <w:rFonts w:ascii="Arial" w:eastAsia="Times New Roman" w:hAnsi="Arial" w:cs="Arial"/>
          <w:lang w:val="en-GB" w:eastAsia="fr-FR"/>
        </w:rPr>
        <w:t xml:space="preserve"> total bilirubin, and </w:t>
      </w:r>
      <w:r w:rsidRPr="00E80BA9">
        <w:rPr>
          <w:rFonts w:ascii="Arial" w:eastAsia="Times New Roman" w:hAnsi="Arial" w:cs="Arial"/>
          <w:b/>
          <w:bCs/>
          <w:lang w:val="en-GB" w:eastAsia="fr-FR"/>
        </w:rPr>
        <w:t>(D)</w:t>
      </w:r>
      <w:r w:rsidRPr="00E80BA9">
        <w:rPr>
          <w:rFonts w:ascii="Arial" w:eastAsia="Times New Roman" w:hAnsi="Arial" w:cs="Arial"/>
          <w:lang w:val="en-GB" w:eastAsia="fr-FR"/>
        </w:rPr>
        <w:t xml:space="preserve"> native HSA measured by LC-HR-MS, discriminating each fibrosis stage from healthy controls. Curves are color-coded by fibrosis stage. The diagonal dashed line represents chance-level discrimination. AST: aspartate aminotransferase; HSA: human serum albumin; LC-HR-MS: liquid chromatography high-resolution mass spectrometry.</w:t>
      </w:r>
    </w:p>
    <w:p w14:paraId="26E867C6" w14:textId="77B7574E" w:rsidR="00F458C5" w:rsidRDefault="00F458C5">
      <w:pPr>
        <w:spacing w:after="0"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br w:type="page"/>
      </w:r>
    </w:p>
    <w:p w14:paraId="4F9D37AE" w14:textId="256748AC" w:rsidR="00F458C5" w:rsidRPr="00E80BA9" w:rsidRDefault="00F458C5" w:rsidP="00F458C5">
      <w:pPr>
        <w:spacing w:after="0" w:line="240" w:lineRule="auto"/>
        <w:jc w:val="both"/>
        <w:rPr>
          <w:rFonts w:ascii="Times New Roman" w:eastAsia="Times New Roman" w:hAnsi="Times New Roman" w:cs="Times New Roman"/>
          <w:sz w:val="24"/>
          <w:szCs w:val="24"/>
          <w:lang w:val="en-GB" w:eastAsia="fr-FR"/>
        </w:rPr>
      </w:pPr>
      <w:r w:rsidRPr="00F458C5">
        <w:rPr>
          <w:rFonts w:ascii="Times New Roman" w:eastAsia="Times New Roman" w:hAnsi="Times New Roman" w:cs="Times New Roman"/>
          <w:sz w:val="24"/>
          <w:szCs w:val="24"/>
          <w:lang w:val="en-GB" w:eastAsia="fr-FR"/>
        </w:rPr>
        <w:lastRenderedPageBreak/>
        <w:drawing>
          <wp:inline distT="0" distB="0" distL="0" distR="0" wp14:anchorId="065BBAC4" wp14:editId="0F002C66">
            <wp:extent cx="5760720" cy="6583680"/>
            <wp:effectExtent l="0" t="0" r="5080" b="0"/>
            <wp:docPr id="834331026" name="Image 1" descr="Une image contenant texte, capture d’écran, nombr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331026" name="Image 1" descr="Une image contenant texte, capture d’écran, nombre, diagramme&#10;&#10;Le contenu généré par l’IA peut être incorrect."/>
                    <pic:cNvPicPr/>
                  </pic:nvPicPr>
                  <pic:blipFill>
                    <a:blip r:embed="rId7"/>
                    <a:stretch>
                      <a:fillRect/>
                    </a:stretch>
                  </pic:blipFill>
                  <pic:spPr>
                    <a:xfrm>
                      <a:off x="0" y="0"/>
                      <a:ext cx="5760720" cy="6583680"/>
                    </a:xfrm>
                    <a:prstGeom prst="rect">
                      <a:avLst/>
                    </a:prstGeom>
                  </pic:spPr>
                </pic:pic>
              </a:graphicData>
            </a:graphic>
          </wp:inline>
        </w:drawing>
      </w:r>
    </w:p>
    <w:p w14:paraId="3CE1DBDD" w14:textId="0764C897" w:rsidR="00F458C5" w:rsidRDefault="00F458C5" w:rsidP="00F458C5">
      <w:pPr>
        <w:spacing w:before="100" w:beforeAutospacing="1" w:after="100" w:afterAutospacing="1" w:line="240" w:lineRule="auto"/>
        <w:jc w:val="both"/>
        <w:rPr>
          <w:rFonts w:ascii="Arial" w:eastAsia="Times New Roman" w:hAnsi="Arial" w:cs="Arial"/>
          <w:lang w:val="en-GB" w:eastAsia="fr-FR"/>
        </w:rPr>
      </w:pPr>
      <w:r w:rsidRPr="00E80BA9">
        <w:rPr>
          <w:rFonts w:ascii="Arial" w:eastAsia="Times New Roman" w:hAnsi="Arial" w:cs="Arial"/>
          <w:b/>
          <w:bCs/>
          <w:lang w:val="en-GB" w:eastAsia="fr-FR"/>
        </w:rPr>
        <w:t>Figure S3. Feature importance of the 75-variable ALBOM classification model.</w:t>
      </w:r>
      <w:r w:rsidRPr="00E80BA9">
        <w:rPr>
          <w:rFonts w:ascii="Arial" w:eastAsia="Times New Roman" w:hAnsi="Arial" w:cs="Arial"/>
          <w:lang w:val="en-GB" w:eastAsia="fr-FR"/>
        </w:rPr>
        <w:t xml:space="preserve"> Lollipop chart showing permutation importance scores for the top 30 predictive features in the </w:t>
      </w:r>
      <w:proofErr w:type="spellStart"/>
      <w:r w:rsidRPr="00E80BA9">
        <w:rPr>
          <w:rFonts w:ascii="Arial" w:eastAsia="Times New Roman" w:hAnsi="Arial" w:cs="Arial"/>
          <w:lang w:val="en-GB" w:eastAsia="fr-FR"/>
        </w:rPr>
        <w:t>OrdinalForest</w:t>
      </w:r>
      <w:proofErr w:type="spellEnd"/>
      <w:r w:rsidRPr="00E80BA9">
        <w:rPr>
          <w:rFonts w:ascii="Arial" w:eastAsia="Times New Roman" w:hAnsi="Arial" w:cs="Arial"/>
          <w:lang w:val="en-GB" w:eastAsia="fr-FR"/>
        </w:rPr>
        <w:t xml:space="preserve"> model. Features are ranked by decreasing importance. Orange dots indicate spectral albumin peaks (m/z values); the four top-ranked features (</w:t>
      </w:r>
      <w:proofErr w:type="spellStart"/>
      <w:r w:rsidRPr="00E80BA9">
        <w:rPr>
          <w:rFonts w:ascii="Arial" w:eastAsia="Times New Roman" w:hAnsi="Arial" w:cs="Arial"/>
          <w:lang w:val="en-GB" w:eastAsia="fr-FR"/>
        </w:rPr>
        <w:t>tp</w:t>
      </w:r>
      <w:proofErr w:type="spellEnd"/>
      <w:r w:rsidRPr="00E80BA9">
        <w:rPr>
          <w:rFonts w:ascii="Arial" w:eastAsia="Times New Roman" w:hAnsi="Arial" w:cs="Arial"/>
          <w:lang w:val="en-GB" w:eastAsia="fr-FR"/>
        </w:rPr>
        <w:t xml:space="preserve">: total protein; </w:t>
      </w:r>
      <w:proofErr w:type="spellStart"/>
      <w:r w:rsidRPr="00E80BA9">
        <w:rPr>
          <w:rFonts w:ascii="Arial" w:eastAsia="Times New Roman" w:hAnsi="Arial" w:cs="Arial"/>
          <w:lang w:val="en-GB" w:eastAsia="fr-FR"/>
        </w:rPr>
        <w:t>albumine</w:t>
      </w:r>
      <w:proofErr w:type="spellEnd"/>
      <w:r w:rsidRPr="00E80BA9">
        <w:rPr>
          <w:rFonts w:ascii="Arial" w:eastAsia="Times New Roman" w:hAnsi="Arial" w:cs="Arial"/>
          <w:lang w:val="en-GB" w:eastAsia="fr-FR"/>
        </w:rPr>
        <w:t xml:space="preserve">: routine serum albumin; </w:t>
      </w:r>
      <w:proofErr w:type="spellStart"/>
      <w:r w:rsidRPr="00E80BA9">
        <w:rPr>
          <w:rFonts w:ascii="Arial" w:eastAsia="Times New Roman" w:hAnsi="Arial" w:cs="Arial"/>
          <w:lang w:val="en-GB" w:eastAsia="fr-FR"/>
        </w:rPr>
        <w:t>inr</w:t>
      </w:r>
      <w:proofErr w:type="spellEnd"/>
      <w:r w:rsidRPr="00E80BA9">
        <w:rPr>
          <w:rFonts w:ascii="Arial" w:eastAsia="Times New Roman" w:hAnsi="Arial" w:cs="Arial"/>
          <w:lang w:val="en-GB" w:eastAsia="fr-FR"/>
        </w:rPr>
        <w:t xml:space="preserve">: international normalized ratio; </w:t>
      </w:r>
      <w:proofErr w:type="spellStart"/>
      <w:r w:rsidRPr="00E80BA9">
        <w:rPr>
          <w:rFonts w:ascii="Arial" w:eastAsia="Times New Roman" w:hAnsi="Arial" w:cs="Arial"/>
          <w:lang w:val="en-GB" w:eastAsia="fr-FR"/>
        </w:rPr>
        <w:t>bilirubine</w:t>
      </w:r>
      <w:proofErr w:type="spellEnd"/>
      <w:r w:rsidRPr="00E80BA9">
        <w:rPr>
          <w:rFonts w:ascii="Arial" w:eastAsia="Times New Roman" w:hAnsi="Arial" w:cs="Arial"/>
          <w:lang w:val="en-GB" w:eastAsia="fr-FR"/>
        </w:rPr>
        <w:t xml:space="preserve">: total bilirubin) are standard routine clinical variables included in the combined </w:t>
      </w:r>
      <w:r>
        <w:rPr>
          <w:rFonts w:ascii="Arial" w:eastAsia="Times New Roman" w:hAnsi="Arial" w:cs="Arial"/>
          <w:lang w:val="en-GB" w:eastAsia="fr-FR"/>
        </w:rPr>
        <w:t>LC-TOF</w:t>
      </w:r>
      <w:r w:rsidRPr="00E80BA9">
        <w:rPr>
          <w:rFonts w:ascii="Arial" w:eastAsia="Times New Roman" w:hAnsi="Arial" w:cs="Arial"/>
          <w:lang w:val="en-GB" w:eastAsia="fr-FR"/>
        </w:rPr>
        <w:t xml:space="preserve"> + Clinical model. Spectral peaks cluster in two m/z sub-regions: ~66,230–66,600 Da (native and cysteinylated albumin isoforms) and ~67,024–67,457 Da (poly-glycated albumin adducts).</w:t>
      </w:r>
    </w:p>
    <w:p w14:paraId="48D966C5"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0F2FD0C0"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0D392516" w14:textId="41E1403C" w:rsidR="00B97875" w:rsidRDefault="00B97875" w:rsidP="00F458C5">
      <w:pPr>
        <w:spacing w:before="100" w:beforeAutospacing="1" w:after="100" w:afterAutospacing="1" w:line="240" w:lineRule="auto"/>
        <w:jc w:val="both"/>
        <w:rPr>
          <w:rFonts w:ascii="Arial" w:eastAsia="Times New Roman" w:hAnsi="Arial" w:cs="Arial"/>
          <w:lang w:val="en-GB" w:eastAsia="fr-FR"/>
        </w:rPr>
      </w:pPr>
      <w:r w:rsidRPr="00B97875">
        <w:rPr>
          <w:rFonts w:ascii="Arial" w:eastAsia="Times New Roman" w:hAnsi="Arial" w:cs="Arial"/>
          <w:lang w:val="en-GB" w:eastAsia="fr-FR"/>
        </w:rPr>
        <w:lastRenderedPageBreak/>
        <w:drawing>
          <wp:inline distT="0" distB="0" distL="0" distR="0" wp14:anchorId="796A14B6" wp14:editId="33492102">
            <wp:extent cx="5760720" cy="3600450"/>
            <wp:effectExtent l="0" t="0" r="5080" b="6350"/>
            <wp:docPr id="780276198" name="Image 1" descr="Une image contenant texte, Tracé,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276198" name="Image 1" descr="Une image contenant texte, Tracé, diagramme, ligne&#10;&#10;Le contenu généré par l’IA peut être incorrect."/>
                    <pic:cNvPicPr/>
                  </pic:nvPicPr>
                  <pic:blipFill>
                    <a:blip r:embed="rId8"/>
                    <a:stretch>
                      <a:fillRect/>
                    </a:stretch>
                  </pic:blipFill>
                  <pic:spPr>
                    <a:xfrm>
                      <a:off x="0" y="0"/>
                      <a:ext cx="5760720" cy="3600450"/>
                    </a:xfrm>
                    <a:prstGeom prst="rect">
                      <a:avLst/>
                    </a:prstGeom>
                  </pic:spPr>
                </pic:pic>
              </a:graphicData>
            </a:graphic>
          </wp:inline>
        </w:drawing>
      </w:r>
    </w:p>
    <w:p w14:paraId="44385922" w14:textId="37CAB84F" w:rsidR="00B97875" w:rsidRDefault="00B97875" w:rsidP="00F458C5">
      <w:pPr>
        <w:spacing w:before="100" w:beforeAutospacing="1" w:after="100" w:afterAutospacing="1" w:line="240" w:lineRule="auto"/>
        <w:jc w:val="both"/>
        <w:rPr>
          <w:rFonts w:ascii="Arial" w:eastAsia="Times New Roman" w:hAnsi="Arial" w:cs="Arial"/>
          <w:lang w:val="en-GB" w:eastAsia="fr-FR"/>
        </w:rPr>
      </w:pPr>
      <w:r>
        <w:rPr>
          <w:rFonts w:ascii="Arial" w:eastAsia="Times New Roman" w:hAnsi="Arial" w:cs="Arial"/>
          <w:lang w:val="en-GB" w:eastAsia="fr-FR"/>
        </w:rPr>
        <w:t xml:space="preserve">Fig S4. </w:t>
      </w:r>
      <w:r w:rsidRPr="00B97875">
        <w:rPr>
          <w:rFonts w:ascii="Arial" w:eastAsia="Times New Roman" w:hAnsi="Arial" w:cs="Arial"/>
          <w:lang w:val="en-GB" w:eastAsia="fr-FR"/>
        </w:rPr>
        <w:t xml:space="preserve">Density plots illustrate the distribution of Quadratic Weighted Kappa (QWK) scores from 1,000 bootstrap resampling iterations. The performance of the hierarchical </w:t>
      </w:r>
      <w:proofErr w:type="spellStart"/>
      <w:r w:rsidRPr="00B97875">
        <w:rPr>
          <w:rFonts w:ascii="Arial" w:eastAsia="Times New Roman" w:hAnsi="Arial" w:cs="Arial"/>
          <w:lang w:val="en-GB" w:eastAsia="fr-FR"/>
        </w:rPr>
        <w:t>OrdinalForest</w:t>
      </w:r>
      <w:proofErr w:type="spellEnd"/>
      <w:r w:rsidRPr="00B97875">
        <w:rPr>
          <w:rFonts w:ascii="Arial" w:eastAsia="Times New Roman" w:hAnsi="Arial" w:cs="Arial"/>
          <w:lang w:val="en-GB" w:eastAsia="fr-FR"/>
        </w:rPr>
        <w:t xml:space="preserve"> classifier is compared across two independent LC-HR-MS platforms: Bruker and </w:t>
      </w:r>
      <w:proofErr w:type="spellStart"/>
      <w:r w:rsidRPr="00B97875">
        <w:rPr>
          <w:rFonts w:ascii="Arial" w:eastAsia="Times New Roman" w:hAnsi="Arial" w:cs="Arial"/>
          <w:lang w:val="en-GB" w:eastAsia="fr-FR"/>
        </w:rPr>
        <w:t>Sciex</w:t>
      </w:r>
      <w:proofErr w:type="spellEnd"/>
      <w:r w:rsidRPr="00B97875">
        <w:rPr>
          <w:rFonts w:ascii="Arial" w:eastAsia="Times New Roman" w:hAnsi="Arial" w:cs="Arial"/>
          <w:lang w:val="en-GB" w:eastAsia="fr-FR"/>
        </w:rPr>
        <w:t>. High mean QWK scores (0.862 and 0.916, respectively) and overlapping distributions demonstrate the robustness and platform independence of the HSA isoform signature for staging chronic liver disease. This statistical equivalence supports the model's readiness for multicenter clinical validation.</w:t>
      </w:r>
    </w:p>
    <w:p w14:paraId="0FB4B0A0"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741B2CCE"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06F30287"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31FD0728"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0323ED56"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0E7EA7B0"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40F3B925"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2273454B"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27172C64"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342EE97D"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141DA23D"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3D912136"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26296EB3"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77115C08"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784DF579" w14:textId="77777777"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619EB7FC" w14:textId="468130FD" w:rsidR="00B97875" w:rsidRDefault="00B97875" w:rsidP="00F458C5">
      <w:pPr>
        <w:spacing w:before="100" w:beforeAutospacing="1" w:after="100" w:afterAutospacing="1" w:line="240" w:lineRule="auto"/>
        <w:jc w:val="both"/>
        <w:rPr>
          <w:rFonts w:ascii="Arial" w:eastAsia="Times New Roman" w:hAnsi="Arial" w:cs="Arial"/>
          <w:lang w:val="en-GB" w:eastAsia="fr-FR"/>
        </w:rPr>
      </w:pPr>
    </w:p>
    <w:p w14:paraId="7E1CB012" w14:textId="77777777" w:rsidR="00B97875" w:rsidRPr="00E80BA9" w:rsidRDefault="00B97875" w:rsidP="00F458C5">
      <w:pPr>
        <w:spacing w:before="100" w:beforeAutospacing="1" w:after="100" w:afterAutospacing="1" w:line="240" w:lineRule="auto"/>
        <w:jc w:val="both"/>
        <w:rPr>
          <w:rFonts w:ascii="Arial" w:eastAsia="Times New Roman" w:hAnsi="Arial" w:cs="Arial"/>
          <w:lang w:val="en-GB" w:eastAsia="fr-FR"/>
        </w:rPr>
      </w:pPr>
    </w:p>
    <w:p w14:paraId="3FBC8B52" w14:textId="77777777" w:rsidR="00F458C5" w:rsidRPr="00E80BA9" w:rsidRDefault="00F458C5" w:rsidP="00F458C5">
      <w:pPr>
        <w:pStyle w:val="EndNoteBibliography"/>
        <w:rPr>
          <w:rFonts w:ascii="Arial" w:eastAsia="Times New Roman" w:hAnsi="Arial" w:cs="Arial"/>
          <w:color w:val="1A1C1E"/>
          <w:lang w:val="en-GB" w:eastAsia="fr-FR"/>
        </w:rPr>
      </w:pPr>
    </w:p>
    <w:p w14:paraId="255133BB" w14:textId="5AB1255F" w:rsidR="00F458C5" w:rsidRDefault="00B97875">
      <w:r w:rsidRPr="00B97875">
        <w:drawing>
          <wp:inline distT="0" distB="0" distL="0" distR="0" wp14:anchorId="58F3A206" wp14:editId="3EFC3971">
            <wp:extent cx="5078994" cy="4320540"/>
            <wp:effectExtent l="0" t="0" r="1270" b="0"/>
            <wp:docPr id="1191531449" name="Image 1" descr="Une image contenant texte, capture d’écran, lign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31449" name="Image 1" descr="Une image contenant texte, capture d’écran, ligne, Tracé&#10;&#10;Le contenu généré par l’IA peut être incorrect."/>
                    <pic:cNvPicPr/>
                  </pic:nvPicPr>
                  <pic:blipFill rotWithShape="1">
                    <a:blip r:embed="rId9"/>
                    <a:srcRect r="11834"/>
                    <a:stretch>
                      <a:fillRect/>
                    </a:stretch>
                  </pic:blipFill>
                  <pic:spPr bwMode="auto">
                    <a:xfrm>
                      <a:off x="0" y="0"/>
                      <a:ext cx="5078994" cy="4320540"/>
                    </a:xfrm>
                    <a:prstGeom prst="rect">
                      <a:avLst/>
                    </a:prstGeom>
                    <a:ln>
                      <a:noFill/>
                    </a:ln>
                    <a:extLst>
                      <a:ext uri="{53640926-AAD7-44D8-BBD7-CCE9431645EC}">
                        <a14:shadowObscured xmlns:a14="http://schemas.microsoft.com/office/drawing/2010/main"/>
                      </a:ext>
                    </a:extLst>
                  </pic:spPr>
                </pic:pic>
              </a:graphicData>
            </a:graphic>
          </wp:inline>
        </w:drawing>
      </w:r>
    </w:p>
    <w:p w14:paraId="0B6D37FD" w14:textId="77777777" w:rsidR="00B97875" w:rsidRDefault="00B97875"/>
    <w:p w14:paraId="49F4B05E" w14:textId="3CCB7867" w:rsidR="00B97875" w:rsidRPr="00C755AB" w:rsidRDefault="00B97875" w:rsidP="00C755AB">
      <w:pPr>
        <w:jc w:val="both"/>
        <w:rPr>
          <w:rFonts w:ascii="Arial" w:hAnsi="Arial" w:cs="Arial"/>
        </w:rPr>
      </w:pPr>
      <w:r w:rsidRPr="00C755AB">
        <w:rPr>
          <w:rFonts w:ascii="Arial" w:hAnsi="Arial" w:cs="Arial"/>
        </w:rPr>
        <w:t xml:space="preserve">Fig S5. </w:t>
      </w:r>
      <w:r w:rsidR="00C755AB" w:rsidRPr="00C755AB">
        <w:rPr>
          <w:rFonts w:ascii="Arial" w:hAnsi="Arial" w:cs="Arial"/>
        </w:rPr>
        <w:t xml:space="preserve">Cross-platform agreement at the patient level. Comparison of fibrosis stage predictions between Bruker and </w:t>
      </w:r>
      <w:proofErr w:type="spellStart"/>
      <w:r w:rsidR="00C755AB" w:rsidRPr="00C755AB">
        <w:rPr>
          <w:rFonts w:ascii="Arial" w:hAnsi="Arial" w:cs="Arial"/>
        </w:rPr>
        <w:t>Sciex</w:t>
      </w:r>
      <w:proofErr w:type="spellEnd"/>
      <w:r w:rsidR="00C755AB" w:rsidRPr="00C755AB">
        <w:rPr>
          <w:rFonts w:ascii="Arial" w:hAnsi="Arial" w:cs="Arial"/>
        </w:rPr>
        <w:t xml:space="preserve"> LC-HR-MS platforms. Points represent individual patients, color-coded by biopsy-confirmed fibrosis stage (F0–F4C). Alignment along the identity line (dashed) indicates high inter-platform consistency. The shared error profile (Jaccard index = 0.696) and statistical equivalence (McNemar p=0.149) underscore the reproducibility of the HSA spectral signature. These results validate the model’s performance stability across different hardware, facilitating its transition to multicenter clinical environments.</w:t>
      </w:r>
    </w:p>
    <w:sectPr w:rsidR="00B97875" w:rsidRPr="00C755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49"/>
    <w:rsid w:val="00066081"/>
    <w:rsid w:val="00102E10"/>
    <w:rsid w:val="001217E1"/>
    <w:rsid w:val="00184F81"/>
    <w:rsid w:val="00202101"/>
    <w:rsid w:val="002107A7"/>
    <w:rsid w:val="00217FFD"/>
    <w:rsid w:val="0023722D"/>
    <w:rsid w:val="0026086B"/>
    <w:rsid w:val="00262A52"/>
    <w:rsid w:val="003018FB"/>
    <w:rsid w:val="0032371C"/>
    <w:rsid w:val="00331CFC"/>
    <w:rsid w:val="00341B07"/>
    <w:rsid w:val="0036261C"/>
    <w:rsid w:val="003B2373"/>
    <w:rsid w:val="003D613F"/>
    <w:rsid w:val="004423FE"/>
    <w:rsid w:val="00445A57"/>
    <w:rsid w:val="00446632"/>
    <w:rsid w:val="004E61F9"/>
    <w:rsid w:val="004F3CE3"/>
    <w:rsid w:val="00555AF5"/>
    <w:rsid w:val="0058753A"/>
    <w:rsid w:val="005B7708"/>
    <w:rsid w:val="00632514"/>
    <w:rsid w:val="006B0085"/>
    <w:rsid w:val="006C5C06"/>
    <w:rsid w:val="006F5D80"/>
    <w:rsid w:val="00705327"/>
    <w:rsid w:val="00706949"/>
    <w:rsid w:val="00723548"/>
    <w:rsid w:val="00781D9C"/>
    <w:rsid w:val="00786A42"/>
    <w:rsid w:val="007C4203"/>
    <w:rsid w:val="007E395B"/>
    <w:rsid w:val="007E6E8D"/>
    <w:rsid w:val="0080508B"/>
    <w:rsid w:val="008753E6"/>
    <w:rsid w:val="00886C54"/>
    <w:rsid w:val="0089171C"/>
    <w:rsid w:val="008D7AE9"/>
    <w:rsid w:val="008E58DC"/>
    <w:rsid w:val="00927941"/>
    <w:rsid w:val="00965447"/>
    <w:rsid w:val="00982B32"/>
    <w:rsid w:val="009B05AD"/>
    <w:rsid w:val="00A07293"/>
    <w:rsid w:val="00A26101"/>
    <w:rsid w:val="00A4434B"/>
    <w:rsid w:val="00A56210"/>
    <w:rsid w:val="00AB4E5D"/>
    <w:rsid w:val="00AD0CD8"/>
    <w:rsid w:val="00AD2818"/>
    <w:rsid w:val="00AD2C61"/>
    <w:rsid w:val="00B62843"/>
    <w:rsid w:val="00B974A7"/>
    <w:rsid w:val="00B97875"/>
    <w:rsid w:val="00BD2CE5"/>
    <w:rsid w:val="00BE5448"/>
    <w:rsid w:val="00BE6A32"/>
    <w:rsid w:val="00C563CE"/>
    <w:rsid w:val="00C6521B"/>
    <w:rsid w:val="00C755AB"/>
    <w:rsid w:val="00C87843"/>
    <w:rsid w:val="00CF5F32"/>
    <w:rsid w:val="00D45FC3"/>
    <w:rsid w:val="00D6264C"/>
    <w:rsid w:val="00D842DF"/>
    <w:rsid w:val="00DC7D8B"/>
    <w:rsid w:val="00DE3062"/>
    <w:rsid w:val="00E30754"/>
    <w:rsid w:val="00E83E95"/>
    <w:rsid w:val="00E86F79"/>
    <w:rsid w:val="00EC27E4"/>
    <w:rsid w:val="00EF0E32"/>
    <w:rsid w:val="00F12745"/>
    <w:rsid w:val="00F458C5"/>
    <w:rsid w:val="00F46481"/>
    <w:rsid w:val="00F804A7"/>
    <w:rsid w:val="00F817F1"/>
    <w:rsid w:val="00F8539C"/>
    <w:rsid w:val="00FB529A"/>
    <w:rsid w:val="00FB694E"/>
    <w:rsid w:val="00FC7539"/>
    <w:rsid w:val="00FD22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45E34"/>
  <w15:chartTrackingRefBased/>
  <w15:docId w15:val="{C6913F63-AB12-AF40-8843-8F38A37D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949"/>
    <w:pPr>
      <w:spacing w:after="160" w:line="278" w:lineRule="auto"/>
    </w:pPr>
    <w:rPr>
      <w:kern w:val="0"/>
      <w:sz w:val="22"/>
      <w:szCs w:val="22"/>
      <w:lang w:val="en-US"/>
      <w14:ligatures w14:val="none"/>
    </w:rPr>
  </w:style>
  <w:style w:type="paragraph" w:styleId="Titre1">
    <w:name w:val="heading 1"/>
    <w:basedOn w:val="Normal"/>
    <w:next w:val="Normal"/>
    <w:link w:val="Titre1Car"/>
    <w:uiPriority w:val="9"/>
    <w:qFormat/>
    <w:rsid w:val="00706949"/>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fr-FR"/>
      <w14:ligatures w14:val="standardContextual"/>
    </w:rPr>
  </w:style>
  <w:style w:type="paragraph" w:styleId="Titre2">
    <w:name w:val="heading 2"/>
    <w:basedOn w:val="Normal"/>
    <w:next w:val="Normal"/>
    <w:link w:val="Titre2Car"/>
    <w:uiPriority w:val="9"/>
    <w:semiHidden/>
    <w:unhideWhenUsed/>
    <w:qFormat/>
    <w:rsid w:val="00706949"/>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fr-FR"/>
      <w14:ligatures w14:val="standardContextual"/>
    </w:rPr>
  </w:style>
  <w:style w:type="paragraph" w:styleId="Titre3">
    <w:name w:val="heading 3"/>
    <w:basedOn w:val="Normal"/>
    <w:next w:val="Normal"/>
    <w:link w:val="Titre3Car"/>
    <w:uiPriority w:val="9"/>
    <w:semiHidden/>
    <w:unhideWhenUsed/>
    <w:qFormat/>
    <w:rsid w:val="00706949"/>
    <w:pPr>
      <w:keepNext/>
      <w:keepLines/>
      <w:spacing w:before="160" w:after="80" w:line="240" w:lineRule="auto"/>
      <w:outlineLvl w:val="2"/>
    </w:pPr>
    <w:rPr>
      <w:rFonts w:eastAsiaTheme="majorEastAsia" w:cstheme="majorBidi"/>
      <w:color w:val="0F4761" w:themeColor="accent1" w:themeShade="BF"/>
      <w:kern w:val="2"/>
      <w:sz w:val="28"/>
      <w:szCs w:val="28"/>
      <w:lang w:val="fr-FR"/>
      <w14:ligatures w14:val="standardContextual"/>
    </w:rPr>
  </w:style>
  <w:style w:type="paragraph" w:styleId="Titre4">
    <w:name w:val="heading 4"/>
    <w:basedOn w:val="Normal"/>
    <w:next w:val="Normal"/>
    <w:link w:val="Titre4Car"/>
    <w:uiPriority w:val="9"/>
    <w:semiHidden/>
    <w:unhideWhenUsed/>
    <w:qFormat/>
    <w:rsid w:val="00706949"/>
    <w:pPr>
      <w:keepNext/>
      <w:keepLines/>
      <w:spacing w:before="80" w:after="40" w:line="240" w:lineRule="auto"/>
      <w:outlineLvl w:val="3"/>
    </w:pPr>
    <w:rPr>
      <w:rFonts w:eastAsiaTheme="majorEastAsia" w:cstheme="majorBidi"/>
      <w:i/>
      <w:iCs/>
      <w:color w:val="0F4761" w:themeColor="accent1" w:themeShade="BF"/>
      <w:kern w:val="2"/>
      <w:sz w:val="24"/>
      <w:szCs w:val="24"/>
      <w:lang w:val="fr-FR"/>
      <w14:ligatures w14:val="standardContextual"/>
    </w:rPr>
  </w:style>
  <w:style w:type="paragraph" w:styleId="Titre5">
    <w:name w:val="heading 5"/>
    <w:basedOn w:val="Normal"/>
    <w:next w:val="Normal"/>
    <w:link w:val="Titre5Car"/>
    <w:uiPriority w:val="9"/>
    <w:semiHidden/>
    <w:unhideWhenUsed/>
    <w:qFormat/>
    <w:rsid w:val="00706949"/>
    <w:pPr>
      <w:keepNext/>
      <w:keepLines/>
      <w:spacing w:before="80" w:after="40" w:line="240" w:lineRule="auto"/>
      <w:outlineLvl w:val="4"/>
    </w:pPr>
    <w:rPr>
      <w:rFonts w:eastAsiaTheme="majorEastAsia" w:cstheme="majorBidi"/>
      <w:color w:val="0F4761" w:themeColor="accent1" w:themeShade="BF"/>
      <w:kern w:val="2"/>
      <w:sz w:val="24"/>
      <w:szCs w:val="24"/>
      <w:lang w:val="fr-FR"/>
      <w14:ligatures w14:val="standardContextual"/>
    </w:rPr>
  </w:style>
  <w:style w:type="paragraph" w:styleId="Titre6">
    <w:name w:val="heading 6"/>
    <w:basedOn w:val="Normal"/>
    <w:next w:val="Normal"/>
    <w:link w:val="Titre6Car"/>
    <w:uiPriority w:val="9"/>
    <w:semiHidden/>
    <w:unhideWhenUsed/>
    <w:qFormat/>
    <w:rsid w:val="00706949"/>
    <w:pPr>
      <w:keepNext/>
      <w:keepLines/>
      <w:spacing w:before="40" w:after="0" w:line="240" w:lineRule="auto"/>
      <w:outlineLvl w:val="5"/>
    </w:pPr>
    <w:rPr>
      <w:rFonts w:eastAsiaTheme="majorEastAsia" w:cstheme="majorBidi"/>
      <w:i/>
      <w:iCs/>
      <w:color w:val="595959" w:themeColor="text1" w:themeTint="A6"/>
      <w:kern w:val="2"/>
      <w:sz w:val="24"/>
      <w:szCs w:val="24"/>
      <w:lang w:val="fr-FR"/>
      <w14:ligatures w14:val="standardContextual"/>
    </w:rPr>
  </w:style>
  <w:style w:type="paragraph" w:styleId="Titre7">
    <w:name w:val="heading 7"/>
    <w:basedOn w:val="Normal"/>
    <w:next w:val="Normal"/>
    <w:link w:val="Titre7Car"/>
    <w:uiPriority w:val="9"/>
    <w:semiHidden/>
    <w:unhideWhenUsed/>
    <w:qFormat/>
    <w:rsid w:val="00706949"/>
    <w:pPr>
      <w:keepNext/>
      <w:keepLines/>
      <w:spacing w:before="40" w:after="0" w:line="240" w:lineRule="auto"/>
      <w:outlineLvl w:val="6"/>
    </w:pPr>
    <w:rPr>
      <w:rFonts w:eastAsiaTheme="majorEastAsia" w:cstheme="majorBidi"/>
      <w:color w:val="595959" w:themeColor="text1" w:themeTint="A6"/>
      <w:kern w:val="2"/>
      <w:sz w:val="24"/>
      <w:szCs w:val="24"/>
      <w:lang w:val="fr-FR"/>
      <w14:ligatures w14:val="standardContextual"/>
    </w:rPr>
  </w:style>
  <w:style w:type="paragraph" w:styleId="Titre8">
    <w:name w:val="heading 8"/>
    <w:basedOn w:val="Normal"/>
    <w:next w:val="Normal"/>
    <w:link w:val="Titre8Car"/>
    <w:uiPriority w:val="9"/>
    <w:semiHidden/>
    <w:unhideWhenUsed/>
    <w:qFormat/>
    <w:rsid w:val="00706949"/>
    <w:pPr>
      <w:keepNext/>
      <w:keepLines/>
      <w:spacing w:after="0" w:line="240" w:lineRule="auto"/>
      <w:outlineLvl w:val="7"/>
    </w:pPr>
    <w:rPr>
      <w:rFonts w:eastAsiaTheme="majorEastAsia" w:cstheme="majorBidi"/>
      <w:i/>
      <w:iCs/>
      <w:color w:val="272727" w:themeColor="text1" w:themeTint="D8"/>
      <w:kern w:val="2"/>
      <w:sz w:val="24"/>
      <w:szCs w:val="24"/>
      <w:lang w:val="fr-FR"/>
      <w14:ligatures w14:val="standardContextual"/>
    </w:rPr>
  </w:style>
  <w:style w:type="paragraph" w:styleId="Titre9">
    <w:name w:val="heading 9"/>
    <w:basedOn w:val="Normal"/>
    <w:next w:val="Normal"/>
    <w:link w:val="Titre9Car"/>
    <w:uiPriority w:val="9"/>
    <w:semiHidden/>
    <w:unhideWhenUsed/>
    <w:qFormat/>
    <w:rsid w:val="00706949"/>
    <w:pPr>
      <w:keepNext/>
      <w:keepLines/>
      <w:spacing w:after="0" w:line="240" w:lineRule="auto"/>
      <w:outlineLvl w:val="8"/>
    </w:pPr>
    <w:rPr>
      <w:rFonts w:eastAsiaTheme="majorEastAsia" w:cstheme="majorBidi"/>
      <w:color w:val="272727" w:themeColor="text1" w:themeTint="D8"/>
      <w:kern w:val="2"/>
      <w:sz w:val="24"/>
      <w:szCs w:val="24"/>
      <w:lang w:val="fr-FR"/>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694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0694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0694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0694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0694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0694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0694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0694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06949"/>
    <w:rPr>
      <w:rFonts w:eastAsiaTheme="majorEastAsia" w:cstheme="majorBidi"/>
      <w:color w:val="272727" w:themeColor="text1" w:themeTint="D8"/>
    </w:rPr>
  </w:style>
  <w:style w:type="paragraph" w:styleId="Titre">
    <w:name w:val="Title"/>
    <w:basedOn w:val="Normal"/>
    <w:next w:val="Normal"/>
    <w:link w:val="TitreCar"/>
    <w:uiPriority w:val="10"/>
    <w:qFormat/>
    <w:rsid w:val="00706949"/>
    <w:pPr>
      <w:spacing w:after="80" w:line="240" w:lineRule="auto"/>
      <w:contextualSpacing/>
    </w:pPr>
    <w:rPr>
      <w:rFonts w:asciiTheme="majorHAnsi" w:eastAsiaTheme="majorEastAsia" w:hAnsiTheme="majorHAnsi" w:cstheme="majorBidi"/>
      <w:spacing w:val="-10"/>
      <w:kern w:val="28"/>
      <w:sz w:val="56"/>
      <w:szCs w:val="56"/>
      <w:lang w:val="fr-FR"/>
      <w14:ligatures w14:val="standardContextual"/>
    </w:rPr>
  </w:style>
  <w:style w:type="character" w:customStyle="1" w:styleId="TitreCar">
    <w:name w:val="Titre Car"/>
    <w:basedOn w:val="Policepardfaut"/>
    <w:link w:val="Titre"/>
    <w:uiPriority w:val="10"/>
    <w:rsid w:val="0070694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06949"/>
    <w:pPr>
      <w:numPr>
        <w:ilvl w:val="1"/>
      </w:numPr>
      <w:spacing w:line="240" w:lineRule="auto"/>
    </w:pPr>
    <w:rPr>
      <w:rFonts w:eastAsiaTheme="majorEastAsia" w:cstheme="majorBidi"/>
      <w:color w:val="595959" w:themeColor="text1" w:themeTint="A6"/>
      <w:spacing w:val="15"/>
      <w:kern w:val="2"/>
      <w:sz w:val="28"/>
      <w:szCs w:val="28"/>
      <w:lang w:val="fr-FR"/>
      <w14:ligatures w14:val="standardContextual"/>
    </w:rPr>
  </w:style>
  <w:style w:type="character" w:customStyle="1" w:styleId="Sous-titreCar">
    <w:name w:val="Sous-titre Car"/>
    <w:basedOn w:val="Policepardfaut"/>
    <w:link w:val="Sous-titre"/>
    <w:uiPriority w:val="11"/>
    <w:rsid w:val="0070694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06949"/>
    <w:pPr>
      <w:spacing w:before="160" w:line="240" w:lineRule="auto"/>
      <w:jc w:val="center"/>
    </w:pPr>
    <w:rPr>
      <w:i/>
      <w:iCs/>
      <w:color w:val="404040" w:themeColor="text1" w:themeTint="BF"/>
      <w:kern w:val="2"/>
      <w:sz w:val="24"/>
      <w:szCs w:val="24"/>
      <w:lang w:val="fr-FR"/>
      <w14:ligatures w14:val="standardContextual"/>
    </w:rPr>
  </w:style>
  <w:style w:type="character" w:customStyle="1" w:styleId="CitationCar">
    <w:name w:val="Citation Car"/>
    <w:basedOn w:val="Policepardfaut"/>
    <w:link w:val="Citation"/>
    <w:uiPriority w:val="29"/>
    <w:rsid w:val="00706949"/>
    <w:rPr>
      <w:i/>
      <w:iCs/>
      <w:color w:val="404040" w:themeColor="text1" w:themeTint="BF"/>
    </w:rPr>
  </w:style>
  <w:style w:type="paragraph" w:styleId="Paragraphedeliste">
    <w:name w:val="List Paragraph"/>
    <w:basedOn w:val="Normal"/>
    <w:uiPriority w:val="34"/>
    <w:qFormat/>
    <w:rsid w:val="00706949"/>
    <w:pPr>
      <w:spacing w:after="0" w:line="240" w:lineRule="auto"/>
      <w:ind w:left="720"/>
      <w:contextualSpacing/>
    </w:pPr>
    <w:rPr>
      <w:kern w:val="2"/>
      <w:sz w:val="24"/>
      <w:szCs w:val="24"/>
      <w:lang w:val="fr-FR"/>
      <w14:ligatures w14:val="standardContextual"/>
    </w:rPr>
  </w:style>
  <w:style w:type="character" w:styleId="Accentuationintense">
    <w:name w:val="Intense Emphasis"/>
    <w:basedOn w:val="Policepardfaut"/>
    <w:uiPriority w:val="21"/>
    <w:qFormat/>
    <w:rsid w:val="00706949"/>
    <w:rPr>
      <w:i/>
      <w:iCs/>
      <w:color w:val="0F4761" w:themeColor="accent1" w:themeShade="BF"/>
    </w:rPr>
  </w:style>
  <w:style w:type="paragraph" w:styleId="Citationintense">
    <w:name w:val="Intense Quote"/>
    <w:basedOn w:val="Normal"/>
    <w:next w:val="Normal"/>
    <w:link w:val="CitationintenseCar"/>
    <w:uiPriority w:val="30"/>
    <w:qFormat/>
    <w:rsid w:val="00706949"/>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lang w:val="fr-FR"/>
      <w14:ligatures w14:val="standardContextual"/>
    </w:rPr>
  </w:style>
  <w:style w:type="character" w:customStyle="1" w:styleId="CitationintenseCar">
    <w:name w:val="Citation intense Car"/>
    <w:basedOn w:val="Policepardfaut"/>
    <w:link w:val="Citationintense"/>
    <w:uiPriority w:val="30"/>
    <w:rsid w:val="00706949"/>
    <w:rPr>
      <w:i/>
      <w:iCs/>
      <w:color w:val="0F4761" w:themeColor="accent1" w:themeShade="BF"/>
    </w:rPr>
  </w:style>
  <w:style w:type="character" w:styleId="Rfrenceintense">
    <w:name w:val="Intense Reference"/>
    <w:basedOn w:val="Policepardfaut"/>
    <w:uiPriority w:val="32"/>
    <w:qFormat/>
    <w:rsid w:val="00706949"/>
    <w:rPr>
      <w:b/>
      <w:bCs/>
      <w:smallCaps/>
      <w:color w:val="0F4761" w:themeColor="accent1" w:themeShade="BF"/>
      <w:spacing w:val="5"/>
    </w:rPr>
  </w:style>
  <w:style w:type="character" w:customStyle="1" w:styleId="ng-star-inserted">
    <w:name w:val="ng-star-inserted"/>
    <w:basedOn w:val="Policepardfaut"/>
    <w:rsid w:val="00706949"/>
  </w:style>
  <w:style w:type="character" w:styleId="Lienhypertexte">
    <w:name w:val="Hyperlink"/>
    <w:basedOn w:val="Policepardfaut"/>
    <w:uiPriority w:val="99"/>
    <w:unhideWhenUsed/>
    <w:rsid w:val="00706949"/>
    <w:rPr>
      <w:color w:val="0000FF"/>
      <w:u w:val="single"/>
    </w:rPr>
  </w:style>
  <w:style w:type="paragraph" w:customStyle="1" w:styleId="EndNoteBibliography">
    <w:name w:val="EndNote Bibliography"/>
    <w:basedOn w:val="Normal"/>
    <w:link w:val="EndNoteBibliographyCar"/>
    <w:rsid w:val="00F458C5"/>
    <w:pPr>
      <w:spacing w:line="240" w:lineRule="auto"/>
      <w:jc w:val="both"/>
    </w:pPr>
    <w:rPr>
      <w:rFonts w:ascii="Calibri" w:hAnsi="Calibri" w:cs="Calibri"/>
    </w:rPr>
  </w:style>
  <w:style w:type="character" w:customStyle="1" w:styleId="EndNoteBibliographyCar">
    <w:name w:val="EndNote Bibliography Car"/>
    <w:basedOn w:val="Policepardfaut"/>
    <w:link w:val="EndNoteBibliography"/>
    <w:rsid w:val="00F458C5"/>
    <w:rPr>
      <w:rFonts w:ascii="Calibri" w:hAnsi="Calibri" w:cs="Calibri"/>
      <w:kern w:val="0"/>
      <w:sz w:val="22"/>
      <w:szCs w:val="22"/>
      <w:lang w:val="en-US"/>
      <w14:ligatures w14:val="none"/>
    </w:rPr>
  </w:style>
  <w:style w:type="character" w:customStyle="1" w:styleId="apple-converted-space">
    <w:name w:val="apple-converted-space"/>
    <w:basedOn w:val="Policepardfaut"/>
    <w:rsid w:val="00B97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hyperlink" Target="mailto:souleiman.elbalkhi@chu-limoges.fr" TargetMode="Externa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1262</Words>
  <Characters>6944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Souleiman EL BALKHI</dc:creator>
  <cp:keywords/>
  <dc:description/>
  <cp:lastModifiedBy>Souleiman EL BALKHI</cp:lastModifiedBy>
  <cp:revision>2</cp:revision>
  <dcterms:created xsi:type="dcterms:W3CDTF">2026-04-09T16:09:00Z</dcterms:created>
  <dcterms:modified xsi:type="dcterms:W3CDTF">2026-04-09T16:09:00Z</dcterms:modified>
</cp:coreProperties>
</file>