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973" w:rsidRDefault="00E43973" w:rsidP="00E43973">
      <w:pPr>
        <w:spacing w:line="240" w:lineRule="auto"/>
        <w:jc w:val="both"/>
        <w:rPr>
          <w:sz w:val="24"/>
          <w:szCs w:val="24"/>
        </w:rPr>
      </w:pPr>
      <w:bookmarkStart w:id="0" w:name="_GoBack"/>
      <w:bookmarkEnd w:id="0"/>
      <w:proofErr w:type="spellStart"/>
      <w:r>
        <w:rPr>
          <w:sz w:val="24"/>
          <w:szCs w:val="24"/>
        </w:rPr>
        <w:t>Supplementary</w:t>
      </w:r>
      <w:proofErr w:type="spellEnd"/>
      <w:r>
        <w:rPr>
          <w:sz w:val="24"/>
          <w:szCs w:val="24"/>
        </w:rPr>
        <w:t xml:space="preserve"> material</w:t>
      </w:r>
    </w:p>
    <w:p w:rsidR="00E43973" w:rsidRDefault="00E43973" w:rsidP="00E43973">
      <w:pPr>
        <w:spacing w:line="240" w:lineRule="auto"/>
        <w:jc w:val="both"/>
        <w:rPr>
          <w:sz w:val="24"/>
          <w:szCs w:val="24"/>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975"/>
        <w:gridCol w:w="1110"/>
        <w:gridCol w:w="1305"/>
        <w:gridCol w:w="1605"/>
        <w:gridCol w:w="1395"/>
      </w:tblGrid>
      <w:tr w:rsidR="00E43973" w:rsidTr="005826C8">
        <w:trPr>
          <w:trHeight w:val="625"/>
        </w:trPr>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proofErr w:type="spellStart"/>
            <w:r>
              <w:rPr>
                <w:sz w:val="24"/>
                <w:szCs w:val="24"/>
              </w:rPr>
              <w:t>Fatty</w:t>
            </w:r>
            <w:proofErr w:type="spellEnd"/>
            <w:r>
              <w:rPr>
                <w:sz w:val="24"/>
                <w:szCs w:val="24"/>
              </w:rPr>
              <w:t xml:space="preserve"> </w:t>
            </w:r>
            <w:proofErr w:type="spellStart"/>
            <w:r>
              <w:rPr>
                <w:sz w:val="24"/>
                <w:szCs w:val="24"/>
              </w:rPr>
              <w:t>acid</w:t>
            </w:r>
            <w:proofErr w:type="spellEnd"/>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rFonts w:ascii="Cambria Math" w:eastAsia="Cambria Math" w:hAnsi="Cambria Math" w:cs="Cambria Math"/>
                <w:sz w:val="24"/>
                <w:szCs w:val="24"/>
              </w:rPr>
              <w:t>𝜒</w:t>
            </w:r>
            <w:r>
              <w:rPr>
                <w:sz w:val="24"/>
                <w:szCs w:val="24"/>
                <w:vertAlign w:val="superscript"/>
              </w:rPr>
              <w:t>2</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 xml:space="preserve">p </w:t>
            </w:r>
            <w:proofErr w:type="spellStart"/>
            <w:r>
              <w:rPr>
                <w:sz w:val="24"/>
                <w:szCs w:val="24"/>
              </w:rPr>
              <w:t>value</w:t>
            </w:r>
            <w:proofErr w:type="spellEnd"/>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proofErr w:type="spellStart"/>
            <w:r>
              <w:rPr>
                <w:sz w:val="24"/>
                <w:szCs w:val="24"/>
              </w:rPr>
              <w:t>Cornmeal</w:t>
            </w:r>
            <w:proofErr w:type="spellEnd"/>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i/>
                <w:iCs/>
                <w:sz w:val="24"/>
                <w:szCs w:val="24"/>
              </w:rPr>
            </w:pPr>
            <w:r>
              <w:rPr>
                <w:i/>
                <w:iCs/>
                <w:sz w:val="24"/>
                <w:szCs w:val="24"/>
              </w:rPr>
              <w:t xml:space="preserve">O. </w:t>
            </w:r>
            <w:proofErr w:type="spellStart"/>
            <w:r>
              <w:rPr>
                <w:i/>
                <w:iCs/>
                <w:sz w:val="24"/>
                <w:szCs w:val="24"/>
              </w:rPr>
              <w:t>sulphurea</w:t>
            </w:r>
            <w:proofErr w:type="spellEnd"/>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proofErr w:type="spellStart"/>
            <w:r>
              <w:rPr>
                <w:sz w:val="24"/>
                <w:szCs w:val="24"/>
              </w:rPr>
              <w:t>Potato</w:t>
            </w:r>
            <w:proofErr w:type="spellEnd"/>
          </w:p>
        </w:tc>
      </w:tr>
      <w:tr w:rsidR="00E43973" w:rsidTr="005826C8">
        <w:trPr>
          <w:trHeight w:val="500"/>
        </w:trPr>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C10:0 (</w:t>
            </w:r>
            <w:proofErr w:type="spellStart"/>
            <w:r>
              <w:rPr>
                <w:sz w:val="24"/>
                <w:szCs w:val="24"/>
              </w:rPr>
              <w:t>Capric</w:t>
            </w:r>
            <w:proofErr w:type="spellEnd"/>
            <w:r>
              <w:rPr>
                <w:sz w:val="24"/>
                <w:szCs w:val="24"/>
              </w:rPr>
              <w:t xml:space="preserve"> </w:t>
            </w:r>
            <w:proofErr w:type="spellStart"/>
            <w:r>
              <w:rPr>
                <w:sz w:val="24"/>
                <w:szCs w:val="24"/>
              </w:rPr>
              <w:t>acid</w:t>
            </w:r>
            <w:proofErr w:type="spellEnd"/>
            <w:r>
              <w:rPr>
                <w:sz w:val="24"/>
                <w:szCs w:val="24"/>
              </w:rPr>
              <w:t>)</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2.02</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0.3636</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0.06</w:t>
            </w:r>
            <w:r>
              <w:rPr>
                <w:sz w:val="24"/>
                <w:szCs w:val="24"/>
                <w:vertAlign w:val="superscript"/>
              </w:rPr>
              <w:t>a</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0.03</w:t>
            </w:r>
            <w:r>
              <w:rPr>
                <w:sz w:val="24"/>
                <w:szCs w:val="24"/>
                <w:vertAlign w:val="superscript"/>
              </w:rPr>
              <w:t>a</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0.06</w:t>
            </w:r>
            <w:r>
              <w:rPr>
                <w:sz w:val="24"/>
                <w:szCs w:val="24"/>
                <w:vertAlign w:val="superscript"/>
              </w:rPr>
              <w:t>a</w:t>
            </w:r>
          </w:p>
        </w:tc>
      </w:tr>
      <w:tr w:rsidR="00E43973" w:rsidTr="005826C8">
        <w:trPr>
          <w:trHeight w:val="500"/>
        </w:trPr>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C12:0 (</w:t>
            </w:r>
            <w:proofErr w:type="spellStart"/>
            <w:r>
              <w:rPr>
                <w:sz w:val="24"/>
                <w:szCs w:val="24"/>
              </w:rPr>
              <w:t>Lauric</w:t>
            </w:r>
            <w:proofErr w:type="spellEnd"/>
            <w:r>
              <w:rPr>
                <w:sz w:val="24"/>
                <w:szCs w:val="24"/>
              </w:rPr>
              <w:t xml:space="preserve"> </w:t>
            </w:r>
            <w:proofErr w:type="spellStart"/>
            <w:r>
              <w:rPr>
                <w:sz w:val="24"/>
                <w:szCs w:val="24"/>
              </w:rPr>
              <w:t>acid</w:t>
            </w:r>
            <w:proofErr w:type="spellEnd"/>
            <w:r>
              <w:rPr>
                <w:sz w:val="24"/>
                <w:szCs w:val="24"/>
              </w:rPr>
              <w:t>)</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16.09</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0.0003</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4.24</w:t>
            </w:r>
            <w:r>
              <w:rPr>
                <w:sz w:val="24"/>
                <w:szCs w:val="24"/>
                <w:vertAlign w:val="superscript"/>
              </w:rPr>
              <w:t>b</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2.48</w:t>
            </w:r>
            <w:r>
              <w:rPr>
                <w:sz w:val="24"/>
                <w:szCs w:val="24"/>
                <w:vertAlign w:val="superscript"/>
              </w:rPr>
              <w:t>a</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4.23</w:t>
            </w:r>
            <w:r>
              <w:rPr>
                <w:sz w:val="24"/>
                <w:szCs w:val="24"/>
                <w:vertAlign w:val="superscript"/>
              </w:rPr>
              <w:t>b</w:t>
            </w:r>
          </w:p>
        </w:tc>
      </w:tr>
      <w:tr w:rsidR="00E43973" w:rsidTr="005826C8">
        <w:trPr>
          <w:trHeight w:val="500"/>
        </w:trPr>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C12:1 (</w:t>
            </w:r>
            <w:proofErr w:type="spellStart"/>
            <w:r>
              <w:rPr>
                <w:sz w:val="24"/>
                <w:szCs w:val="24"/>
              </w:rPr>
              <w:t>Lauroleic</w:t>
            </w:r>
            <w:proofErr w:type="spellEnd"/>
            <w:r>
              <w:rPr>
                <w:sz w:val="24"/>
                <w:szCs w:val="24"/>
              </w:rPr>
              <w:t xml:space="preserve"> </w:t>
            </w:r>
            <w:proofErr w:type="spellStart"/>
            <w:r>
              <w:rPr>
                <w:sz w:val="24"/>
                <w:szCs w:val="24"/>
              </w:rPr>
              <w:t>acid</w:t>
            </w:r>
            <w:proofErr w:type="spellEnd"/>
            <w:r>
              <w:rPr>
                <w:sz w:val="24"/>
                <w:szCs w:val="24"/>
              </w:rPr>
              <w:t>)</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23.77</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&lt;0.0001</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0.10</w:t>
            </w:r>
            <w:r>
              <w:rPr>
                <w:sz w:val="24"/>
                <w:szCs w:val="24"/>
                <w:vertAlign w:val="superscript"/>
              </w:rPr>
              <w:t>b</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0.23</w:t>
            </w:r>
            <w:r>
              <w:rPr>
                <w:sz w:val="24"/>
                <w:szCs w:val="24"/>
                <w:vertAlign w:val="superscript"/>
              </w:rPr>
              <w:t>a</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0.08</w:t>
            </w:r>
            <w:r>
              <w:rPr>
                <w:sz w:val="24"/>
                <w:szCs w:val="24"/>
                <w:vertAlign w:val="superscript"/>
              </w:rPr>
              <w:t>b</w:t>
            </w:r>
          </w:p>
        </w:tc>
      </w:tr>
      <w:tr w:rsidR="00E43973" w:rsidTr="005826C8">
        <w:trPr>
          <w:trHeight w:val="500"/>
        </w:trPr>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C13:0 (</w:t>
            </w:r>
            <w:proofErr w:type="spellStart"/>
            <w:r>
              <w:rPr>
                <w:sz w:val="24"/>
                <w:szCs w:val="24"/>
              </w:rPr>
              <w:t>Tridecylic</w:t>
            </w:r>
            <w:proofErr w:type="spellEnd"/>
            <w:r>
              <w:rPr>
                <w:sz w:val="24"/>
                <w:szCs w:val="24"/>
              </w:rPr>
              <w:t xml:space="preserve"> </w:t>
            </w:r>
            <w:proofErr w:type="spellStart"/>
            <w:r>
              <w:rPr>
                <w:sz w:val="24"/>
                <w:szCs w:val="24"/>
              </w:rPr>
              <w:t>acid</w:t>
            </w:r>
            <w:proofErr w:type="spellEnd"/>
            <w:r>
              <w:rPr>
                <w:sz w:val="24"/>
                <w:szCs w:val="24"/>
              </w:rPr>
              <w:t>)</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146.22</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&lt;0.0001</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1.28</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0.31</w:t>
            </w:r>
          </w:p>
        </w:tc>
      </w:tr>
      <w:tr w:rsidR="00E43973" w:rsidTr="005826C8">
        <w:trPr>
          <w:trHeight w:val="500"/>
        </w:trPr>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C14:0 (</w:t>
            </w:r>
            <w:proofErr w:type="spellStart"/>
            <w:r>
              <w:rPr>
                <w:sz w:val="24"/>
                <w:szCs w:val="24"/>
              </w:rPr>
              <w:t>Myristic</w:t>
            </w:r>
            <w:proofErr w:type="spellEnd"/>
            <w:r>
              <w:rPr>
                <w:sz w:val="24"/>
                <w:szCs w:val="24"/>
              </w:rPr>
              <w:t xml:space="preserve"> </w:t>
            </w:r>
            <w:proofErr w:type="spellStart"/>
            <w:r>
              <w:rPr>
                <w:sz w:val="24"/>
                <w:szCs w:val="24"/>
              </w:rPr>
              <w:t>acid</w:t>
            </w:r>
            <w:proofErr w:type="spellEnd"/>
            <w:r>
              <w:rPr>
                <w:sz w:val="24"/>
                <w:szCs w:val="24"/>
              </w:rPr>
              <w:t>)</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59.12</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&lt;0.0001</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15.71</w:t>
            </w:r>
            <w:r>
              <w:rPr>
                <w:sz w:val="24"/>
                <w:szCs w:val="24"/>
                <w:vertAlign w:val="superscript"/>
              </w:rPr>
              <w:t>b</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9.35</w:t>
            </w:r>
            <w:r>
              <w:rPr>
                <w:sz w:val="24"/>
                <w:szCs w:val="24"/>
                <w:vertAlign w:val="superscript"/>
              </w:rPr>
              <w:t>a</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17.33</w:t>
            </w:r>
            <w:r>
              <w:rPr>
                <w:sz w:val="24"/>
                <w:szCs w:val="24"/>
                <w:vertAlign w:val="superscript"/>
              </w:rPr>
              <w:t>b</w:t>
            </w:r>
          </w:p>
        </w:tc>
      </w:tr>
      <w:tr w:rsidR="00E43973" w:rsidTr="005826C8">
        <w:trPr>
          <w:trHeight w:val="500"/>
        </w:trPr>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C14:1 (</w:t>
            </w:r>
            <w:proofErr w:type="spellStart"/>
            <w:r>
              <w:rPr>
                <w:sz w:val="24"/>
                <w:szCs w:val="24"/>
              </w:rPr>
              <w:t>Myristoleic</w:t>
            </w:r>
            <w:proofErr w:type="spellEnd"/>
            <w:r>
              <w:rPr>
                <w:sz w:val="24"/>
                <w:szCs w:val="24"/>
              </w:rPr>
              <w:t xml:space="preserve"> </w:t>
            </w:r>
            <w:proofErr w:type="spellStart"/>
            <w:r>
              <w:rPr>
                <w:sz w:val="24"/>
                <w:szCs w:val="24"/>
              </w:rPr>
              <w:t>acid</w:t>
            </w:r>
            <w:proofErr w:type="spellEnd"/>
            <w:r>
              <w:rPr>
                <w:sz w:val="24"/>
                <w:szCs w:val="24"/>
              </w:rPr>
              <w:t>)</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22.68</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&lt;0.0001</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0.63</w:t>
            </w:r>
            <w:r>
              <w:rPr>
                <w:sz w:val="24"/>
                <w:szCs w:val="24"/>
                <w:vertAlign w:val="superscript"/>
              </w:rPr>
              <w:t>a</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0.09</w:t>
            </w:r>
            <w:r>
              <w:rPr>
                <w:sz w:val="24"/>
                <w:szCs w:val="24"/>
                <w:vertAlign w:val="superscript"/>
              </w:rPr>
              <w:t>b</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0.37</w:t>
            </w:r>
            <w:r>
              <w:rPr>
                <w:sz w:val="24"/>
                <w:szCs w:val="24"/>
                <w:vertAlign w:val="superscript"/>
              </w:rPr>
              <w:t>ab</w:t>
            </w:r>
          </w:p>
        </w:tc>
      </w:tr>
      <w:tr w:rsidR="00E43973" w:rsidTr="005826C8">
        <w:trPr>
          <w:trHeight w:val="500"/>
        </w:trPr>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C16:0 (</w:t>
            </w:r>
            <w:proofErr w:type="spellStart"/>
            <w:r>
              <w:rPr>
                <w:sz w:val="24"/>
                <w:szCs w:val="24"/>
              </w:rPr>
              <w:t>Palmitic</w:t>
            </w:r>
            <w:proofErr w:type="spellEnd"/>
            <w:r>
              <w:rPr>
                <w:sz w:val="24"/>
                <w:szCs w:val="24"/>
              </w:rPr>
              <w:t xml:space="preserve"> </w:t>
            </w:r>
            <w:proofErr w:type="spellStart"/>
            <w:r>
              <w:rPr>
                <w:sz w:val="24"/>
                <w:szCs w:val="24"/>
              </w:rPr>
              <w:t>acid</w:t>
            </w:r>
            <w:proofErr w:type="spellEnd"/>
            <w:r>
              <w:rPr>
                <w:sz w:val="24"/>
                <w:szCs w:val="24"/>
              </w:rPr>
              <w:t>)</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189.48</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&lt;0.0001</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22.61</w:t>
            </w:r>
            <w:r>
              <w:rPr>
                <w:sz w:val="24"/>
                <w:szCs w:val="24"/>
                <w:vertAlign w:val="superscript"/>
              </w:rPr>
              <w:t>a</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23.79</w:t>
            </w:r>
            <w:r>
              <w:rPr>
                <w:sz w:val="24"/>
                <w:szCs w:val="24"/>
                <w:vertAlign w:val="superscript"/>
              </w:rPr>
              <w:t>a</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28.86</w:t>
            </w:r>
            <w:r>
              <w:rPr>
                <w:sz w:val="24"/>
                <w:szCs w:val="24"/>
                <w:vertAlign w:val="superscript"/>
              </w:rPr>
              <w:t>b</w:t>
            </w:r>
          </w:p>
        </w:tc>
      </w:tr>
      <w:tr w:rsidR="00E43973" w:rsidTr="005826C8">
        <w:trPr>
          <w:trHeight w:val="500"/>
        </w:trPr>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C16:1 (</w:t>
            </w:r>
            <w:proofErr w:type="spellStart"/>
            <w:r>
              <w:rPr>
                <w:sz w:val="24"/>
                <w:szCs w:val="24"/>
              </w:rPr>
              <w:t>Palmitoleic</w:t>
            </w:r>
            <w:proofErr w:type="spellEnd"/>
            <w:r>
              <w:rPr>
                <w:sz w:val="24"/>
                <w:szCs w:val="24"/>
              </w:rPr>
              <w:t xml:space="preserve"> </w:t>
            </w:r>
            <w:proofErr w:type="spellStart"/>
            <w:r>
              <w:rPr>
                <w:sz w:val="24"/>
                <w:szCs w:val="24"/>
              </w:rPr>
              <w:t>acid</w:t>
            </w:r>
            <w:proofErr w:type="spellEnd"/>
            <w:r>
              <w:rPr>
                <w:sz w:val="24"/>
                <w:szCs w:val="24"/>
              </w:rPr>
              <w:t>)</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416.80</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&lt;0.0001</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21.64</w:t>
            </w:r>
            <w:r>
              <w:rPr>
                <w:sz w:val="24"/>
                <w:szCs w:val="24"/>
                <w:vertAlign w:val="superscript"/>
              </w:rPr>
              <w:t>a</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11.22</w:t>
            </w:r>
            <w:r>
              <w:rPr>
                <w:sz w:val="24"/>
                <w:szCs w:val="24"/>
                <w:vertAlign w:val="superscript"/>
              </w:rPr>
              <w:t>b</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16.52</w:t>
            </w:r>
            <w:r>
              <w:rPr>
                <w:sz w:val="24"/>
                <w:szCs w:val="24"/>
                <w:vertAlign w:val="superscript"/>
              </w:rPr>
              <w:t>c</w:t>
            </w:r>
          </w:p>
        </w:tc>
      </w:tr>
      <w:tr w:rsidR="00E43973" w:rsidTr="005826C8">
        <w:trPr>
          <w:trHeight w:val="500"/>
        </w:trPr>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C18:0 (</w:t>
            </w:r>
            <w:proofErr w:type="spellStart"/>
            <w:r>
              <w:rPr>
                <w:sz w:val="24"/>
                <w:szCs w:val="24"/>
              </w:rPr>
              <w:t>Stearic</w:t>
            </w:r>
            <w:proofErr w:type="spellEnd"/>
            <w:r>
              <w:rPr>
                <w:sz w:val="24"/>
                <w:szCs w:val="24"/>
              </w:rPr>
              <w:t xml:space="preserve"> </w:t>
            </w:r>
            <w:proofErr w:type="spellStart"/>
            <w:r>
              <w:rPr>
                <w:sz w:val="24"/>
                <w:szCs w:val="24"/>
              </w:rPr>
              <w:t>acid</w:t>
            </w:r>
            <w:proofErr w:type="spellEnd"/>
            <w:r>
              <w:rPr>
                <w:sz w:val="24"/>
                <w:szCs w:val="24"/>
              </w:rPr>
              <w:t>)</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335.15</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&lt;0.0001</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1.47</w:t>
            </w:r>
            <w:r>
              <w:rPr>
                <w:sz w:val="24"/>
                <w:szCs w:val="24"/>
                <w:vertAlign w:val="superscript"/>
              </w:rPr>
              <w:t>a</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2.87</w:t>
            </w:r>
            <w:r>
              <w:rPr>
                <w:sz w:val="24"/>
                <w:szCs w:val="24"/>
                <w:vertAlign w:val="superscript"/>
              </w:rPr>
              <w:t>b</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1.89</w:t>
            </w:r>
            <w:r>
              <w:rPr>
                <w:sz w:val="24"/>
                <w:szCs w:val="24"/>
                <w:vertAlign w:val="superscript"/>
              </w:rPr>
              <w:t>c</w:t>
            </w:r>
          </w:p>
        </w:tc>
      </w:tr>
      <w:tr w:rsidR="00E43973" w:rsidTr="005826C8">
        <w:trPr>
          <w:trHeight w:val="500"/>
        </w:trPr>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C18:1 (</w:t>
            </w:r>
            <w:proofErr w:type="spellStart"/>
            <w:r>
              <w:rPr>
                <w:sz w:val="24"/>
                <w:szCs w:val="24"/>
              </w:rPr>
              <w:t>Oleic</w:t>
            </w:r>
            <w:proofErr w:type="spellEnd"/>
            <w:r>
              <w:rPr>
                <w:sz w:val="24"/>
                <w:szCs w:val="24"/>
              </w:rPr>
              <w:t xml:space="preserve"> </w:t>
            </w:r>
            <w:proofErr w:type="spellStart"/>
            <w:r>
              <w:rPr>
                <w:sz w:val="24"/>
                <w:szCs w:val="24"/>
              </w:rPr>
              <w:t>acid</w:t>
            </w:r>
            <w:proofErr w:type="spellEnd"/>
            <w:r>
              <w:rPr>
                <w:sz w:val="24"/>
                <w:szCs w:val="24"/>
              </w:rPr>
              <w:t>)</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12.92</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0.0016</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26.88</w:t>
            </w:r>
            <w:r>
              <w:rPr>
                <w:sz w:val="24"/>
                <w:szCs w:val="24"/>
                <w:vertAlign w:val="superscript"/>
              </w:rPr>
              <w:t>a</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23.90</w:t>
            </w:r>
            <w:r>
              <w:rPr>
                <w:sz w:val="24"/>
                <w:szCs w:val="24"/>
                <w:vertAlign w:val="superscript"/>
              </w:rPr>
              <w:t>ab</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23.12</w:t>
            </w:r>
            <w:r>
              <w:rPr>
                <w:sz w:val="24"/>
                <w:szCs w:val="24"/>
                <w:vertAlign w:val="superscript"/>
              </w:rPr>
              <w:t>b</w:t>
            </w:r>
          </w:p>
        </w:tc>
      </w:tr>
      <w:tr w:rsidR="00E43973" w:rsidTr="005826C8">
        <w:trPr>
          <w:trHeight w:val="500"/>
        </w:trPr>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C18:2 (</w:t>
            </w:r>
            <w:proofErr w:type="spellStart"/>
            <w:r>
              <w:rPr>
                <w:sz w:val="24"/>
                <w:szCs w:val="24"/>
              </w:rPr>
              <w:t>Linoleic</w:t>
            </w:r>
            <w:proofErr w:type="spellEnd"/>
            <w:r>
              <w:rPr>
                <w:sz w:val="24"/>
                <w:szCs w:val="24"/>
              </w:rPr>
              <w:t xml:space="preserve"> </w:t>
            </w:r>
            <w:proofErr w:type="spellStart"/>
            <w:r>
              <w:rPr>
                <w:sz w:val="24"/>
                <w:szCs w:val="24"/>
              </w:rPr>
              <w:t>acid</w:t>
            </w:r>
            <w:proofErr w:type="spellEnd"/>
            <w:r>
              <w:rPr>
                <w:sz w:val="24"/>
                <w:szCs w:val="24"/>
              </w:rPr>
              <w:t>)</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95.26</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&lt;0.0001</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6.19</w:t>
            </w:r>
            <w:r>
              <w:rPr>
                <w:sz w:val="24"/>
                <w:szCs w:val="24"/>
                <w:vertAlign w:val="superscript"/>
              </w:rPr>
              <w:t>b</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12.34</w:t>
            </w:r>
            <w:r>
              <w:rPr>
                <w:sz w:val="24"/>
                <w:szCs w:val="24"/>
                <w:vertAlign w:val="superscript"/>
              </w:rPr>
              <w:t>a</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5.31</w:t>
            </w:r>
            <w:r>
              <w:rPr>
                <w:sz w:val="24"/>
                <w:szCs w:val="24"/>
                <w:vertAlign w:val="superscript"/>
              </w:rPr>
              <w:t>b</w:t>
            </w:r>
          </w:p>
        </w:tc>
      </w:tr>
      <w:tr w:rsidR="00E43973" w:rsidTr="005826C8">
        <w:trPr>
          <w:trHeight w:val="500"/>
        </w:trPr>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C18:3 (</w:t>
            </w:r>
            <w:r>
              <w:rPr>
                <w:color w:val="1F1F1F"/>
                <w:sz w:val="24"/>
                <w:szCs w:val="24"/>
                <w:highlight w:val="white"/>
              </w:rPr>
              <w:t>α-</w:t>
            </w:r>
            <w:proofErr w:type="spellStart"/>
            <w:r>
              <w:rPr>
                <w:sz w:val="24"/>
                <w:szCs w:val="24"/>
              </w:rPr>
              <w:t>Linolenic</w:t>
            </w:r>
            <w:proofErr w:type="spellEnd"/>
            <w:r>
              <w:rPr>
                <w:sz w:val="24"/>
                <w:szCs w:val="24"/>
              </w:rPr>
              <w:t xml:space="preserve"> </w:t>
            </w:r>
            <w:proofErr w:type="spellStart"/>
            <w:r>
              <w:rPr>
                <w:sz w:val="24"/>
                <w:szCs w:val="24"/>
              </w:rPr>
              <w:t>acid</w:t>
            </w:r>
            <w:proofErr w:type="spellEnd"/>
            <w:r>
              <w:rPr>
                <w:sz w:val="24"/>
                <w:szCs w:val="24"/>
              </w:rPr>
              <w:t>)</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230.43</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&lt;0.0001</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0.47</w:t>
            </w:r>
            <w:r>
              <w:rPr>
                <w:sz w:val="24"/>
                <w:szCs w:val="24"/>
                <w:vertAlign w:val="superscript"/>
              </w:rPr>
              <w:t>b</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12.41</w:t>
            </w:r>
            <w:r>
              <w:rPr>
                <w:sz w:val="24"/>
                <w:szCs w:val="24"/>
                <w:vertAlign w:val="superscript"/>
              </w:rPr>
              <w:t>a</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1.92</w:t>
            </w:r>
            <w:r>
              <w:rPr>
                <w:sz w:val="24"/>
                <w:szCs w:val="24"/>
                <w:vertAlign w:val="superscript"/>
              </w:rPr>
              <w:t>b</w:t>
            </w:r>
          </w:p>
        </w:tc>
      </w:tr>
      <w:tr w:rsidR="00E43973" w:rsidTr="005826C8">
        <w:trPr>
          <w:trHeight w:val="500"/>
        </w:trPr>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proofErr w:type="spellStart"/>
            <w:r>
              <w:rPr>
                <w:sz w:val="24"/>
                <w:szCs w:val="24"/>
              </w:rPr>
              <w:t>MUFAs</w:t>
            </w:r>
            <w:proofErr w:type="spellEnd"/>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168.55</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&lt;0.0001</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49.25</w:t>
            </w:r>
            <w:r>
              <w:rPr>
                <w:sz w:val="24"/>
                <w:szCs w:val="24"/>
                <w:vertAlign w:val="superscript"/>
              </w:rPr>
              <w:t>a</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35.44</w:t>
            </w:r>
            <w:r>
              <w:rPr>
                <w:sz w:val="24"/>
                <w:szCs w:val="24"/>
                <w:vertAlign w:val="superscript"/>
              </w:rPr>
              <w:t>b</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40.09</w:t>
            </w:r>
            <w:r>
              <w:rPr>
                <w:sz w:val="24"/>
                <w:szCs w:val="24"/>
                <w:vertAlign w:val="superscript"/>
              </w:rPr>
              <w:t>c</w:t>
            </w:r>
          </w:p>
        </w:tc>
      </w:tr>
      <w:tr w:rsidR="00E43973" w:rsidTr="005826C8">
        <w:trPr>
          <w:trHeight w:val="500"/>
        </w:trPr>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proofErr w:type="spellStart"/>
            <w:r>
              <w:rPr>
                <w:sz w:val="24"/>
                <w:szCs w:val="24"/>
              </w:rPr>
              <w:t>PUFAs</w:t>
            </w:r>
            <w:proofErr w:type="spellEnd"/>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94.76</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&lt;0.0001</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6.66</w:t>
            </w:r>
            <w:r>
              <w:rPr>
                <w:sz w:val="24"/>
                <w:szCs w:val="24"/>
                <w:vertAlign w:val="superscript"/>
              </w:rPr>
              <w:t>b</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24.75</w:t>
            </w:r>
            <w:r>
              <w:rPr>
                <w:sz w:val="24"/>
                <w:szCs w:val="24"/>
                <w:vertAlign w:val="superscript"/>
              </w:rPr>
              <w:t>a</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7.22</w:t>
            </w:r>
            <w:r>
              <w:rPr>
                <w:sz w:val="24"/>
                <w:szCs w:val="24"/>
                <w:vertAlign w:val="superscript"/>
              </w:rPr>
              <w:t>b</w:t>
            </w:r>
          </w:p>
        </w:tc>
      </w:tr>
      <w:tr w:rsidR="00E43973" w:rsidTr="005826C8">
        <w:trPr>
          <w:trHeight w:val="500"/>
        </w:trPr>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proofErr w:type="spellStart"/>
            <w:r>
              <w:rPr>
                <w:sz w:val="24"/>
                <w:szCs w:val="24"/>
              </w:rPr>
              <w:t>SFAs</w:t>
            </w:r>
            <w:proofErr w:type="spellEnd"/>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34.28</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&lt;0.0001</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44.09</w:t>
            </w:r>
            <w:r>
              <w:rPr>
                <w:sz w:val="24"/>
                <w:szCs w:val="24"/>
                <w:vertAlign w:val="superscript"/>
              </w:rPr>
              <w:t>a</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39.81</w:t>
            </w:r>
            <w:r>
              <w:rPr>
                <w:sz w:val="24"/>
                <w:szCs w:val="24"/>
                <w:vertAlign w:val="superscript"/>
              </w:rPr>
              <w:t>a</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52.68</w:t>
            </w:r>
            <w:r>
              <w:rPr>
                <w:sz w:val="24"/>
                <w:szCs w:val="24"/>
                <w:vertAlign w:val="superscript"/>
              </w:rPr>
              <w:t>b</w:t>
            </w:r>
          </w:p>
        </w:tc>
      </w:tr>
      <w:tr w:rsidR="00E43973" w:rsidTr="005826C8">
        <w:trPr>
          <w:trHeight w:val="500"/>
        </w:trPr>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proofErr w:type="spellStart"/>
            <w:r>
              <w:rPr>
                <w:sz w:val="24"/>
                <w:szCs w:val="24"/>
              </w:rPr>
              <w:t>UFAs</w:t>
            </w:r>
            <w:proofErr w:type="spellEnd"/>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34.28</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&lt;0.0001</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55.91</w:t>
            </w:r>
            <w:r>
              <w:rPr>
                <w:sz w:val="24"/>
                <w:szCs w:val="24"/>
                <w:vertAlign w:val="superscript"/>
              </w:rPr>
              <w:t>a</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60.19</w:t>
            </w:r>
            <w:r>
              <w:rPr>
                <w:sz w:val="24"/>
                <w:szCs w:val="24"/>
                <w:vertAlign w:val="superscript"/>
              </w:rPr>
              <w:t>a</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47.32</w:t>
            </w:r>
            <w:r>
              <w:rPr>
                <w:sz w:val="24"/>
                <w:szCs w:val="24"/>
                <w:vertAlign w:val="superscript"/>
              </w:rPr>
              <w:t>b</w:t>
            </w:r>
          </w:p>
        </w:tc>
      </w:tr>
      <w:tr w:rsidR="00E43973" w:rsidTr="005826C8">
        <w:trPr>
          <w:trHeight w:val="500"/>
        </w:trPr>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 xml:space="preserve">UFA/SFA ratio </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23.93</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&lt;0.0001</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1.27</w:t>
            </w:r>
            <w:r>
              <w:rPr>
                <w:sz w:val="24"/>
                <w:szCs w:val="24"/>
                <w:vertAlign w:val="superscript"/>
              </w:rPr>
              <w:t>ab</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1.54</w:t>
            </w:r>
            <w:r>
              <w:rPr>
                <w:sz w:val="24"/>
                <w:szCs w:val="24"/>
                <w:vertAlign w:val="superscript"/>
              </w:rPr>
              <w:t>a</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vertAlign w:val="superscript"/>
              </w:rPr>
            </w:pPr>
            <w:r>
              <w:rPr>
                <w:sz w:val="24"/>
                <w:szCs w:val="24"/>
              </w:rPr>
              <w:t>0.90</w:t>
            </w:r>
            <w:r>
              <w:rPr>
                <w:sz w:val="24"/>
                <w:szCs w:val="24"/>
                <w:vertAlign w:val="superscript"/>
              </w:rPr>
              <w:t>b</w:t>
            </w:r>
          </w:p>
        </w:tc>
      </w:tr>
      <w:tr w:rsidR="00E43973" w:rsidTr="005826C8">
        <w:trPr>
          <w:trHeight w:val="500"/>
        </w:trPr>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lastRenderedPageBreak/>
              <w:t>MUFA/PUFA ratio</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243.46</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&lt;0.0001</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0.13</w:t>
            </w:r>
            <w:r>
              <w:rPr>
                <w:sz w:val="24"/>
                <w:szCs w:val="24"/>
                <w:vertAlign w:val="superscript"/>
              </w:rPr>
              <w:t>b</w:t>
            </w:r>
          </w:p>
        </w:tc>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0.70</w:t>
            </w:r>
            <w:r>
              <w:rPr>
                <w:sz w:val="24"/>
                <w:szCs w:val="24"/>
                <w:vertAlign w:val="superscript"/>
              </w:rPr>
              <w:t>a</w:t>
            </w:r>
          </w:p>
        </w:tc>
        <w:tc>
          <w:tcPr>
            <w:tcW w:w="1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43973" w:rsidRDefault="00E43973" w:rsidP="005826C8">
            <w:pPr>
              <w:spacing w:line="240" w:lineRule="auto"/>
              <w:jc w:val="center"/>
              <w:rPr>
                <w:sz w:val="24"/>
                <w:szCs w:val="24"/>
              </w:rPr>
            </w:pPr>
            <w:r>
              <w:rPr>
                <w:sz w:val="24"/>
                <w:szCs w:val="24"/>
              </w:rPr>
              <w:t>0.18</w:t>
            </w:r>
            <w:r>
              <w:rPr>
                <w:sz w:val="24"/>
                <w:szCs w:val="24"/>
                <w:vertAlign w:val="superscript"/>
              </w:rPr>
              <w:t>b</w:t>
            </w:r>
          </w:p>
        </w:tc>
      </w:tr>
    </w:tbl>
    <w:p w:rsidR="00E43973" w:rsidRPr="00654CEA" w:rsidRDefault="00E43973" w:rsidP="00E43973">
      <w:pPr>
        <w:spacing w:line="240" w:lineRule="auto"/>
        <w:jc w:val="both"/>
        <w:rPr>
          <w:lang w:val="en-US"/>
        </w:rPr>
      </w:pPr>
      <w:r>
        <w:rPr>
          <w:sz w:val="24"/>
          <w:szCs w:val="24"/>
          <w:lang w:val="en-US"/>
        </w:rPr>
        <w:cr/>
      </w:r>
      <w:r w:rsidRPr="00654CEA">
        <w:rPr>
          <w:b/>
          <w:bCs/>
          <w:sz w:val="24"/>
          <w:szCs w:val="24"/>
          <w:lang w:val="en-US"/>
        </w:rPr>
        <w:t>Table S1.</w:t>
      </w:r>
      <w:r w:rsidRPr="00654CEA">
        <w:rPr>
          <w:sz w:val="24"/>
          <w:szCs w:val="24"/>
          <w:lang w:val="en-US"/>
        </w:rPr>
        <w:t xml:space="preserve"> Summary of analyses of variance by variable. Mean values calculated for each developmental diet. Superscript letters indicate significant differences in </w:t>
      </w:r>
      <w:r w:rsidRPr="00654CEA">
        <w:rPr>
          <w:i/>
          <w:iCs/>
          <w:sz w:val="24"/>
          <w:szCs w:val="24"/>
          <w:lang w:val="en-US"/>
        </w:rPr>
        <w:t>post hoc</w:t>
      </w:r>
      <w:r w:rsidRPr="00654CEA">
        <w:rPr>
          <w:sz w:val="24"/>
          <w:szCs w:val="24"/>
          <w:lang w:val="en-US"/>
        </w:rPr>
        <w:t xml:space="preserve"> tests. MUFAs, PUFAs, SFAs and UFAs stand for Monounsaturated, Polyunsaturated, Saturated and Unsaturated fatty acids, respectively. Values represent the average percentage of each fatty acid and fatty acid class over total fatty acid fraction (% FA/FA </w:t>
      </w:r>
      <w:r w:rsidRPr="00654CEA">
        <w:rPr>
          <w:sz w:val="24"/>
          <w:szCs w:val="24"/>
          <w:vertAlign w:val="subscript"/>
          <w:lang w:val="en-US"/>
        </w:rPr>
        <w:t>total</w:t>
      </w:r>
      <w:r w:rsidRPr="00654CEA">
        <w:rPr>
          <w:sz w:val="24"/>
          <w:szCs w:val="24"/>
          <w:lang w:val="en-US"/>
        </w:rPr>
        <w:t>), except for the UFA/SFA and MUFA/PUFA ratios, which have no units.</w:t>
      </w:r>
      <w:r>
        <w:rPr>
          <w:lang w:val="en-US"/>
        </w:rPr>
        <w:cr/>
      </w:r>
      <w:r>
        <w:rPr>
          <w:lang w:val="en-US"/>
        </w:rPr>
        <w:cr/>
      </w:r>
      <w:r>
        <w:rPr>
          <w:noProof/>
          <w:lang w:val="en-US"/>
        </w:rPr>
        <w:drawing>
          <wp:inline distT="114300" distB="114300" distL="114300" distR="114300" wp14:anchorId="30BF0FF9" wp14:editId="2CD495BB">
            <wp:extent cx="2952750" cy="25908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l="24585" r="23920"/>
                    <a:stretch>
                      <a:fillRect/>
                    </a:stretch>
                  </pic:blipFill>
                  <pic:spPr>
                    <a:xfrm>
                      <a:off x="0" y="0"/>
                      <a:ext cx="2952750" cy="2590800"/>
                    </a:xfrm>
                    <a:prstGeom prst="rect">
                      <a:avLst/>
                    </a:prstGeom>
                    <a:ln/>
                  </pic:spPr>
                </pic:pic>
              </a:graphicData>
            </a:graphic>
          </wp:inline>
        </w:drawing>
      </w:r>
    </w:p>
    <w:p w:rsidR="00E43973" w:rsidRPr="00654CEA" w:rsidRDefault="00E43973" w:rsidP="00E43973">
      <w:pPr>
        <w:spacing w:line="240" w:lineRule="auto"/>
        <w:jc w:val="both"/>
        <w:rPr>
          <w:sz w:val="24"/>
          <w:szCs w:val="24"/>
          <w:lang w:val="en-US"/>
        </w:rPr>
      </w:pPr>
      <w:r w:rsidRPr="00654CEA">
        <w:rPr>
          <w:b/>
          <w:bCs/>
          <w:sz w:val="24"/>
          <w:szCs w:val="24"/>
          <w:lang w:val="en-US"/>
        </w:rPr>
        <w:t>Figure S1</w:t>
      </w:r>
      <w:r w:rsidRPr="00654CEA">
        <w:rPr>
          <w:sz w:val="24"/>
          <w:szCs w:val="24"/>
          <w:lang w:val="en-US"/>
        </w:rPr>
        <w:t xml:space="preserve">. Overlap of </w:t>
      </w:r>
      <w:proofErr w:type="spellStart"/>
      <w:r w:rsidRPr="00654CEA">
        <w:rPr>
          <w:i/>
          <w:iCs/>
          <w:sz w:val="24"/>
          <w:szCs w:val="24"/>
          <w:lang w:val="en-US"/>
        </w:rPr>
        <w:t>Opuntia</w:t>
      </w:r>
      <w:proofErr w:type="spellEnd"/>
      <w:r w:rsidRPr="00654CEA">
        <w:rPr>
          <w:i/>
          <w:iCs/>
          <w:sz w:val="24"/>
          <w:szCs w:val="24"/>
          <w:lang w:val="en-US"/>
        </w:rPr>
        <w:t xml:space="preserve"> </w:t>
      </w:r>
      <w:proofErr w:type="spellStart"/>
      <w:r w:rsidRPr="00654CEA">
        <w:rPr>
          <w:i/>
          <w:iCs/>
          <w:sz w:val="24"/>
          <w:szCs w:val="24"/>
          <w:lang w:val="en-US"/>
        </w:rPr>
        <w:t>sulphurea</w:t>
      </w:r>
      <w:proofErr w:type="spellEnd"/>
      <w:r w:rsidRPr="00654CEA">
        <w:rPr>
          <w:i/>
          <w:iCs/>
          <w:sz w:val="24"/>
          <w:szCs w:val="24"/>
          <w:lang w:val="en-US"/>
        </w:rPr>
        <w:t xml:space="preserve"> </w:t>
      </w:r>
      <w:r w:rsidRPr="00654CEA">
        <w:rPr>
          <w:sz w:val="24"/>
          <w:szCs w:val="24"/>
          <w:lang w:val="en-US"/>
        </w:rPr>
        <w:t xml:space="preserve">distribution and </w:t>
      </w:r>
      <w:r w:rsidRPr="00654CEA">
        <w:rPr>
          <w:i/>
          <w:iCs/>
          <w:sz w:val="24"/>
          <w:szCs w:val="24"/>
          <w:lang w:val="en-US"/>
        </w:rPr>
        <w:t xml:space="preserve">Drosophila </w:t>
      </w:r>
      <w:proofErr w:type="spellStart"/>
      <w:r w:rsidRPr="00654CEA">
        <w:rPr>
          <w:i/>
          <w:iCs/>
          <w:sz w:val="24"/>
          <w:szCs w:val="24"/>
          <w:lang w:val="en-US"/>
        </w:rPr>
        <w:t>suzukii</w:t>
      </w:r>
      <w:proofErr w:type="spellEnd"/>
      <w:r w:rsidRPr="00654CEA">
        <w:rPr>
          <w:sz w:val="24"/>
          <w:szCs w:val="24"/>
          <w:lang w:val="en-US"/>
        </w:rPr>
        <w:t xml:space="preserve"> findings in South America. In green, distribution of </w:t>
      </w:r>
      <w:proofErr w:type="spellStart"/>
      <w:r w:rsidRPr="00654CEA">
        <w:rPr>
          <w:i/>
          <w:iCs/>
          <w:sz w:val="24"/>
          <w:szCs w:val="24"/>
          <w:lang w:val="en-US"/>
        </w:rPr>
        <w:t>Opuntia</w:t>
      </w:r>
      <w:proofErr w:type="spellEnd"/>
      <w:r w:rsidRPr="00654CEA">
        <w:rPr>
          <w:i/>
          <w:iCs/>
          <w:sz w:val="24"/>
          <w:szCs w:val="24"/>
          <w:lang w:val="en-US"/>
        </w:rPr>
        <w:t xml:space="preserve"> </w:t>
      </w:r>
      <w:proofErr w:type="spellStart"/>
      <w:r w:rsidRPr="00654CEA">
        <w:rPr>
          <w:i/>
          <w:iCs/>
          <w:sz w:val="24"/>
          <w:szCs w:val="24"/>
          <w:lang w:val="en-US"/>
        </w:rPr>
        <w:t>sulphurea</w:t>
      </w:r>
      <w:proofErr w:type="spellEnd"/>
      <w:r w:rsidRPr="00654CEA">
        <w:rPr>
          <w:i/>
          <w:iCs/>
          <w:sz w:val="24"/>
          <w:szCs w:val="24"/>
          <w:lang w:val="en-US"/>
        </w:rPr>
        <w:t xml:space="preserve"> </w:t>
      </w:r>
      <w:r w:rsidRPr="00654CEA">
        <w:rPr>
          <w:sz w:val="24"/>
          <w:szCs w:val="24"/>
          <w:lang w:val="en-US"/>
        </w:rPr>
        <w:t xml:space="preserve">(Thompson et al., 2026). Black dots indicate collection sites of </w:t>
      </w:r>
      <w:r w:rsidRPr="00654CEA">
        <w:rPr>
          <w:i/>
          <w:iCs/>
          <w:sz w:val="24"/>
          <w:szCs w:val="24"/>
          <w:lang w:val="en-US"/>
        </w:rPr>
        <w:t xml:space="preserve">D. </w:t>
      </w:r>
      <w:proofErr w:type="spellStart"/>
      <w:r w:rsidRPr="00654CEA">
        <w:rPr>
          <w:i/>
          <w:iCs/>
          <w:sz w:val="24"/>
          <w:szCs w:val="24"/>
          <w:lang w:val="en-US"/>
        </w:rPr>
        <w:t>suzukii</w:t>
      </w:r>
      <w:proofErr w:type="spellEnd"/>
      <w:r w:rsidRPr="00654CEA">
        <w:rPr>
          <w:sz w:val="24"/>
          <w:szCs w:val="24"/>
          <w:vertAlign w:val="superscript"/>
          <w:lang w:val="en-US"/>
        </w:rPr>
        <w:t xml:space="preserve"> </w:t>
      </w:r>
      <w:r w:rsidRPr="00654CEA">
        <w:rPr>
          <w:sz w:val="24"/>
          <w:szCs w:val="24"/>
          <w:lang w:val="en-US"/>
        </w:rPr>
        <w:t xml:space="preserve">(Bennardo et al., 2021; </w:t>
      </w:r>
      <w:proofErr w:type="spellStart"/>
      <w:r w:rsidRPr="00654CEA">
        <w:rPr>
          <w:sz w:val="24"/>
          <w:szCs w:val="24"/>
          <w:lang w:val="en-US"/>
        </w:rPr>
        <w:t>Gandini</w:t>
      </w:r>
      <w:proofErr w:type="spellEnd"/>
      <w:r w:rsidRPr="00654CEA">
        <w:rPr>
          <w:sz w:val="24"/>
          <w:szCs w:val="24"/>
          <w:lang w:val="en-US"/>
        </w:rPr>
        <w:t xml:space="preserve"> et al., 2023; Nair &amp; Peterson, 2023). Occurrence records of Chile were taken from the Agricultural and Livestock Service of Chile webpage (SAG, 2022) and spatially thinned by retaining a single record per 150 × 150 km grid cell to reduce sampling bias while preserving large-scale distribution patterns. The map was created in </w:t>
      </w:r>
      <w:proofErr w:type="spellStart"/>
      <w:r w:rsidRPr="00654CEA">
        <w:rPr>
          <w:sz w:val="24"/>
          <w:szCs w:val="24"/>
          <w:lang w:val="en-US"/>
        </w:rPr>
        <w:t>RStudio</w:t>
      </w:r>
      <w:proofErr w:type="spellEnd"/>
      <w:r w:rsidRPr="00654CEA">
        <w:rPr>
          <w:sz w:val="24"/>
          <w:szCs w:val="24"/>
          <w:vertAlign w:val="superscript"/>
          <w:lang w:val="en-US"/>
        </w:rPr>
        <w:t xml:space="preserve"> </w:t>
      </w:r>
      <w:r w:rsidRPr="00654CEA">
        <w:rPr>
          <w:sz w:val="24"/>
          <w:szCs w:val="24"/>
          <w:lang w:val="en-US"/>
        </w:rPr>
        <w:t>(R Core Team, 2024) via ggplot2()</w:t>
      </w:r>
      <w:r w:rsidRPr="00654CEA">
        <w:rPr>
          <w:sz w:val="24"/>
          <w:szCs w:val="24"/>
          <w:vertAlign w:val="superscript"/>
          <w:lang w:val="en-US"/>
        </w:rPr>
        <w:t xml:space="preserve"> </w:t>
      </w:r>
      <w:r w:rsidRPr="00654CEA">
        <w:rPr>
          <w:sz w:val="24"/>
          <w:szCs w:val="24"/>
          <w:lang w:val="en-US"/>
        </w:rPr>
        <w:t>(Wickham, 2016).</w:t>
      </w:r>
    </w:p>
    <w:p w:rsidR="00E43973" w:rsidRPr="00654CEA" w:rsidRDefault="00E43973" w:rsidP="00E43973">
      <w:pPr>
        <w:spacing w:line="240" w:lineRule="auto"/>
        <w:jc w:val="both"/>
        <w:rPr>
          <w:sz w:val="24"/>
          <w:szCs w:val="24"/>
          <w:lang w:val="en-US"/>
        </w:rPr>
      </w:pPr>
    </w:p>
    <w:p w:rsidR="00E43973" w:rsidRDefault="00E43973" w:rsidP="00E43973">
      <w:pPr>
        <w:spacing w:line="240" w:lineRule="auto"/>
        <w:jc w:val="both"/>
        <w:rPr>
          <w:sz w:val="24"/>
          <w:szCs w:val="24"/>
        </w:rPr>
      </w:pPr>
      <w:r>
        <w:rPr>
          <w:noProof/>
          <w:sz w:val="24"/>
          <w:szCs w:val="24"/>
          <w:lang w:val="en-US"/>
        </w:rPr>
        <w:lastRenderedPageBreak/>
        <w:drawing>
          <wp:inline distT="114300" distB="114300" distL="114300" distR="114300" wp14:anchorId="7280EB57" wp14:editId="56D16296">
            <wp:extent cx="5731200" cy="43053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5731200" cy="4305300"/>
                    </a:xfrm>
                    <a:prstGeom prst="rect">
                      <a:avLst/>
                    </a:prstGeom>
                    <a:ln/>
                  </pic:spPr>
                </pic:pic>
              </a:graphicData>
            </a:graphic>
          </wp:inline>
        </w:drawing>
      </w:r>
    </w:p>
    <w:p w:rsidR="00E43973" w:rsidRPr="00654CEA" w:rsidRDefault="00E43973" w:rsidP="00E43973">
      <w:pPr>
        <w:spacing w:line="240" w:lineRule="auto"/>
        <w:jc w:val="both"/>
        <w:rPr>
          <w:sz w:val="24"/>
          <w:szCs w:val="24"/>
          <w:lang w:val="en-US"/>
        </w:rPr>
      </w:pPr>
      <w:r w:rsidRPr="00654CEA">
        <w:rPr>
          <w:b/>
          <w:bCs/>
          <w:sz w:val="24"/>
          <w:szCs w:val="24"/>
          <w:lang w:val="en-US"/>
        </w:rPr>
        <w:t>Figure S2</w:t>
      </w:r>
      <w:r w:rsidRPr="00654CEA">
        <w:rPr>
          <w:sz w:val="24"/>
          <w:szCs w:val="24"/>
          <w:lang w:val="en-US"/>
        </w:rPr>
        <w:t>. Photographs cactus (</w:t>
      </w:r>
      <w:r w:rsidRPr="00654CEA">
        <w:rPr>
          <w:i/>
          <w:iCs/>
          <w:sz w:val="24"/>
          <w:szCs w:val="24"/>
          <w:lang w:val="en-US"/>
        </w:rPr>
        <w:t xml:space="preserve">O. </w:t>
      </w:r>
      <w:proofErr w:type="spellStart"/>
      <w:r w:rsidRPr="00654CEA">
        <w:rPr>
          <w:i/>
          <w:iCs/>
          <w:sz w:val="24"/>
          <w:szCs w:val="24"/>
          <w:lang w:val="en-US"/>
        </w:rPr>
        <w:t>sulphurea</w:t>
      </w:r>
      <w:proofErr w:type="spellEnd"/>
      <w:r w:rsidRPr="00654CEA">
        <w:rPr>
          <w:sz w:val="24"/>
          <w:szCs w:val="24"/>
          <w:lang w:val="en-US"/>
        </w:rPr>
        <w:t xml:space="preserve">) plates used in the </w:t>
      </w:r>
      <w:proofErr w:type="spellStart"/>
      <w:r w:rsidRPr="00654CEA">
        <w:rPr>
          <w:sz w:val="24"/>
          <w:szCs w:val="24"/>
          <w:lang w:val="en-US"/>
        </w:rPr>
        <w:t>oviposition</w:t>
      </w:r>
      <w:proofErr w:type="spellEnd"/>
      <w:r w:rsidRPr="00654CEA">
        <w:rPr>
          <w:sz w:val="24"/>
          <w:szCs w:val="24"/>
          <w:lang w:val="en-US"/>
        </w:rPr>
        <w:t xml:space="preserve"> assay. Figures A-C show larvae and clusters of eggs laid in exposed </w:t>
      </w:r>
      <w:proofErr w:type="spellStart"/>
      <w:r w:rsidRPr="00654CEA">
        <w:rPr>
          <w:sz w:val="24"/>
          <w:szCs w:val="24"/>
          <w:lang w:val="en-US"/>
        </w:rPr>
        <w:t>chlorenchyma</w:t>
      </w:r>
      <w:proofErr w:type="spellEnd"/>
      <w:r w:rsidRPr="00654CEA">
        <w:rPr>
          <w:sz w:val="24"/>
          <w:szCs w:val="24"/>
          <w:lang w:val="en-US"/>
        </w:rPr>
        <w:t>, under the cuticle. Figure D shows a single egg laid over a small cut in the cuticle.</w:t>
      </w:r>
    </w:p>
    <w:p w:rsidR="00E43973" w:rsidRPr="00654CEA" w:rsidRDefault="00E43973" w:rsidP="00E43973">
      <w:pPr>
        <w:spacing w:line="240" w:lineRule="auto"/>
        <w:jc w:val="both"/>
        <w:rPr>
          <w:sz w:val="24"/>
          <w:szCs w:val="24"/>
          <w:lang w:val="en-US"/>
        </w:rPr>
      </w:pPr>
    </w:p>
    <w:p w:rsidR="00E43973" w:rsidRDefault="00E43973" w:rsidP="00E43973">
      <w:pPr>
        <w:spacing w:line="240" w:lineRule="auto"/>
        <w:jc w:val="both"/>
        <w:rPr>
          <w:sz w:val="24"/>
          <w:szCs w:val="24"/>
        </w:rPr>
      </w:pPr>
      <w:r>
        <w:rPr>
          <w:noProof/>
          <w:sz w:val="24"/>
          <w:szCs w:val="24"/>
          <w:lang w:val="en-US"/>
        </w:rPr>
        <w:drawing>
          <wp:inline distT="114300" distB="114300" distL="114300" distR="114300" wp14:anchorId="39C0099B" wp14:editId="173D557B">
            <wp:extent cx="3581400" cy="30099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l="21096" r="16445"/>
                    <a:stretch>
                      <a:fillRect/>
                    </a:stretch>
                  </pic:blipFill>
                  <pic:spPr>
                    <a:xfrm>
                      <a:off x="0" y="0"/>
                      <a:ext cx="3581400" cy="3009900"/>
                    </a:xfrm>
                    <a:prstGeom prst="rect">
                      <a:avLst/>
                    </a:prstGeom>
                    <a:ln/>
                  </pic:spPr>
                </pic:pic>
              </a:graphicData>
            </a:graphic>
          </wp:inline>
        </w:drawing>
      </w:r>
    </w:p>
    <w:p w:rsidR="00E43973" w:rsidRPr="00654CEA" w:rsidRDefault="00E43973" w:rsidP="00E43973">
      <w:pPr>
        <w:spacing w:line="240" w:lineRule="auto"/>
        <w:jc w:val="both"/>
        <w:rPr>
          <w:sz w:val="24"/>
          <w:szCs w:val="24"/>
          <w:lang w:val="en-US"/>
        </w:rPr>
      </w:pPr>
      <w:r w:rsidRPr="00654CEA">
        <w:rPr>
          <w:b/>
          <w:bCs/>
          <w:sz w:val="24"/>
          <w:szCs w:val="24"/>
          <w:lang w:val="en-US"/>
        </w:rPr>
        <w:t>Figure S3</w:t>
      </w:r>
      <w:r w:rsidRPr="00654CEA">
        <w:rPr>
          <w:sz w:val="24"/>
          <w:szCs w:val="24"/>
          <w:lang w:val="en-US"/>
        </w:rPr>
        <w:t xml:space="preserve">. Average fatty acid composition of </w:t>
      </w:r>
      <w:proofErr w:type="spellStart"/>
      <w:r w:rsidRPr="00654CEA">
        <w:rPr>
          <w:i/>
          <w:iCs/>
          <w:sz w:val="24"/>
          <w:szCs w:val="24"/>
          <w:lang w:val="en-US"/>
        </w:rPr>
        <w:t>Opuntia</w:t>
      </w:r>
      <w:proofErr w:type="spellEnd"/>
      <w:r w:rsidRPr="00654CEA">
        <w:rPr>
          <w:i/>
          <w:iCs/>
          <w:sz w:val="24"/>
          <w:szCs w:val="24"/>
          <w:lang w:val="en-US"/>
        </w:rPr>
        <w:t xml:space="preserve"> </w:t>
      </w:r>
      <w:proofErr w:type="spellStart"/>
      <w:r w:rsidRPr="00654CEA">
        <w:rPr>
          <w:i/>
          <w:iCs/>
          <w:sz w:val="24"/>
          <w:szCs w:val="24"/>
          <w:lang w:val="en-US"/>
        </w:rPr>
        <w:t>sulphurea</w:t>
      </w:r>
      <w:proofErr w:type="spellEnd"/>
      <w:r w:rsidRPr="00654CEA">
        <w:rPr>
          <w:sz w:val="24"/>
          <w:szCs w:val="24"/>
          <w:lang w:val="en-US"/>
        </w:rPr>
        <w:t>. “Other” refers to C10:0, C12:0, C12:1, C14:0, C17:0 and C20:0, which individually represent less than 2% of the fatty acid fraction.</w:t>
      </w:r>
      <w:r>
        <w:rPr>
          <w:lang w:val="en-US"/>
        </w:rPr>
        <w:cr/>
      </w:r>
      <w:r>
        <w:rPr>
          <w:lang w:val="en-US"/>
        </w:rPr>
        <w:lastRenderedPageBreak/>
        <w:cr/>
      </w:r>
    </w:p>
    <w:p w:rsidR="00E43973" w:rsidRDefault="00E43973" w:rsidP="00E43973">
      <w:pPr>
        <w:jc w:val="both"/>
        <w:rPr>
          <w:sz w:val="24"/>
          <w:szCs w:val="24"/>
        </w:rPr>
      </w:pPr>
      <w:r>
        <w:rPr>
          <w:noProof/>
          <w:sz w:val="24"/>
          <w:szCs w:val="24"/>
          <w:lang w:val="en-US"/>
        </w:rPr>
        <w:drawing>
          <wp:inline distT="114300" distB="114300" distL="114300" distR="114300" wp14:anchorId="2704FED1" wp14:editId="05B05512">
            <wp:extent cx="5731200" cy="35814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731200" cy="3581400"/>
                    </a:xfrm>
                    <a:prstGeom prst="rect">
                      <a:avLst/>
                    </a:prstGeom>
                    <a:ln/>
                  </pic:spPr>
                </pic:pic>
              </a:graphicData>
            </a:graphic>
          </wp:inline>
        </w:drawing>
      </w:r>
    </w:p>
    <w:p w:rsidR="00E43973" w:rsidRPr="00654CEA" w:rsidRDefault="00E43973" w:rsidP="00E43973">
      <w:pPr>
        <w:jc w:val="both"/>
        <w:rPr>
          <w:lang w:val="en-US"/>
        </w:rPr>
      </w:pPr>
      <w:r w:rsidRPr="00654CEA">
        <w:rPr>
          <w:b/>
          <w:bCs/>
          <w:sz w:val="24"/>
          <w:szCs w:val="24"/>
          <w:lang w:val="en-US"/>
        </w:rPr>
        <w:t>Figure S4.</w:t>
      </w:r>
      <w:r w:rsidRPr="00654CEA">
        <w:rPr>
          <w:sz w:val="24"/>
          <w:szCs w:val="24"/>
          <w:lang w:val="en-US"/>
        </w:rPr>
        <w:t xml:space="preserve"> Comparison of egg-to-adult viability across diets in selected literature. </w:t>
      </w:r>
      <w:proofErr w:type="spellStart"/>
      <w:r w:rsidRPr="00654CEA">
        <w:rPr>
          <w:sz w:val="24"/>
          <w:szCs w:val="24"/>
          <w:lang w:val="en-US"/>
        </w:rPr>
        <w:t>Fragnière</w:t>
      </w:r>
      <w:proofErr w:type="spellEnd"/>
      <w:r w:rsidRPr="00654CEA">
        <w:rPr>
          <w:sz w:val="24"/>
          <w:szCs w:val="24"/>
          <w:lang w:val="en-US"/>
        </w:rPr>
        <w:t xml:space="preserve"> et al., 2024 reports emergence from fruits collected in nature and public places, </w:t>
      </w:r>
      <w:proofErr w:type="spellStart"/>
      <w:r w:rsidRPr="00654CEA">
        <w:rPr>
          <w:sz w:val="24"/>
          <w:szCs w:val="24"/>
          <w:lang w:val="en-US"/>
        </w:rPr>
        <w:t>Naserzadeh</w:t>
      </w:r>
      <w:proofErr w:type="spellEnd"/>
      <w:r w:rsidRPr="00654CEA">
        <w:rPr>
          <w:sz w:val="24"/>
          <w:szCs w:val="24"/>
          <w:lang w:val="en-US"/>
        </w:rPr>
        <w:t xml:space="preserve"> et al., 2021 and Grant &amp; </w:t>
      </w:r>
      <w:proofErr w:type="spellStart"/>
      <w:r w:rsidRPr="00654CEA">
        <w:rPr>
          <w:sz w:val="24"/>
          <w:szCs w:val="24"/>
          <w:lang w:val="en-US"/>
        </w:rPr>
        <w:t>Sial</w:t>
      </w:r>
      <w:proofErr w:type="spellEnd"/>
      <w:r w:rsidRPr="00654CEA">
        <w:rPr>
          <w:sz w:val="24"/>
          <w:szCs w:val="24"/>
          <w:lang w:val="en-US"/>
        </w:rPr>
        <w:t xml:space="preserve">, 2021 assessed emergence from fruits exposed to adult </w:t>
      </w:r>
      <w:r w:rsidRPr="00654CEA">
        <w:rPr>
          <w:i/>
          <w:iCs/>
          <w:sz w:val="24"/>
          <w:szCs w:val="24"/>
          <w:lang w:val="en-US"/>
        </w:rPr>
        <w:t xml:space="preserve">D. </w:t>
      </w:r>
      <w:proofErr w:type="spellStart"/>
      <w:r w:rsidRPr="00654CEA">
        <w:rPr>
          <w:i/>
          <w:iCs/>
          <w:sz w:val="24"/>
          <w:szCs w:val="24"/>
          <w:lang w:val="en-US"/>
        </w:rPr>
        <w:t>suzukii</w:t>
      </w:r>
      <w:proofErr w:type="spellEnd"/>
      <w:r w:rsidRPr="00654CEA">
        <w:rPr>
          <w:sz w:val="24"/>
          <w:szCs w:val="24"/>
          <w:lang w:val="en-US"/>
        </w:rPr>
        <w:t xml:space="preserve"> under laboratory conditions while </w:t>
      </w:r>
      <w:proofErr w:type="spellStart"/>
      <w:r w:rsidRPr="00654CEA">
        <w:rPr>
          <w:sz w:val="24"/>
          <w:szCs w:val="24"/>
          <w:lang w:val="en-US"/>
        </w:rPr>
        <w:t>Flaibani</w:t>
      </w:r>
      <w:proofErr w:type="spellEnd"/>
      <w:r w:rsidRPr="00654CEA">
        <w:rPr>
          <w:sz w:val="24"/>
          <w:szCs w:val="24"/>
          <w:lang w:val="en-US"/>
        </w:rPr>
        <w:t xml:space="preserve"> et al., 2023 and </w:t>
      </w:r>
      <w:proofErr w:type="spellStart"/>
      <w:r w:rsidRPr="00654CEA">
        <w:rPr>
          <w:sz w:val="24"/>
          <w:szCs w:val="24"/>
          <w:lang w:val="en-US"/>
        </w:rPr>
        <w:t>Olazcuaga</w:t>
      </w:r>
      <w:proofErr w:type="spellEnd"/>
      <w:r w:rsidRPr="00654CEA">
        <w:rPr>
          <w:sz w:val="24"/>
          <w:szCs w:val="24"/>
          <w:lang w:val="en-US"/>
        </w:rPr>
        <w:t xml:space="preserve"> et al., 2019 used a semi-natural diet based on fruit purée. In all cases eggs were laid in no-choice preference tests, except for Jaramillo et al., 2015 and </w:t>
      </w:r>
      <w:proofErr w:type="spellStart"/>
      <w:r w:rsidRPr="00654CEA">
        <w:rPr>
          <w:sz w:val="24"/>
          <w:szCs w:val="24"/>
          <w:lang w:val="en-US"/>
        </w:rPr>
        <w:t>Flaibani</w:t>
      </w:r>
      <w:proofErr w:type="spellEnd"/>
      <w:r w:rsidRPr="00654CEA">
        <w:rPr>
          <w:sz w:val="24"/>
          <w:szCs w:val="24"/>
          <w:lang w:val="en-US"/>
        </w:rPr>
        <w:t xml:space="preserve"> et al., 2023, who manually placed eggs/larvae in the </w:t>
      </w:r>
      <w:proofErr w:type="gramStart"/>
      <w:r w:rsidRPr="00654CEA">
        <w:rPr>
          <w:sz w:val="24"/>
          <w:szCs w:val="24"/>
          <w:lang w:val="en-US"/>
        </w:rPr>
        <w:t>corresponding  medium</w:t>
      </w:r>
      <w:proofErr w:type="gramEnd"/>
      <w:r w:rsidRPr="00654CEA">
        <w:rPr>
          <w:sz w:val="24"/>
          <w:szCs w:val="24"/>
          <w:lang w:val="en-US"/>
        </w:rPr>
        <w:t xml:space="preserve">. </w:t>
      </w:r>
      <w:r>
        <w:rPr>
          <w:sz w:val="24"/>
          <w:szCs w:val="24"/>
          <w:lang w:val="en-US"/>
        </w:rPr>
        <w:cr/>
      </w:r>
    </w:p>
    <w:p w:rsidR="00E43973" w:rsidRDefault="00E43973" w:rsidP="00E43973">
      <w:pPr>
        <w:jc w:val="both"/>
        <w:rPr>
          <w:sz w:val="24"/>
          <w:szCs w:val="24"/>
        </w:rPr>
      </w:pPr>
      <w:r>
        <w:rPr>
          <w:noProof/>
          <w:sz w:val="24"/>
          <w:szCs w:val="24"/>
          <w:lang w:val="en-US"/>
        </w:rPr>
        <w:drawing>
          <wp:inline distT="114300" distB="114300" distL="114300" distR="114300" wp14:anchorId="58BC4F68" wp14:editId="4B3F27A4">
            <wp:extent cx="5731200" cy="32766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731200" cy="3276600"/>
                    </a:xfrm>
                    <a:prstGeom prst="rect">
                      <a:avLst/>
                    </a:prstGeom>
                    <a:ln/>
                  </pic:spPr>
                </pic:pic>
              </a:graphicData>
            </a:graphic>
          </wp:inline>
        </w:drawing>
      </w:r>
    </w:p>
    <w:p w:rsidR="00E43973" w:rsidRPr="00654CEA" w:rsidRDefault="00E43973" w:rsidP="00E43973">
      <w:pPr>
        <w:jc w:val="both"/>
        <w:rPr>
          <w:lang w:val="en-US"/>
        </w:rPr>
      </w:pPr>
      <w:r w:rsidRPr="00654CEA">
        <w:rPr>
          <w:b/>
          <w:bCs/>
          <w:sz w:val="24"/>
          <w:szCs w:val="24"/>
          <w:lang w:val="en-US"/>
        </w:rPr>
        <w:lastRenderedPageBreak/>
        <w:t xml:space="preserve">Figure S5. </w:t>
      </w:r>
      <w:r w:rsidRPr="00654CEA">
        <w:rPr>
          <w:sz w:val="24"/>
          <w:szCs w:val="24"/>
          <w:lang w:val="en-US"/>
        </w:rPr>
        <w:t xml:space="preserve">Principal Component Analysis (PCA) of fatty acid profiles of </w:t>
      </w:r>
      <w:r w:rsidRPr="00654CEA">
        <w:rPr>
          <w:i/>
          <w:iCs/>
          <w:sz w:val="24"/>
          <w:szCs w:val="24"/>
          <w:lang w:val="en-US"/>
        </w:rPr>
        <w:t xml:space="preserve">D. </w:t>
      </w:r>
      <w:proofErr w:type="spellStart"/>
      <w:r w:rsidRPr="00654CEA">
        <w:rPr>
          <w:i/>
          <w:iCs/>
          <w:sz w:val="24"/>
          <w:szCs w:val="24"/>
          <w:lang w:val="en-US"/>
        </w:rPr>
        <w:t>suzukii</w:t>
      </w:r>
      <w:proofErr w:type="spellEnd"/>
      <w:r w:rsidRPr="00654CEA">
        <w:rPr>
          <w:sz w:val="24"/>
          <w:szCs w:val="24"/>
          <w:lang w:val="en-US"/>
        </w:rPr>
        <w:t xml:space="preserve"> adults reared in several diets, indicated by color. Fatty acid composition of flies reared in </w:t>
      </w:r>
      <w:r w:rsidRPr="00654CEA">
        <w:rPr>
          <w:i/>
          <w:iCs/>
          <w:sz w:val="24"/>
          <w:szCs w:val="24"/>
          <w:lang w:val="en-US"/>
        </w:rPr>
        <w:t xml:space="preserve">O. </w:t>
      </w:r>
      <w:proofErr w:type="spellStart"/>
      <w:r w:rsidRPr="00654CEA">
        <w:rPr>
          <w:i/>
          <w:iCs/>
          <w:sz w:val="24"/>
          <w:szCs w:val="24"/>
          <w:lang w:val="en-US"/>
        </w:rPr>
        <w:t>sulphurea</w:t>
      </w:r>
      <w:proofErr w:type="spellEnd"/>
      <w:r w:rsidRPr="00654CEA">
        <w:rPr>
          <w:sz w:val="24"/>
          <w:szCs w:val="24"/>
          <w:lang w:val="en-US"/>
        </w:rPr>
        <w:t xml:space="preserve"> (green) overlaps with blueberry (blue) and cornmeal-reared flies (orange). Data from blackberry, blueberry, raspberry and stra</w:t>
      </w:r>
      <w:r>
        <w:rPr>
          <w:sz w:val="24"/>
          <w:szCs w:val="24"/>
          <w:lang w:val="en-US"/>
        </w:rPr>
        <w:t xml:space="preserve">wberry taken from </w:t>
      </w:r>
      <w:proofErr w:type="spellStart"/>
      <w:r>
        <w:rPr>
          <w:sz w:val="24"/>
          <w:szCs w:val="24"/>
          <w:lang w:val="en-US"/>
        </w:rPr>
        <w:t>Wiman</w:t>
      </w:r>
      <w:proofErr w:type="spellEnd"/>
      <w:r>
        <w:rPr>
          <w:sz w:val="24"/>
          <w:szCs w:val="24"/>
          <w:lang w:val="en-US"/>
        </w:rPr>
        <w:t xml:space="preserve"> et al. (</w:t>
      </w:r>
      <w:r w:rsidRPr="00654CEA">
        <w:rPr>
          <w:sz w:val="24"/>
          <w:szCs w:val="24"/>
          <w:lang w:val="en-US"/>
        </w:rPr>
        <w:t>2020</w:t>
      </w:r>
      <w:r>
        <w:rPr>
          <w:sz w:val="24"/>
          <w:szCs w:val="24"/>
          <w:lang w:val="en-US"/>
        </w:rPr>
        <w:t>)</w:t>
      </w:r>
      <w:r w:rsidRPr="00654CEA">
        <w:rPr>
          <w:sz w:val="24"/>
          <w:szCs w:val="24"/>
          <w:lang w:val="en-US"/>
        </w:rPr>
        <w:t>. C10:0, C12:0, C12:1, C13:0, C14:1 and C18:1 were excluded as they a</w:t>
      </w:r>
      <w:r>
        <w:rPr>
          <w:sz w:val="24"/>
          <w:szCs w:val="24"/>
          <w:lang w:val="en-US"/>
        </w:rPr>
        <w:t xml:space="preserve">re not reported in </w:t>
      </w:r>
      <w:proofErr w:type="spellStart"/>
      <w:r>
        <w:rPr>
          <w:sz w:val="24"/>
          <w:szCs w:val="24"/>
          <w:lang w:val="en-US"/>
        </w:rPr>
        <w:t>Wiman</w:t>
      </w:r>
      <w:proofErr w:type="spellEnd"/>
      <w:r>
        <w:rPr>
          <w:sz w:val="24"/>
          <w:szCs w:val="24"/>
          <w:lang w:val="en-US"/>
        </w:rPr>
        <w:t xml:space="preserve"> et al.</w:t>
      </w:r>
      <w:r w:rsidRPr="00654CEA">
        <w:rPr>
          <w:sz w:val="24"/>
          <w:szCs w:val="24"/>
          <w:lang w:val="en-US"/>
        </w:rPr>
        <w:t xml:space="preserve"> </w:t>
      </w:r>
      <w:r>
        <w:rPr>
          <w:sz w:val="24"/>
          <w:szCs w:val="24"/>
          <w:lang w:val="en-US"/>
        </w:rPr>
        <w:t>(</w:t>
      </w:r>
      <w:r w:rsidRPr="00654CEA">
        <w:rPr>
          <w:sz w:val="24"/>
          <w:szCs w:val="24"/>
          <w:lang w:val="en-US"/>
        </w:rPr>
        <w:t>2020</w:t>
      </w:r>
      <w:r>
        <w:rPr>
          <w:sz w:val="24"/>
          <w:szCs w:val="24"/>
          <w:lang w:val="en-US"/>
        </w:rPr>
        <w:t>)</w:t>
      </w:r>
      <w:r w:rsidRPr="00654CEA">
        <w:rPr>
          <w:sz w:val="24"/>
          <w:szCs w:val="24"/>
          <w:lang w:val="en-US"/>
        </w:rPr>
        <w:t>. Blue arrows illustrate the contribution of each variable (fatty acid) to the first two principal components, which together explains 72.7% of total variance.</w:t>
      </w:r>
    </w:p>
    <w:p w:rsidR="00C4079D" w:rsidRPr="00E43973" w:rsidRDefault="00C4079D">
      <w:pPr>
        <w:rPr>
          <w:lang w:val="en-US"/>
        </w:rPr>
      </w:pPr>
    </w:p>
    <w:sectPr w:rsidR="00C4079D" w:rsidRPr="00E4397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973"/>
    <w:rsid w:val="00C4079D"/>
    <w:rsid w:val="00E43973"/>
    <w:rsid w:val="00EB7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096C5"/>
  <w15:chartTrackingRefBased/>
  <w15:docId w15:val="{25E1EA6E-EF70-4463-BD07-098ED2428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43973"/>
    <w:pPr>
      <w:spacing w:after="0" w:line="276" w:lineRule="auto"/>
    </w:pPr>
    <w:rPr>
      <w:rFonts w:ascii="Arial" w:eastAsia="Arial" w:hAnsi="Arial" w:cs="Arial"/>
      <w:lang w:val="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571</Words>
  <Characters>3257</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Kreiman</dc:creator>
  <cp:keywords/>
  <dc:description/>
  <cp:lastModifiedBy>Lucas Kreiman</cp:lastModifiedBy>
  <cp:revision>1</cp:revision>
  <dcterms:created xsi:type="dcterms:W3CDTF">2026-04-16T15:02:00Z</dcterms:created>
  <dcterms:modified xsi:type="dcterms:W3CDTF">2026-04-16T15:03:00Z</dcterms:modified>
</cp:coreProperties>
</file>