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C350" w14:textId="77777777" w:rsidR="001C1B46" w:rsidRDefault="001C1B46" w:rsidP="001C1B46">
      <w:pPr>
        <w:pStyle w:val="BodyText"/>
        <w:ind w:left="352"/>
      </w:pPr>
    </w:p>
    <w:p w14:paraId="7569BA17" w14:textId="77777777" w:rsidR="001C1B46" w:rsidRDefault="001C1B46" w:rsidP="001C1B46">
      <w:pPr>
        <w:pStyle w:val="BodyText"/>
        <w:ind w:left="352"/>
      </w:pPr>
    </w:p>
    <w:p w14:paraId="51331028" w14:textId="77777777" w:rsidR="001C1B46" w:rsidRDefault="001C1B46" w:rsidP="001C1B46">
      <w:pPr>
        <w:pStyle w:val="BodyText"/>
        <w:ind w:left="352"/>
      </w:pPr>
    </w:p>
    <w:p w14:paraId="14C2FDB7" w14:textId="77777777" w:rsidR="001C1B46" w:rsidRDefault="001C1B46" w:rsidP="001C1B46">
      <w:pPr>
        <w:pStyle w:val="BodyText"/>
        <w:ind w:left="352"/>
      </w:pPr>
    </w:p>
    <w:p w14:paraId="586ED02C" w14:textId="77777777" w:rsidR="001C1B46" w:rsidRDefault="001C1B46" w:rsidP="001C1B46">
      <w:pPr>
        <w:pStyle w:val="BodyText"/>
        <w:ind w:left="352"/>
      </w:pPr>
    </w:p>
    <w:p w14:paraId="4B9CDE62" w14:textId="77777777" w:rsidR="001C1B46" w:rsidRDefault="001C1B46" w:rsidP="001C1B46">
      <w:pPr>
        <w:pStyle w:val="BodyText"/>
        <w:ind w:left="352"/>
      </w:pPr>
    </w:p>
    <w:p w14:paraId="76EEBDDB" w14:textId="77777777" w:rsidR="001C1B46" w:rsidRDefault="001C1B46" w:rsidP="001C1B46">
      <w:pPr>
        <w:pStyle w:val="BodyText"/>
        <w:ind w:left="352"/>
      </w:pPr>
    </w:p>
    <w:p w14:paraId="6B2437F0" w14:textId="77777777" w:rsidR="001C1B46" w:rsidRDefault="001C1B46" w:rsidP="001C1B46">
      <w:pPr>
        <w:pStyle w:val="BodyText"/>
        <w:ind w:left="352"/>
      </w:pPr>
    </w:p>
    <w:p w14:paraId="7C127978" w14:textId="77777777" w:rsidR="001C1B46" w:rsidRDefault="001C1B46" w:rsidP="001C1B46">
      <w:pPr>
        <w:pStyle w:val="BodyText"/>
        <w:ind w:left="352"/>
      </w:pPr>
    </w:p>
    <w:p w14:paraId="606A1ED8" w14:textId="77777777" w:rsidR="001C1B46" w:rsidRDefault="001C1B46" w:rsidP="001C1B46">
      <w:pPr>
        <w:pStyle w:val="BodyText"/>
        <w:ind w:left="352"/>
      </w:pPr>
    </w:p>
    <w:p w14:paraId="4FB1D43E" w14:textId="77777777" w:rsidR="001C1B46" w:rsidRDefault="001C1B46" w:rsidP="001C1B46">
      <w:pPr>
        <w:pStyle w:val="BodyText"/>
        <w:ind w:left="352"/>
      </w:pPr>
    </w:p>
    <w:p w14:paraId="0A9D17F6" w14:textId="77777777" w:rsidR="001C1B46" w:rsidRDefault="001C1B46" w:rsidP="001C1B46">
      <w:pPr>
        <w:pStyle w:val="BodyText"/>
        <w:ind w:left="352"/>
      </w:pPr>
    </w:p>
    <w:p w14:paraId="74442753" w14:textId="77777777" w:rsidR="001C1B46" w:rsidRDefault="001C1B46" w:rsidP="001C1B46">
      <w:pPr>
        <w:pStyle w:val="BodyText"/>
        <w:ind w:left="352"/>
      </w:pPr>
    </w:p>
    <w:p w14:paraId="23988BC3" w14:textId="77777777" w:rsidR="001C1B46" w:rsidRDefault="001C1B46" w:rsidP="001C1B46">
      <w:pPr>
        <w:pStyle w:val="BodyText"/>
        <w:ind w:left="352"/>
      </w:pPr>
    </w:p>
    <w:p w14:paraId="2B3616F2" w14:textId="77777777" w:rsidR="001C1B46" w:rsidRDefault="001C1B46" w:rsidP="001C1B46">
      <w:pPr>
        <w:pStyle w:val="BodyText"/>
        <w:ind w:left="352"/>
      </w:pPr>
    </w:p>
    <w:p w14:paraId="38C05381" w14:textId="77777777" w:rsidR="001C1B46" w:rsidRDefault="001C1B46" w:rsidP="001C1B46">
      <w:pPr>
        <w:pStyle w:val="BodyText"/>
        <w:ind w:left="352"/>
      </w:pPr>
    </w:p>
    <w:p w14:paraId="7F8B90CA" w14:textId="77777777" w:rsidR="001C1B46" w:rsidRDefault="001C1B46" w:rsidP="001C1B46">
      <w:pPr>
        <w:pStyle w:val="BodyText"/>
        <w:ind w:left="352"/>
      </w:pPr>
    </w:p>
    <w:p w14:paraId="480297F2" w14:textId="77777777" w:rsidR="001C1B46" w:rsidRDefault="001C1B46" w:rsidP="001C1B46">
      <w:pPr>
        <w:pStyle w:val="BodyText"/>
        <w:ind w:left="352"/>
      </w:pPr>
    </w:p>
    <w:p w14:paraId="459AE676" w14:textId="77777777" w:rsidR="001C1B46" w:rsidRDefault="001C1B46" w:rsidP="001C1B46">
      <w:pPr>
        <w:pStyle w:val="BodyText"/>
        <w:ind w:left="352"/>
      </w:pPr>
    </w:p>
    <w:p w14:paraId="08C0EA7B" w14:textId="77777777" w:rsidR="001C1B46" w:rsidRDefault="001C1B46" w:rsidP="001C1B46">
      <w:pPr>
        <w:pStyle w:val="BodyText"/>
        <w:ind w:left="352"/>
      </w:pPr>
    </w:p>
    <w:p w14:paraId="757E6E68" w14:textId="77777777" w:rsidR="001C1B46" w:rsidRDefault="001C1B46" w:rsidP="001C1B46">
      <w:pPr>
        <w:pStyle w:val="BodyText"/>
        <w:ind w:left="352"/>
      </w:pPr>
    </w:p>
    <w:p w14:paraId="39D9E842" w14:textId="77777777" w:rsidR="001C1B46" w:rsidRDefault="001C1B46" w:rsidP="001C1B46">
      <w:pPr>
        <w:pStyle w:val="BodyText"/>
        <w:ind w:left="352"/>
      </w:pPr>
    </w:p>
    <w:p w14:paraId="02C318AE" w14:textId="77777777" w:rsidR="001C1B46" w:rsidRDefault="001C1B46" w:rsidP="001C1B46">
      <w:pPr>
        <w:pStyle w:val="BodyText"/>
        <w:ind w:left="352"/>
      </w:pPr>
    </w:p>
    <w:p w14:paraId="644D6DDD" w14:textId="77777777" w:rsidR="001C1B46" w:rsidRDefault="001C1B46" w:rsidP="001C1B46">
      <w:pPr>
        <w:pStyle w:val="BodyText"/>
        <w:ind w:left="352"/>
      </w:pPr>
    </w:p>
    <w:tbl>
      <w:tblPr>
        <w:tblW w:w="0" w:type="auto"/>
        <w:tblCellMar>
          <w:top w:w="15" w:type="dxa"/>
          <w:left w:w="15" w:type="dxa"/>
          <w:bottom w:w="15" w:type="dxa"/>
          <w:right w:w="15" w:type="dxa"/>
        </w:tblCellMar>
        <w:tblLook w:val="04A0" w:firstRow="1" w:lastRow="0" w:firstColumn="1" w:lastColumn="0" w:noHBand="0" w:noVBand="1"/>
      </w:tblPr>
      <w:tblGrid>
        <w:gridCol w:w="3005"/>
        <w:gridCol w:w="1338"/>
        <w:gridCol w:w="1969"/>
        <w:gridCol w:w="2914"/>
        <w:gridCol w:w="844"/>
      </w:tblGrid>
      <w:tr w:rsidR="001B253C" w:rsidRPr="001B253C" w14:paraId="502C3558"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A3F0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0987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Total (N = 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57AD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Severe ED (IIEF-5 &lt;7)</w:t>
            </w:r>
          </w:p>
          <w:p w14:paraId="11C7A9F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(N=24)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FFA0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Non-severe ED (IIEF-5 ≥7) (N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829E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p value </w:t>
            </w:r>
          </w:p>
        </w:tc>
      </w:tr>
      <w:tr w:rsidR="001B253C" w:rsidRPr="001B253C" w14:paraId="4C39B9E1"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7542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Age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508B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65.1 (7.1)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BD0B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67.3 (5.6)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3932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62.6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09390"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0.049</w:t>
            </w:r>
          </w:p>
        </w:tc>
      </w:tr>
      <w:tr w:rsidR="001B253C" w:rsidRPr="001B253C" w14:paraId="6A6A50D4"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CB9E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Active smoker,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5234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33 (75)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7D38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19 (79.2)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BCA3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14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9CC2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0.484</w:t>
            </w:r>
          </w:p>
        </w:tc>
      </w:tr>
      <w:tr w:rsidR="001B253C" w:rsidRPr="001B253C" w14:paraId="1A1D33FF"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BD29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Pack-years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AFB8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56.0 (31.7)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0D3A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62.3 (34.3)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52E9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49.8 (28.7)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9779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0.489</w:t>
            </w:r>
          </w:p>
        </w:tc>
      </w:tr>
      <w:tr w:rsidR="001B253C" w:rsidRPr="001B253C" w14:paraId="631DBBAB" w14:textId="77777777" w:rsidTr="001B253C">
        <w:trPr>
          <w:trHeight w:val="2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07F3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BMI (Kg/m</w:t>
            </w:r>
            <w:r w:rsidRPr="001B253C">
              <w:rPr>
                <w:color w:val="000000"/>
                <w:sz w:val="20"/>
                <w:szCs w:val="20"/>
                <w:vertAlign w:val="superscript"/>
                <w:lang w:val="ca-ES" w:eastAsia="ca-ES"/>
              </w:rPr>
              <w:t>2</w:t>
            </w:r>
            <w:r w:rsidRPr="001B253C">
              <w:rPr>
                <w:color w:val="000000"/>
                <w:sz w:val="20"/>
                <w:szCs w:val="20"/>
                <w:lang w:val="ca-ES" w:eastAsia="ca-E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C9EE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29.2 (5.9)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8893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29.1 (5.9)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5BF0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29.4 (6.1)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E4F8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0.916</w:t>
            </w:r>
          </w:p>
        </w:tc>
      </w:tr>
      <w:tr w:rsidR="001B253C" w:rsidRPr="001B253C" w14:paraId="0C9D3E09"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56FD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Waist circumference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0EB2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103.7 (16.5)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9A1F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104.1 (11.6)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74B2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103.4 (21.1)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A3F5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0.835</w:t>
            </w:r>
          </w:p>
        </w:tc>
      </w:tr>
      <w:tr w:rsidR="001B253C" w:rsidRPr="001B253C" w14:paraId="0EF6FFE5"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186B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Charlson index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8AFE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1.8 (1.21)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02F7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2.3 (1.43)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8E0B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 (0.59)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8339"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0.012</w:t>
            </w:r>
          </w:p>
        </w:tc>
      </w:tr>
      <w:tr w:rsidR="001B253C" w:rsidRPr="001B253C" w14:paraId="70C2E1E0"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3B40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Hypertension,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677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29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3B11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17 (70.8)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DCB6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12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0CE3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0.450</w:t>
            </w:r>
          </w:p>
        </w:tc>
      </w:tr>
      <w:tr w:rsidR="001B253C" w:rsidRPr="001B253C" w14:paraId="0CFBB85C" w14:textId="77777777" w:rsidTr="001B253C">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0316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Dyslipidaemia,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527E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20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5B6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 (54.2)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8394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7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9C94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0.204</w:t>
            </w:r>
          </w:p>
        </w:tc>
      </w:tr>
      <w:tr w:rsidR="001B253C" w:rsidRPr="001B253C" w14:paraId="4BFC9249"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C55C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u w:val="single"/>
                <w:lang w:val="ca-ES" w:eastAsia="ca-ES"/>
              </w:rPr>
              <w:t>Metabolic syndrome</w:t>
            </w:r>
            <w:r w:rsidRPr="001B253C">
              <w:rPr>
                <w:color w:val="000000"/>
                <w:sz w:val="20"/>
                <w:szCs w:val="20"/>
                <w:lang w:val="ca-ES" w:eastAsia="ca-ES"/>
              </w:rPr>
              <w:t>, n (%) (N= 34)</w:t>
            </w:r>
          </w:p>
          <w:p w14:paraId="32D44BA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-TG &gt; 150mg/dl or treatment</w:t>
            </w:r>
          </w:p>
          <w:p w14:paraId="1567FA2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-BP ≥ 130/80mmHg or treatment</w:t>
            </w:r>
          </w:p>
          <w:p w14:paraId="50F4568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-Central obesity</w:t>
            </w:r>
          </w:p>
          <w:p w14:paraId="48A840E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-cHDL &lt; 40 mg/dL</w:t>
            </w:r>
          </w:p>
          <w:p w14:paraId="79CE98C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-Elevated fasting glucose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9349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15 (44.1)</w:t>
            </w:r>
          </w:p>
          <w:p w14:paraId="12F2396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12(35.3)</w:t>
            </w:r>
          </w:p>
          <w:p w14:paraId="7191DE8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23 (67.6)</w:t>
            </w:r>
          </w:p>
          <w:p w14:paraId="0412589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23 (67.6)</w:t>
            </w:r>
          </w:p>
          <w:p w14:paraId="4EDCEB8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 (14.7)</w:t>
            </w:r>
          </w:p>
          <w:p w14:paraId="0C4451A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18 (52.9)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CD1E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 (47.4)</w:t>
            </w:r>
          </w:p>
          <w:p w14:paraId="050C5B4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8 (42.1)</w:t>
            </w:r>
          </w:p>
          <w:p w14:paraId="4616E25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 (52.6)</w:t>
            </w:r>
          </w:p>
          <w:p w14:paraId="76F6609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14 (70)</w:t>
            </w:r>
          </w:p>
          <w:p w14:paraId="64E3C4F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 (15.8)</w:t>
            </w:r>
          </w:p>
          <w:p w14:paraId="1108F2C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 (52.6)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79AF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 (40)</w:t>
            </w:r>
          </w:p>
          <w:p w14:paraId="7EE085D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 (26.7)</w:t>
            </w:r>
          </w:p>
          <w:p w14:paraId="067B64F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 (86.7)</w:t>
            </w:r>
          </w:p>
          <w:p w14:paraId="46DD4C3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 (60)</w:t>
            </w:r>
          </w:p>
          <w:p w14:paraId="32C2D1A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 (13.3)</w:t>
            </w:r>
          </w:p>
          <w:p w14:paraId="76F2839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8 (53.3)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ECBA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0.667</w:t>
            </w:r>
          </w:p>
          <w:p w14:paraId="5CC7044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0.350</w:t>
            </w:r>
          </w:p>
          <w:p w14:paraId="59FB1BD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0.064</w:t>
            </w:r>
          </w:p>
          <w:p w14:paraId="1168B67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0.537</w:t>
            </w:r>
          </w:p>
          <w:p w14:paraId="792DC50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&gt;0.999</w:t>
            </w:r>
          </w:p>
          <w:p w14:paraId="6BEBB14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0.968</w:t>
            </w:r>
          </w:p>
        </w:tc>
      </w:tr>
      <w:tr w:rsidR="001B253C" w:rsidRPr="001B253C" w14:paraId="15C240D3"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4DBD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Depression,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3122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 (9.1)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C922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 (8.3)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095A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D2B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&gt;0.999</w:t>
            </w:r>
          </w:p>
        </w:tc>
      </w:tr>
      <w:tr w:rsidR="001B253C" w:rsidRPr="001B253C" w14:paraId="16AF5C61"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D94A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OSA,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D894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17 (15.9)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7B61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16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0852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07D2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0.106</w:t>
            </w:r>
          </w:p>
        </w:tc>
      </w:tr>
      <w:tr w:rsidR="001B253C" w:rsidRPr="001B253C" w14:paraId="0F76A1E9" w14:textId="77777777" w:rsidTr="001B253C">
        <w:trPr>
          <w:trHeight w:val="2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7A2B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Dyspnoea, (mMRC)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A507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1.59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F084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1.25 (0.6)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6EF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1.88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35F95"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0.004</w:t>
            </w:r>
          </w:p>
        </w:tc>
      </w:tr>
      <w:tr w:rsidR="001B253C" w:rsidRPr="001B253C" w14:paraId="0BC0F16C"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E25C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FVC (ml)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B739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3042 (1331)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D77B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2954 (1684)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5780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3139 (819)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9626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0.174</w:t>
            </w:r>
          </w:p>
        </w:tc>
      </w:tr>
      <w:tr w:rsidR="001B253C" w:rsidRPr="001B253C" w14:paraId="11EAB6F6"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A743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FVC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8E30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72.4 (20.1)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A723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68.2 (22.1)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C665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76.9 (17.1)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E366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0.197</w:t>
            </w:r>
          </w:p>
        </w:tc>
      </w:tr>
      <w:tr w:rsidR="001B253C" w:rsidRPr="001B253C" w14:paraId="631DA3F0"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9BA2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FEV1 (ml)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7729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1585 (620)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4C20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1470 (495)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4946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1712 (725)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D478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0.378</w:t>
            </w:r>
          </w:p>
        </w:tc>
      </w:tr>
      <w:tr w:rsidR="001B253C" w:rsidRPr="001B253C" w14:paraId="25ADC601"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71A3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FEV1 %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646C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50.4 (19.1)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688C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48.8 (17.8)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B140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52.2 (20.9)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948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0.479</w:t>
            </w:r>
          </w:p>
        </w:tc>
      </w:tr>
      <w:tr w:rsidR="001B253C" w:rsidRPr="001B253C" w14:paraId="37048F44"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1C85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FEV1/FVC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073D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53 (14.5)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A14E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54.1  (9.8)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14C3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51.8 (18.8)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5D9E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0.600</w:t>
            </w:r>
          </w:p>
        </w:tc>
      </w:tr>
      <w:tr w:rsidR="001B253C" w:rsidRPr="001B253C" w14:paraId="7B4D6661"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8E75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WT Distance (meters)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B57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432 (87.3)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DCE6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414.2 (97.3)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30B4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450.8 (73.7)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534F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0.151</w:t>
            </w:r>
          </w:p>
        </w:tc>
      </w:tr>
      <w:tr w:rsidR="001B253C" w:rsidRPr="001B253C" w14:paraId="465370B6"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D8D4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Hemoglobine (g/dL)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0AD6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15.2 (1.4)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8805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14.9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0471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15.7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54EF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0.114</w:t>
            </w:r>
          </w:p>
        </w:tc>
      </w:tr>
      <w:tr w:rsidR="001B253C" w:rsidRPr="001B253C" w14:paraId="18D82F8B"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7D02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Glucose (mg/dL)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A5B4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107.1 (21.6)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CF2E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106.3 (19.4)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FA3F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108.1 (24.5)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32ED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0.832</w:t>
            </w:r>
          </w:p>
        </w:tc>
      </w:tr>
      <w:tr w:rsidR="001B253C" w:rsidRPr="001B253C" w14:paraId="51B4B79E"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4A7B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Glycated hemoglobin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2BE2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5.86 (0.4)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60C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6.01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F0CF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5.7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007B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0.017</w:t>
            </w:r>
          </w:p>
        </w:tc>
      </w:tr>
      <w:tr w:rsidR="001B253C" w:rsidRPr="001B253C" w14:paraId="4113E076"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514D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Total cholesterol (mg/dL)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C8FC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172.2 (46.3)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3ECA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157.4 (47.9)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AA11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190.1 (38.3)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25C82"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0.006</w:t>
            </w:r>
          </w:p>
        </w:tc>
      </w:tr>
      <w:tr w:rsidR="001B253C" w:rsidRPr="001B253C" w14:paraId="606A339F"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6E4A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cHDL (mg/dL)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006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50.2 (13.6)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F8DE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47.7 (13.6)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3442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53.2 (13.2)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BAF8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0.150</w:t>
            </w:r>
          </w:p>
        </w:tc>
      </w:tr>
      <w:tr w:rsidR="001B253C" w:rsidRPr="001B253C" w14:paraId="6921ED60"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B499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cLDL (mg/dL)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A56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104.5 (41.7)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05D2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97.8 (47.6)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34B6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112.2 (33.2)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FC5B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0.103</w:t>
            </w:r>
          </w:p>
        </w:tc>
      </w:tr>
      <w:tr w:rsidR="001B253C" w:rsidRPr="001B253C" w14:paraId="74A89655"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C768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Triglycerides(mg/dL)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C268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132.3 (57.1)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E20A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139.0 (53.1)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8191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125.4 (61.6)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459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0.382</w:t>
            </w:r>
          </w:p>
        </w:tc>
      </w:tr>
      <w:tr w:rsidR="001B253C" w:rsidRPr="001B253C" w14:paraId="403DF945"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C2B0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lastRenderedPageBreak/>
              <w:t>Total exacerbations previous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420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1.66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CCA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2.04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D408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1.2 (1.4)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0BD6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0.251</w:t>
            </w:r>
          </w:p>
        </w:tc>
      </w:tr>
      <w:tr w:rsidR="001B253C" w:rsidRPr="001B253C" w14:paraId="18C88F07"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0AD6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COPD treatment</w:t>
            </w:r>
          </w:p>
          <w:p w14:paraId="5D58FA0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-ICS, n (%)</w:t>
            </w:r>
          </w:p>
          <w:p w14:paraId="397C751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-LABA, n (%)</w:t>
            </w:r>
          </w:p>
          <w:p w14:paraId="76A50D6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-LAMA,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03A01" w14:textId="77777777" w:rsidR="001B253C" w:rsidRPr="001B253C" w:rsidRDefault="001B253C" w:rsidP="001B253C">
            <w:pPr>
              <w:widowControl/>
              <w:autoSpaceDE/>
              <w:autoSpaceDN/>
              <w:rPr>
                <w:sz w:val="20"/>
                <w:szCs w:val="20"/>
                <w:lang w:val="ca-ES" w:eastAsia="ca-ES"/>
              </w:rPr>
            </w:pPr>
          </w:p>
          <w:p w14:paraId="64BE0F8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26 (59.1)</w:t>
            </w:r>
          </w:p>
          <w:p w14:paraId="6A65AB3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39 (88.6)</w:t>
            </w:r>
          </w:p>
          <w:p w14:paraId="596657A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43 (97.7)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CEF51" w14:textId="77777777" w:rsidR="001B253C" w:rsidRPr="001B253C" w:rsidRDefault="001B253C" w:rsidP="001B253C">
            <w:pPr>
              <w:widowControl/>
              <w:autoSpaceDE/>
              <w:autoSpaceDN/>
              <w:rPr>
                <w:sz w:val="20"/>
                <w:szCs w:val="20"/>
                <w:lang w:val="ca-ES" w:eastAsia="ca-ES"/>
              </w:rPr>
            </w:pPr>
          </w:p>
          <w:p w14:paraId="2AB5CDD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17 (70.8)</w:t>
            </w:r>
          </w:p>
          <w:p w14:paraId="1BA7968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23 (95.8)</w:t>
            </w:r>
          </w:p>
          <w:p w14:paraId="074609C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23 (95.8)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16671" w14:textId="77777777" w:rsidR="001B253C" w:rsidRPr="001B253C" w:rsidRDefault="001B253C" w:rsidP="001B253C">
            <w:pPr>
              <w:widowControl/>
              <w:autoSpaceDE/>
              <w:autoSpaceDN/>
              <w:rPr>
                <w:sz w:val="20"/>
                <w:szCs w:val="20"/>
                <w:lang w:val="ca-ES" w:eastAsia="ca-ES"/>
              </w:rPr>
            </w:pPr>
          </w:p>
          <w:p w14:paraId="5BF3C66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 (45)</w:t>
            </w:r>
          </w:p>
          <w:p w14:paraId="320F56F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16 (80)</w:t>
            </w:r>
          </w:p>
          <w:p w14:paraId="118799F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20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9A173" w14:textId="77777777" w:rsidR="001B253C" w:rsidRPr="001B253C" w:rsidRDefault="001B253C" w:rsidP="001B253C">
            <w:pPr>
              <w:widowControl/>
              <w:autoSpaceDE/>
              <w:autoSpaceDN/>
              <w:rPr>
                <w:sz w:val="20"/>
                <w:szCs w:val="20"/>
                <w:lang w:val="ca-ES" w:eastAsia="ca-ES"/>
              </w:rPr>
            </w:pPr>
          </w:p>
          <w:p w14:paraId="4A2365A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0.083</w:t>
            </w:r>
          </w:p>
          <w:p w14:paraId="4AFFD6A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0.160</w:t>
            </w:r>
          </w:p>
          <w:p w14:paraId="53DB228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&gt; 0.999</w:t>
            </w:r>
          </w:p>
        </w:tc>
      </w:tr>
      <w:tr w:rsidR="001B253C" w:rsidRPr="001B253C" w14:paraId="307D400E"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3CE4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Other treatment, n (%)</w:t>
            </w:r>
          </w:p>
          <w:p w14:paraId="35ADE96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-OAD</w:t>
            </w:r>
          </w:p>
          <w:p w14:paraId="6BE05D0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-Antihypertensive</w:t>
            </w:r>
          </w:p>
          <w:p w14:paraId="195CAC8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-Lipid lowering agents</w:t>
            </w:r>
          </w:p>
          <w:p w14:paraId="1352B31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-Diuretic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D7E93" w14:textId="77777777" w:rsidR="001B253C" w:rsidRPr="001B253C" w:rsidRDefault="001B253C" w:rsidP="001B253C">
            <w:pPr>
              <w:widowControl/>
              <w:autoSpaceDE/>
              <w:autoSpaceDN/>
              <w:rPr>
                <w:sz w:val="20"/>
                <w:szCs w:val="20"/>
                <w:lang w:val="ca-ES" w:eastAsia="ca-ES"/>
              </w:rPr>
            </w:pPr>
          </w:p>
          <w:p w14:paraId="28DDCBF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 (14.6)</w:t>
            </w:r>
          </w:p>
          <w:p w14:paraId="5FE647D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20 (46.5)</w:t>
            </w:r>
          </w:p>
          <w:p w14:paraId="205E50F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16 (38.1)</w:t>
            </w:r>
          </w:p>
          <w:p w14:paraId="5D55732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7 (17.5)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00520" w14:textId="77777777" w:rsidR="001B253C" w:rsidRPr="001B253C" w:rsidRDefault="001B253C" w:rsidP="001B253C">
            <w:pPr>
              <w:widowControl/>
              <w:autoSpaceDE/>
              <w:autoSpaceDN/>
              <w:rPr>
                <w:sz w:val="20"/>
                <w:szCs w:val="20"/>
                <w:lang w:val="ca-ES" w:eastAsia="ca-ES"/>
              </w:rPr>
            </w:pPr>
          </w:p>
          <w:p w14:paraId="7741618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 (23.8)</w:t>
            </w:r>
          </w:p>
          <w:p w14:paraId="224888F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 (56.5)</w:t>
            </w:r>
          </w:p>
          <w:p w14:paraId="53BC03E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11 (50)</w:t>
            </w:r>
          </w:p>
          <w:p w14:paraId="6EEDFB3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B98CB" w14:textId="77777777" w:rsidR="001B253C" w:rsidRPr="001B253C" w:rsidRDefault="001B253C" w:rsidP="001B253C">
            <w:pPr>
              <w:widowControl/>
              <w:autoSpaceDE/>
              <w:autoSpaceDN/>
              <w:rPr>
                <w:sz w:val="20"/>
                <w:szCs w:val="20"/>
                <w:lang w:val="ca-ES" w:eastAsia="ca-ES"/>
              </w:rPr>
            </w:pPr>
          </w:p>
          <w:p w14:paraId="2FB16A8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 (5)</w:t>
            </w:r>
          </w:p>
          <w:p w14:paraId="4451960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7 (35)</w:t>
            </w:r>
          </w:p>
          <w:p w14:paraId="08F4D56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 (25)</w:t>
            </w:r>
          </w:p>
          <w:p w14:paraId="33AC4C0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806E" w14:textId="77777777" w:rsidR="001B253C" w:rsidRPr="001B253C" w:rsidRDefault="001B253C" w:rsidP="001B253C">
            <w:pPr>
              <w:widowControl/>
              <w:autoSpaceDE/>
              <w:autoSpaceDN/>
              <w:rPr>
                <w:sz w:val="20"/>
                <w:szCs w:val="20"/>
                <w:lang w:val="ca-ES" w:eastAsia="ca-ES"/>
              </w:rPr>
            </w:pPr>
          </w:p>
          <w:p w14:paraId="7964FEA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0.184</w:t>
            </w:r>
          </w:p>
          <w:p w14:paraId="328984A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0.158</w:t>
            </w:r>
          </w:p>
          <w:p w14:paraId="60B3325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0.096</w:t>
            </w:r>
          </w:p>
          <w:p w14:paraId="559E2EF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0.407</w:t>
            </w:r>
          </w:p>
        </w:tc>
      </w:tr>
      <w:tr w:rsidR="001B253C" w:rsidRPr="001B253C" w14:paraId="43E2C8D8"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F300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BODEx score (N=26)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164C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2.85 (2.05)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5603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3.94 (1.69)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92A7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1.1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F2D8A"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0.001</w:t>
            </w:r>
          </w:p>
        </w:tc>
      </w:tr>
      <w:tr w:rsidR="001B253C" w:rsidRPr="001B253C" w14:paraId="2454EF1B"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EBC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CAT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4D49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16.5 (10.6)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C473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22.2 (9.2)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6240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9.6 (7.7)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1598A"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&lt; 0.001</w:t>
            </w:r>
          </w:p>
        </w:tc>
      </w:tr>
      <w:tr w:rsidR="001B253C" w:rsidRPr="001B253C" w14:paraId="4C166921"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5AED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HADS</w:t>
            </w:r>
          </w:p>
          <w:p w14:paraId="7CF0FAE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HADS depression </w:t>
            </w:r>
          </w:p>
          <w:p w14:paraId="43D6E58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HADS anxiety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307C6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11.5 (7.6)</w:t>
            </w:r>
          </w:p>
          <w:p w14:paraId="2D2262A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5.43 (3.7)</w:t>
            </w:r>
          </w:p>
          <w:p w14:paraId="1B2E65B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6.09 (4.4)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13CA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13.3 (6.9)</w:t>
            </w:r>
          </w:p>
          <w:p w14:paraId="707FBED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6.65 (3.7)</w:t>
            </w:r>
          </w:p>
          <w:p w14:paraId="6FC8E31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6.65 (3.9)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BDEBE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9.13 (8.1)</w:t>
            </w:r>
          </w:p>
          <w:p w14:paraId="791026C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3.8 (3.3)</w:t>
            </w:r>
          </w:p>
          <w:p w14:paraId="7BAC980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5.333 (5.1)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1289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0.054</w:t>
            </w:r>
          </w:p>
          <w:p w14:paraId="6F8E55C2"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0.021</w:t>
            </w:r>
          </w:p>
          <w:p w14:paraId="427CE2D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0.192</w:t>
            </w:r>
          </w:p>
        </w:tc>
      </w:tr>
      <w:tr w:rsidR="001B253C" w:rsidRPr="001B253C" w14:paraId="0FC8412A"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04D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EQ-5D Utility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2442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8.32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D982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9.43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235E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7.21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9D75F"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0.015</w:t>
            </w:r>
          </w:p>
        </w:tc>
      </w:tr>
      <w:tr w:rsidR="001B253C" w:rsidRPr="001B253C" w14:paraId="1A9BC485"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8A01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EQ-5D 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2057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60 (24.6)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89D2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54.6 (24.4)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1521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67.1 (23.9)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7C27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0.076</w:t>
            </w:r>
          </w:p>
        </w:tc>
      </w:tr>
    </w:tbl>
    <w:p w14:paraId="2D2209E4" w14:textId="5F04DD67" w:rsidR="00EC3280" w:rsidRDefault="00EC3280" w:rsidP="001B253C">
      <w:pPr>
        <w:pStyle w:val="BodyText"/>
      </w:pPr>
    </w:p>
    <w:p w14:paraId="2D0981F6" w14:textId="77777777" w:rsidR="00EC3280" w:rsidRDefault="00EC3280" w:rsidP="00EC3280">
      <w:pPr>
        <w:pStyle w:val="BodyText"/>
        <w:spacing w:before="177"/>
        <w:ind w:right="4"/>
        <w:jc w:val="center"/>
      </w:pPr>
      <w:r>
        <w:rPr>
          <w:rFonts w:ascii="Arial"/>
          <w:b/>
        </w:rPr>
        <w:t>Table</w:t>
      </w:r>
      <w:r>
        <w:rPr>
          <w:rFonts w:ascii="Arial"/>
          <w:b/>
          <w:spacing w:val="-10"/>
        </w:rPr>
        <w:t xml:space="preserve"> </w:t>
      </w:r>
      <w:r>
        <w:rPr>
          <w:rFonts w:ascii="Arial"/>
          <w:b/>
        </w:rPr>
        <w:t>1.</w:t>
      </w:r>
      <w:r>
        <w:rPr>
          <w:rFonts w:ascii="Arial"/>
          <w:b/>
          <w:spacing w:val="2"/>
        </w:rPr>
        <w:t xml:space="preserve"> </w:t>
      </w:r>
      <w:r w:rsidRPr="001C1B46">
        <w:t>Clinical characteristics and questionnaires in all patients and according to the ED severity.</w:t>
      </w:r>
    </w:p>
    <w:p w14:paraId="5E8FE710" w14:textId="01CA9977" w:rsidR="00EC3280" w:rsidRPr="00EC3280" w:rsidRDefault="00EC3280" w:rsidP="00EC3280">
      <w:pPr>
        <w:pStyle w:val="BodyText"/>
        <w:spacing w:before="177"/>
        <w:ind w:right="4"/>
        <w:jc w:val="both"/>
        <w:rPr>
          <w:spacing w:val="-2"/>
        </w:rPr>
        <w:sectPr w:rsidR="00EC3280" w:rsidRPr="00EC3280">
          <w:footerReference w:type="default" r:id="rId7"/>
          <w:pgSz w:w="12240" w:h="15840"/>
          <w:pgMar w:top="1220" w:right="1080" w:bottom="840" w:left="1080" w:header="0" w:footer="648" w:gutter="0"/>
          <w:pgNumType w:start="2"/>
          <w:cols w:space="720"/>
        </w:sectPr>
      </w:pPr>
      <w:r w:rsidRPr="001C1B46">
        <w:rPr>
          <w:spacing w:val="-2"/>
        </w:rPr>
        <w:t xml:space="preserve">Footnote: Data are presented as mean (SD) unless otherwise specified. Abbreviations: BMI: Body Mass Index;BODEx: Body mass index, airflow Obstruction, Dyspnea and Exacerbation; BP: Blood pressure; CAT: COPD Assessment Test;  cHDL: high-density lipoprotein cholesterol; cLDL: low-density lipoprotein cholesterol; ED:Erectile dysfunction; EQ-5D: EuroQol-5; FEV1: Forced expiratory volume in the first second; FVC: Forced Vital Capacity; HADS: Hospital Anxiety and Depression Scale; ICS: inhaled corticosteroids; LAMA: long-acting antimuscarinic agents; LABA: long-acting beta-2 agonists;  mMRC: Modified Medical Research Council; OAD: Oral antidiabetics; OSA: Obstructive sleep apnea; SpO2: Oxygen saturation; TG: Triglyceride; WT: Walking test. </w:t>
      </w:r>
    </w:p>
    <w:p w14:paraId="0BDB0D32" w14:textId="77777777" w:rsidR="001C1B46" w:rsidRDefault="001C1B46" w:rsidP="00EC3280">
      <w:pPr>
        <w:pStyle w:val="BodyText"/>
        <w:spacing w:before="177"/>
        <w:ind w:right="4"/>
        <w:rPr>
          <w:spacing w:val="-2"/>
        </w:rPr>
      </w:pPr>
      <w:bookmarkStart w:id="0" w:name="_bookmark3"/>
      <w:bookmarkStart w:id="1" w:name="_bookmark4"/>
      <w:bookmarkEnd w:id="0"/>
      <w:bookmarkEnd w:id="1"/>
    </w:p>
    <w:tbl>
      <w:tblPr>
        <w:tblW w:w="0" w:type="auto"/>
        <w:tblCellMar>
          <w:top w:w="15" w:type="dxa"/>
          <w:left w:w="15" w:type="dxa"/>
          <w:bottom w:w="15" w:type="dxa"/>
          <w:right w:w="15" w:type="dxa"/>
        </w:tblCellMar>
        <w:tblLook w:val="04A0" w:firstRow="1" w:lastRow="0" w:firstColumn="1" w:lastColumn="0" w:noHBand="0" w:noVBand="1"/>
      </w:tblPr>
      <w:tblGrid>
        <w:gridCol w:w="3989"/>
        <w:gridCol w:w="1228"/>
        <w:gridCol w:w="1662"/>
        <w:gridCol w:w="2388"/>
        <w:gridCol w:w="803"/>
      </w:tblGrid>
      <w:tr w:rsidR="001B253C" w:rsidRPr="001B253C" w14:paraId="462F7A2B"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9837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4D1B4"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Total (N = 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DDB0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Severe ED (IIEF-5 &lt;7)</w:t>
            </w:r>
          </w:p>
          <w:p w14:paraId="4E097AE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(N=24)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BFEE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Non-severe ED (IIEF-5 ≥7) (N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FA73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p value </w:t>
            </w:r>
          </w:p>
        </w:tc>
      </w:tr>
      <w:tr w:rsidR="001B253C" w:rsidRPr="001B253C" w14:paraId="7D67D299"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EA78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PSA (ng/ml)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CB83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1.9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3B9D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2.1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E7A2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1.7 (1.9)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0F15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0.450</w:t>
            </w:r>
          </w:p>
        </w:tc>
      </w:tr>
      <w:tr w:rsidR="001B253C" w:rsidRPr="001B253C" w14:paraId="5CBCE7F0"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72DB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Total testosterone (ng/dl)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2BD1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208.3 (181.9)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D313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203.6 (170.9)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C93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214 (198.7)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64DA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0.981</w:t>
            </w:r>
          </w:p>
        </w:tc>
      </w:tr>
      <w:tr w:rsidR="001B253C" w:rsidRPr="001B253C" w14:paraId="064CF3FA"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AC2D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Biochemical TDS (&lt;250ng/dl total serum testosterone), 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1BE7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31 (70.5)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3FD6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17 (70.8)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DE23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14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B2FF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0.952</w:t>
            </w:r>
          </w:p>
        </w:tc>
      </w:tr>
      <w:tr w:rsidR="001B253C" w:rsidRPr="001B253C" w14:paraId="27B99105"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862F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SHBG (mg/dL)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A3AF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42.1 (24.9)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59C6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46.1 (29.6)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EFB8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37.5 (17.8)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3720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0.770</w:t>
            </w:r>
          </w:p>
        </w:tc>
      </w:tr>
      <w:tr w:rsidR="001B253C" w:rsidRPr="001B253C" w14:paraId="0E676087" w14:textId="77777777" w:rsidTr="001B253C">
        <w:trPr>
          <w:trHeight w:val="2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D271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LH (mlU/mL)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0D33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5.8 (6.2)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3B5D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7.8 (7.8)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4CF6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3.7 (2.8)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48BE4"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0.001</w:t>
            </w:r>
          </w:p>
        </w:tc>
      </w:tr>
      <w:tr w:rsidR="001B253C" w:rsidRPr="001B253C" w14:paraId="5DC28B3F"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EE57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FSH (UI/L)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52E6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11.4 (12.6)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276D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14.8 (15.7)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60A3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7.6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3DB5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0.008</w:t>
            </w:r>
          </w:p>
        </w:tc>
      </w:tr>
      <w:tr w:rsidR="001B253C" w:rsidRPr="001B253C" w14:paraId="0A380396"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4C66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IIEF-5 score. Domains: </w:t>
            </w:r>
          </w:p>
          <w:p w14:paraId="341D3BE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-Erectile function</w:t>
            </w:r>
          </w:p>
          <w:p w14:paraId="60910EB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-Orgasmic function</w:t>
            </w:r>
          </w:p>
          <w:p w14:paraId="37EEB35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-Sexual desire</w:t>
            </w:r>
          </w:p>
          <w:p w14:paraId="5B61D15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-Intercourse satisfaction</w:t>
            </w:r>
          </w:p>
          <w:p w14:paraId="52A7CE5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-Overall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2D49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31.3 (23.7)</w:t>
            </w:r>
          </w:p>
          <w:p w14:paraId="23C3670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9.6 (8.9)</w:t>
            </w:r>
          </w:p>
          <w:p w14:paraId="1A55134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4.9 (4.5)</w:t>
            </w:r>
          </w:p>
          <w:p w14:paraId="4CD21F9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5.3 (2.6)</w:t>
            </w:r>
          </w:p>
          <w:p w14:paraId="341249D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4.9 (5.1)</w:t>
            </w:r>
          </w:p>
          <w:p w14:paraId="3CA82F4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4.7 (2.8)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A6CA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13.2 (8.5)</w:t>
            </w:r>
          </w:p>
          <w:p w14:paraId="4597A69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2.7 (2.1)</w:t>
            </w:r>
          </w:p>
          <w:p w14:paraId="65DF2A8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1.8 (3)</w:t>
            </w:r>
          </w:p>
          <w:p w14:paraId="3D703D7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4.2 (2.7)</w:t>
            </w:r>
          </w:p>
          <w:p w14:paraId="15F1BFD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1.3 (2)</w:t>
            </w:r>
          </w:p>
          <w:p w14:paraId="76595FE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2.7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07DE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53.1 (16.4)</w:t>
            </w:r>
          </w:p>
          <w:p w14:paraId="3CABCDA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17.8 (6.5)</w:t>
            </w:r>
          </w:p>
          <w:p w14:paraId="25FE6B3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8.7 (2.4)</w:t>
            </w:r>
          </w:p>
          <w:p w14:paraId="2C64297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6.6 (1.9)</w:t>
            </w:r>
          </w:p>
          <w:p w14:paraId="1997D08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9.3 (4.2)</w:t>
            </w:r>
          </w:p>
          <w:p w14:paraId="7027FFD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7.1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EE6C6"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&lt; 0.001</w:t>
            </w:r>
          </w:p>
        </w:tc>
      </w:tr>
      <w:tr w:rsidR="001B253C" w:rsidRPr="001B253C" w14:paraId="2333E520" w14:textId="77777777" w:rsidTr="001B253C">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E5A2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IPSS (N = 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62B2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8.4 (7.4)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2DAA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11.3 (8.2)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AFDD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4.8 (4.4)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87A9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0.001</w:t>
            </w:r>
          </w:p>
        </w:tc>
      </w:tr>
      <w:tr w:rsidR="001B253C" w:rsidRPr="001B253C" w14:paraId="61D69408"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9B02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Degree IPSS, n (%)</w:t>
            </w:r>
          </w:p>
          <w:p w14:paraId="581886F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-Mild</w:t>
            </w:r>
          </w:p>
          <w:p w14:paraId="3FFF6D2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-Moderate</w:t>
            </w:r>
          </w:p>
          <w:p w14:paraId="450C4C5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-Severe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614C" w14:textId="77777777" w:rsidR="001B253C" w:rsidRPr="001B253C" w:rsidRDefault="001B253C" w:rsidP="001B253C">
            <w:pPr>
              <w:widowControl/>
              <w:autoSpaceDE/>
              <w:autoSpaceDN/>
              <w:rPr>
                <w:sz w:val="20"/>
                <w:szCs w:val="20"/>
                <w:lang w:val="ca-ES" w:eastAsia="ca-ES"/>
              </w:rPr>
            </w:pPr>
          </w:p>
          <w:p w14:paraId="1F1957F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18 (47)</w:t>
            </w:r>
          </w:p>
          <w:p w14:paraId="2A511AF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16 (42)</w:t>
            </w:r>
          </w:p>
          <w:p w14:paraId="0483527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 (10.5)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F5A93" w14:textId="77777777" w:rsidR="001B253C" w:rsidRPr="001B253C" w:rsidRDefault="001B253C" w:rsidP="001B253C">
            <w:pPr>
              <w:widowControl/>
              <w:autoSpaceDE/>
              <w:autoSpaceDN/>
              <w:rPr>
                <w:sz w:val="20"/>
                <w:szCs w:val="20"/>
                <w:lang w:val="ca-ES" w:eastAsia="ca-ES"/>
              </w:rPr>
            </w:pPr>
          </w:p>
          <w:p w14:paraId="2B428DD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5 (23.8)</w:t>
            </w:r>
          </w:p>
          <w:p w14:paraId="33488C8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12 (57)</w:t>
            </w:r>
          </w:p>
          <w:p w14:paraId="0143266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 (19)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FD37" w14:textId="77777777" w:rsidR="001B253C" w:rsidRPr="001B253C" w:rsidRDefault="001B253C" w:rsidP="001B253C">
            <w:pPr>
              <w:widowControl/>
              <w:autoSpaceDE/>
              <w:autoSpaceDN/>
              <w:rPr>
                <w:sz w:val="20"/>
                <w:szCs w:val="20"/>
                <w:lang w:val="ca-ES" w:eastAsia="ca-ES"/>
              </w:rPr>
            </w:pPr>
          </w:p>
          <w:p w14:paraId="346FE3C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13 (76.5)</w:t>
            </w:r>
          </w:p>
          <w:p w14:paraId="438107A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 (23.5)</w:t>
            </w:r>
          </w:p>
          <w:p w14:paraId="480EFA5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63F49"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0.003</w:t>
            </w:r>
          </w:p>
        </w:tc>
      </w:tr>
      <w:tr w:rsidR="001B253C" w:rsidRPr="001B253C" w14:paraId="7C2BB97A"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9DFC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AMSS  (N=33)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BD28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38.8 (13.3)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8661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42.8 (11.3)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0C95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33.5 (14.3)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99BD3"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0.031</w:t>
            </w:r>
          </w:p>
        </w:tc>
      </w:tr>
      <w:tr w:rsidR="001B253C" w:rsidRPr="001B253C" w14:paraId="4B78E039" w14:textId="77777777" w:rsidTr="001B25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7822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AMSS score degree, n (%)</w:t>
            </w:r>
          </w:p>
          <w:p w14:paraId="67C8178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-asymptomatic </w:t>
            </w:r>
          </w:p>
          <w:p w14:paraId="023AC92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 mild</w:t>
            </w:r>
          </w:p>
          <w:p w14:paraId="24444287"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-moderate</w:t>
            </w:r>
          </w:p>
          <w:p w14:paraId="69B8E89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-severe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FFEDC" w14:textId="77777777" w:rsidR="001B253C" w:rsidRPr="001B253C" w:rsidRDefault="001B253C" w:rsidP="001B253C">
            <w:pPr>
              <w:widowControl/>
              <w:autoSpaceDE/>
              <w:autoSpaceDN/>
              <w:rPr>
                <w:sz w:val="20"/>
                <w:szCs w:val="20"/>
                <w:lang w:val="ca-ES" w:eastAsia="ca-ES"/>
              </w:rPr>
            </w:pPr>
          </w:p>
          <w:p w14:paraId="61A1307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8 (24.2)</w:t>
            </w:r>
          </w:p>
          <w:p w14:paraId="7FCDFAE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7 (21.2)</w:t>
            </w:r>
          </w:p>
          <w:p w14:paraId="1C1F8BC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10(30.3)</w:t>
            </w:r>
          </w:p>
          <w:p w14:paraId="0141D73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8 (24.2)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A19DE" w14:textId="77777777" w:rsidR="001B253C" w:rsidRPr="001B253C" w:rsidRDefault="001B253C" w:rsidP="001B253C">
            <w:pPr>
              <w:widowControl/>
              <w:autoSpaceDE/>
              <w:autoSpaceDN/>
              <w:rPr>
                <w:sz w:val="20"/>
                <w:szCs w:val="20"/>
                <w:lang w:val="ca-ES" w:eastAsia="ca-ES"/>
              </w:rPr>
            </w:pPr>
          </w:p>
          <w:p w14:paraId="10EF3F0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 (5.3)</w:t>
            </w:r>
          </w:p>
          <w:p w14:paraId="4551CBA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6 (31.6)</w:t>
            </w:r>
          </w:p>
          <w:p w14:paraId="6DFDC26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7 (36.8)</w:t>
            </w:r>
          </w:p>
          <w:p w14:paraId="3B176D8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5 (26.3)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220AD" w14:textId="77777777" w:rsidR="001B253C" w:rsidRPr="001B253C" w:rsidRDefault="001B253C" w:rsidP="001B253C">
            <w:pPr>
              <w:widowControl/>
              <w:autoSpaceDE/>
              <w:autoSpaceDN/>
              <w:rPr>
                <w:sz w:val="20"/>
                <w:szCs w:val="20"/>
                <w:lang w:val="ca-ES" w:eastAsia="ca-ES"/>
              </w:rPr>
            </w:pPr>
          </w:p>
          <w:p w14:paraId="743C42A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7 (50)</w:t>
            </w:r>
          </w:p>
          <w:p w14:paraId="46D59DD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 (7.1)</w:t>
            </w:r>
          </w:p>
          <w:p w14:paraId="0C1427B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 (21.4)</w:t>
            </w:r>
          </w:p>
          <w:p w14:paraId="7C44EB6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3 (21.4)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6B5C9"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0.025</w:t>
            </w:r>
          </w:p>
        </w:tc>
      </w:tr>
    </w:tbl>
    <w:p w14:paraId="6857D963" w14:textId="78C965F0" w:rsidR="001C1B46" w:rsidRDefault="001C1B46">
      <w:pPr>
        <w:pStyle w:val="BodyText"/>
        <w:spacing w:before="177"/>
        <w:ind w:right="4"/>
        <w:jc w:val="center"/>
      </w:pPr>
    </w:p>
    <w:p w14:paraId="32045680" w14:textId="1555E958" w:rsidR="00EC3280" w:rsidRDefault="00EC3280">
      <w:pPr>
        <w:pStyle w:val="BodyText"/>
        <w:spacing w:before="177"/>
        <w:ind w:right="4"/>
        <w:jc w:val="center"/>
      </w:pPr>
    </w:p>
    <w:p w14:paraId="1E45B22A" w14:textId="77777777" w:rsidR="00EC3280" w:rsidRDefault="00EC3280" w:rsidP="00EC3280">
      <w:pPr>
        <w:pStyle w:val="BodyText"/>
        <w:spacing w:before="177"/>
        <w:ind w:right="4"/>
      </w:pPr>
    </w:p>
    <w:p w14:paraId="58049E55" w14:textId="29CD08CC" w:rsidR="00EC3280" w:rsidRPr="00EC3280" w:rsidRDefault="00EC3280" w:rsidP="00EC3280">
      <w:pPr>
        <w:pStyle w:val="BodyText"/>
        <w:spacing w:before="177"/>
        <w:ind w:right="4"/>
        <w:jc w:val="center"/>
        <w:rPr>
          <w:bCs/>
        </w:rPr>
      </w:pPr>
      <w:r w:rsidRPr="00EC3280">
        <w:rPr>
          <w:b/>
        </w:rPr>
        <w:t>Table</w:t>
      </w:r>
      <w:r w:rsidRPr="00EC3280">
        <w:rPr>
          <w:b/>
          <w:spacing w:val="-10"/>
        </w:rPr>
        <w:t xml:space="preserve"> </w:t>
      </w:r>
      <w:r w:rsidRPr="00EC3280">
        <w:rPr>
          <w:b/>
        </w:rPr>
        <w:t>2.</w:t>
      </w:r>
      <w:r w:rsidRPr="00EC3280">
        <w:rPr>
          <w:b/>
          <w:spacing w:val="2"/>
        </w:rPr>
        <w:t xml:space="preserve"> </w:t>
      </w:r>
      <w:r w:rsidRPr="00EC3280">
        <w:rPr>
          <w:bCs/>
          <w:spacing w:val="2"/>
        </w:rPr>
        <w:t>Andrological and urological characteristics in all patients and according to the ED severity.</w:t>
      </w:r>
    </w:p>
    <w:p w14:paraId="6E2852F9" w14:textId="7D1C59F6" w:rsidR="00EC3280" w:rsidRDefault="00EC3280" w:rsidP="00EC3280">
      <w:pPr>
        <w:pStyle w:val="BodyText"/>
        <w:spacing w:before="177"/>
        <w:ind w:right="4"/>
        <w:jc w:val="both"/>
      </w:pPr>
      <w:r w:rsidRPr="00EC3280">
        <w:t>Footnote: Data are presented as mean (SD) unless otherwise specified. Abbreviations: AMSS: Aging Males' Symptoms Scale; ED:Erectile dysfunction; FSH: Follicle stimulating hormone;  IIEF-5: International Index of Erectile Function; IPSS: International Prostate Symptom Score; LH: Luteinizing hormone; PSA: Prostate-specific antigen; SHBG: sex hormone binding globulin; TDS: Testosterone deficiency syndrome</w:t>
      </w:r>
    </w:p>
    <w:p w14:paraId="5E9E6870" w14:textId="6CFD5BFD" w:rsidR="00EC3280" w:rsidRDefault="00EC3280" w:rsidP="00EC3280">
      <w:pPr>
        <w:pStyle w:val="BodyText"/>
        <w:spacing w:before="177"/>
        <w:ind w:right="4"/>
        <w:jc w:val="both"/>
      </w:pPr>
    </w:p>
    <w:p w14:paraId="4EBEE076" w14:textId="1900159D" w:rsidR="001B253C" w:rsidRDefault="001B253C" w:rsidP="00EC3280">
      <w:pPr>
        <w:pStyle w:val="BodyText"/>
        <w:spacing w:before="177"/>
        <w:ind w:right="4"/>
        <w:jc w:val="both"/>
      </w:pPr>
    </w:p>
    <w:p w14:paraId="3349D97D" w14:textId="5F3785F6" w:rsidR="001B253C" w:rsidRDefault="001B253C" w:rsidP="00EC3280">
      <w:pPr>
        <w:pStyle w:val="BodyText"/>
        <w:spacing w:before="177"/>
        <w:ind w:right="4"/>
        <w:jc w:val="both"/>
      </w:pPr>
    </w:p>
    <w:p w14:paraId="701B1D55" w14:textId="605FB6E1" w:rsidR="001B253C" w:rsidRDefault="001B253C" w:rsidP="00EC3280">
      <w:pPr>
        <w:pStyle w:val="BodyText"/>
        <w:spacing w:before="177"/>
        <w:ind w:right="4"/>
        <w:jc w:val="both"/>
      </w:pPr>
    </w:p>
    <w:p w14:paraId="52F7AE3A" w14:textId="39730435" w:rsidR="001B253C" w:rsidRDefault="001B253C" w:rsidP="00EC3280">
      <w:pPr>
        <w:pStyle w:val="BodyText"/>
        <w:spacing w:before="177"/>
        <w:ind w:right="4"/>
        <w:jc w:val="both"/>
      </w:pPr>
    </w:p>
    <w:p w14:paraId="0C75294B" w14:textId="10CAEC8D" w:rsidR="001B253C" w:rsidRDefault="001B253C" w:rsidP="00EC3280">
      <w:pPr>
        <w:pStyle w:val="BodyText"/>
        <w:spacing w:before="177"/>
        <w:ind w:right="4"/>
        <w:jc w:val="both"/>
      </w:pPr>
    </w:p>
    <w:p w14:paraId="53E1A5D4" w14:textId="264CAA86" w:rsidR="001B253C" w:rsidRDefault="001B253C" w:rsidP="00EC3280">
      <w:pPr>
        <w:pStyle w:val="BodyText"/>
        <w:spacing w:before="177"/>
        <w:ind w:right="4"/>
        <w:jc w:val="both"/>
      </w:pPr>
    </w:p>
    <w:p w14:paraId="6636AF78" w14:textId="77777777" w:rsidR="001B253C" w:rsidRDefault="001B253C" w:rsidP="00EC3280">
      <w:pPr>
        <w:pStyle w:val="BodyText"/>
        <w:spacing w:before="177"/>
        <w:ind w:right="4"/>
        <w:jc w:val="both"/>
      </w:pPr>
    </w:p>
    <w:p w14:paraId="39491573" w14:textId="77777777" w:rsidR="001B253C" w:rsidRPr="001B253C" w:rsidRDefault="001B253C" w:rsidP="001B253C">
      <w:pPr>
        <w:widowControl/>
        <w:autoSpaceDE/>
        <w:autoSpaceDN/>
        <w:spacing w:before="240" w:after="240"/>
        <w:jc w:val="center"/>
        <w:rPr>
          <w:sz w:val="20"/>
          <w:szCs w:val="20"/>
          <w:lang w:val="ca-ES" w:eastAsia="ca-ES"/>
        </w:rPr>
      </w:pPr>
      <w:r w:rsidRPr="001B253C">
        <w:rPr>
          <w:b/>
          <w:bCs/>
          <w:color w:val="000000"/>
          <w:sz w:val="20"/>
          <w:szCs w:val="20"/>
          <w:lang w:val="ca-ES" w:eastAsia="ca-ES"/>
        </w:rPr>
        <w:lastRenderedPageBreak/>
        <w:t>Degree AMSS</w:t>
      </w:r>
    </w:p>
    <w:tbl>
      <w:tblPr>
        <w:tblW w:w="0" w:type="auto"/>
        <w:tblInd w:w="2020" w:type="dxa"/>
        <w:tblCellMar>
          <w:top w:w="15" w:type="dxa"/>
          <w:left w:w="15" w:type="dxa"/>
          <w:bottom w:w="15" w:type="dxa"/>
          <w:right w:w="15" w:type="dxa"/>
        </w:tblCellMar>
        <w:tblLook w:val="04A0" w:firstRow="1" w:lastRow="0" w:firstColumn="1" w:lastColumn="0" w:noHBand="0" w:noVBand="1"/>
      </w:tblPr>
      <w:tblGrid>
        <w:gridCol w:w="1017"/>
        <w:gridCol w:w="1314"/>
        <w:gridCol w:w="1461"/>
        <w:gridCol w:w="2232"/>
      </w:tblGrid>
      <w:tr w:rsidR="001B253C" w:rsidRPr="001B253C" w14:paraId="37D24E63" w14:textId="77777777" w:rsidTr="001B253C">
        <w:trPr>
          <w:trHeight w:val="9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8B9FD" w14:textId="77777777" w:rsidR="001B253C" w:rsidRPr="001B253C" w:rsidRDefault="001B253C" w:rsidP="001B253C">
            <w:pPr>
              <w:widowControl/>
              <w:autoSpaceDE/>
              <w:autoSpaceDN/>
              <w:rPr>
                <w:sz w:val="20"/>
                <w:szCs w:val="20"/>
                <w:lang w:val="ca-ES" w:eastAsia="ca-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F741" w14:textId="77777777" w:rsidR="001B253C" w:rsidRPr="001B253C" w:rsidRDefault="001B253C" w:rsidP="001B253C">
            <w:pPr>
              <w:widowControl/>
              <w:autoSpaceDE/>
              <w:autoSpaceDN/>
              <w:spacing w:before="240" w:after="240"/>
              <w:jc w:val="center"/>
              <w:rPr>
                <w:sz w:val="20"/>
                <w:szCs w:val="20"/>
                <w:lang w:val="ca-ES" w:eastAsia="ca-ES"/>
              </w:rPr>
            </w:pPr>
            <w:r w:rsidRPr="001B253C">
              <w:rPr>
                <w:b/>
                <w:bCs/>
                <w:color w:val="000000"/>
                <w:sz w:val="20"/>
                <w:szCs w:val="20"/>
                <w:lang w:val="ca-ES" w:eastAsia="ca-ES"/>
              </w:rPr>
              <w:t>Total (N=33)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13201" w14:textId="77777777" w:rsidR="001B253C" w:rsidRPr="001B253C" w:rsidRDefault="001B253C" w:rsidP="001B253C">
            <w:pPr>
              <w:widowControl/>
              <w:autoSpaceDE/>
              <w:autoSpaceDN/>
              <w:spacing w:before="240" w:after="240"/>
              <w:jc w:val="center"/>
              <w:rPr>
                <w:sz w:val="20"/>
                <w:szCs w:val="20"/>
                <w:lang w:val="ca-ES" w:eastAsia="ca-ES"/>
              </w:rPr>
            </w:pPr>
            <w:r w:rsidRPr="001B253C">
              <w:rPr>
                <w:b/>
                <w:bCs/>
                <w:color w:val="000000"/>
                <w:sz w:val="20"/>
                <w:szCs w:val="20"/>
                <w:lang w:val="ca-ES" w:eastAsia="ca-ES"/>
              </w:rPr>
              <w:t>Asymptomatic</w:t>
            </w:r>
          </w:p>
          <w:p w14:paraId="786855CF" w14:textId="77777777" w:rsidR="001B253C" w:rsidRPr="001B253C" w:rsidRDefault="001B253C" w:rsidP="001B253C">
            <w:pPr>
              <w:widowControl/>
              <w:autoSpaceDE/>
              <w:autoSpaceDN/>
              <w:spacing w:before="240" w:after="240"/>
              <w:jc w:val="center"/>
              <w:rPr>
                <w:sz w:val="20"/>
                <w:szCs w:val="20"/>
                <w:lang w:val="ca-ES" w:eastAsia="ca-ES"/>
              </w:rPr>
            </w:pPr>
            <w:r w:rsidRPr="001B253C">
              <w:rPr>
                <w:b/>
                <w:bCs/>
                <w:color w:val="000000"/>
                <w:sz w:val="20"/>
                <w:szCs w:val="20"/>
                <w:lang w:val="ca-ES" w:eastAsia="ca-ES"/>
              </w:rPr>
              <w:t>N= 8 (24.2%)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0D35E" w14:textId="77777777" w:rsidR="001B253C" w:rsidRPr="001B253C" w:rsidRDefault="001B253C" w:rsidP="001B253C">
            <w:pPr>
              <w:widowControl/>
              <w:autoSpaceDE/>
              <w:autoSpaceDN/>
              <w:spacing w:before="240" w:after="240"/>
              <w:jc w:val="center"/>
              <w:rPr>
                <w:sz w:val="20"/>
                <w:szCs w:val="20"/>
                <w:lang w:val="ca-ES" w:eastAsia="ca-ES"/>
              </w:rPr>
            </w:pPr>
            <w:r w:rsidRPr="001B253C">
              <w:rPr>
                <w:b/>
                <w:bCs/>
                <w:color w:val="000000"/>
                <w:sz w:val="20"/>
                <w:szCs w:val="20"/>
                <w:lang w:val="ca-ES" w:eastAsia="ca-ES"/>
              </w:rPr>
              <w:t>Mild/ moderate / severe</w:t>
            </w:r>
          </w:p>
          <w:p w14:paraId="7BA9B003" w14:textId="77777777" w:rsidR="001B253C" w:rsidRPr="001B253C" w:rsidRDefault="001B253C" w:rsidP="001B253C">
            <w:pPr>
              <w:widowControl/>
              <w:autoSpaceDE/>
              <w:autoSpaceDN/>
              <w:spacing w:before="240" w:after="240"/>
              <w:jc w:val="center"/>
              <w:rPr>
                <w:sz w:val="20"/>
                <w:szCs w:val="20"/>
                <w:lang w:val="ca-ES" w:eastAsia="ca-ES"/>
              </w:rPr>
            </w:pPr>
            <w:r w:rsidRPr="001B253C">
              <w:rPr>
                <w:b/>
                <w:bCs/>
                <w:color w:val="000000"/>
                <w:sz w:val="20"/>
                <w:szCs w:val="20"/>
                <w:lang w:val="ca-ES" w:eastAsia="ca-ES"/>
              </w:rPr>
              <w:t>n=15 (75.8%)</w:t>
            </w:r>
          </w:p>
        </w:tc>
      </w:tr>
      <w:tr w:rsidR="001B253C" w:rsidRPr="001B253C" w14:paraId="2C940A8B" w14:textId="77777777" w:rsidTr="001B253C">
        <w:trPr>
          <w:trHeight w:val="8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60A01" w14:textId="77777777" w:rsidR="001B253C" w:rsidRPr="001B253C" w:rsidRDefault="001B253C" w:rsidP="001B253C">
            <w:pPr>
              <w:widowControl/>
              <w:autoSpaceDE/>
              <w:autoSpaceDN/>
              <w:spacing w:before="240" w:after="240"/>
              <w:jc w:val="both"/>
              <w:rPr>
                <w:sz w:val="20"/>
                <w:szCs w:val="20"/>
                <w:lang w:val="ca-ES" w:eastAsia="ca-ES"/>
              </w:rPr>
            </w:pPr>
            <w:r w:rsidRPr="001B253C">
              <w:rPr>
                <w:b/>
                <w:bCs/>
                <w:color w:val="000000"/>
                <w:sz w:val="20"/>
                <w:szCs w:val="20"/>
                <w:lang w:val="ca-ES" w:eastAsia="ca-ES"/>
              </w:rPr>
              <w:t>TDS_No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A7A44" w14:textId="77777777" w:rsidR="001B253C" w:rsidRPr="001B253C" w:rsidRDefault="001B253C" w:rsidP="001B253C">
            <w:pPr>
              <w:widowControl/>
              <w:autoSpaceDE/>
              <w:autoSpaceDN/>
              <w:spacing w:before="240" w:after="240"/>
              <w:jc w:val="both"/>
              <w:rPr>
                <w:sz w:val="20"/>
                <w:szCs w:val="20"/>
                <w:lang w:val="ca-ES" w:eastAsia="ca-ES"/>
              </w:rPr>
            </w:pPr>
            <w:r w:rsidRPr="001B253C">
              <w:rPr>
                <w:color w:val="000000"/>
                <w:sz w:val="20"/>
                <w:szCs w:val="20"/>
                <w:lang w:val="ca-ES" w:eastAsia="ca-ES"/>
              </w:rPr>
              <w:t>12 (36.4%)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15B7F" w14:textId="77777777" w:rsidR="001B253C" w:rsidRPr="001B253C" w:rsidRDefault="001B253C" w:rsidP="001B253C">
            <w:pPr>
              <w:widowControl/>
              <w:autoSpaceDE/>
              <w:autoSpaceDN/>
              <w:spacing w:before="240" w:after="240"/>
              <w:jc w:val="both"/>
              <w:rPr>
                <w:sz w:val="20"/>
                <w:szCs w:val="20"/>
                <w:lang w:val="ca-ES" w:eastAsia="ca-ES"/>
              </w:rPr>
            </w:pPr>
            <w:r w:rsidRPr="001B253C">
              <w:rPr>
                <w:color w:val="000000"/>
                <w:sz w:val="20"/>
                <w:szCs w:val="20"/>
                <w:lang w:val="ca-ES" w:eastAsia="ca-ES"/>
              </w:rPr>
              <w:t>2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FD3FB" w14:textId="77777777" w:rsidR="001B253C" w:rsidRPr="001B253C" w:rsidRDefault="001B253C" w:rsidP="001B253C">
            <w:pPr>
              <w:widowControl/>
              <w:autoSpaceDE/>
              <w:autoSpaceDN/>
              <w:spacing w:before="240" w:after="240"/>
              <w:jc w:val="both"/>
              <w:rPr>
                <w:sz w:val="20"/>
                <w:szCs w:val="20"/>
                <w:lang w:val="ca-ES" w:eastAsia="ca-ES"/>
              </w:rPr>
            </w:pPr>
            <w:r w:rsidRPr="001B253C">
              <w:rPr>
                <w:color w:val="000000"/>
                <w:sz w:val="20"/>
                <w:szCs w:val="20"/>
                <w:lang w:val="ca-ES" w:eastAsia="ca-ES"/>
              </w:rPr>
              <w:t>10 (83.3%)</w:t>
            </w:r>
          </w:p>
        </w:tc>
      </w:tr>
      <w:tr w:rsidR="001B253C" w:rsidRPr="001B253C" w14:paraId="4EC034E2" w14:textId="77777777" w:rsidTr="001B253C">
        <w:trPr>
          <w:trHeight w:val="8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53F7A" w14:textId="77777777" w:rsidR="001B253C" w:rsidRPr="001B253C" w:rsidRDefault="001B253C" w:rsidP="001B253C">
            <w:pPr>
              <w:widowControl/>
              <w:autoSpaceDE/>
              <w:autoSpaceDN/>
              <w:spacing w:before="240" w:after="240"/>
              <w:jc w:val="both"/>
              <w:rPr>
                <w:sz w:val="20"/>
                <w:szCs w:val="20"/>
                <w:lang w:val="ca-ES" w:eastAsia="ca-ES"/>
              </w:rPr>
            </w:pPr>
            <w:r w:rsidRPr="001B253C">
              <w:rPr>
                <w:b/>
                <w:bCs/>
                <w:color w:val="000000"/>
                <w:sz w:val="20"/>
                <w:szCs w:val="20"/>
                <w:lang w:val="ca-ES" w:eastAsia="ca-ES"/>
              </w:rPr>
              <w:t>TDS_Yes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10203" w14:textId="77777777" w:rsidR="001B253C" w:rsidRPr="001B253C" w:rsidRDefault="001B253C" w:rsidP="001B253C">
            <w:pPr>
              <w:widowControl/>
              <w:autoSpaceDE/>
              <w:autoSpaceDN/>
              <w:spacing w:before="240" w:after="240"/>
              <w:jc w:val="both"/>
              <w:rPr>
                <w:sz w:val="20"/>
                <w:szCs w:val="20"/>
                <w:lang w:val="ca-ES" w:eastAsia="ca-ES"/>
              </w:rPr>
            </w:pPr>
            <w:r w:rsidRPr="001B253C">
              <w:rPr>
                <w:color w:val="000000"/>
                <w:sz w:val="20"/>
                <w:szCs w:val="20"/>
                <w:lang w:val="ca-ES" w:eastAsia="ca-ES"/>
              </w:rPr>
              <w:t>21 (63.6%)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70D00" w14:textId="77777777" w:rsidR="001B253C" w:rsidRPr="001B253C" w:rsidRDefault="001B253C" w:rsidP="001B253C">
            <w:pPr>
              <w:widowControl/>
              <w:autoSpaceDE/>
              <w:autoSpaceDN/>
              <w:spacing w:before="240" w:after="240"/>
              <w:jc w:val="both"/>
              <w:rPr>
                <w:sz w:val="20"/>
                <w:szCs w:val="20"/>
                <w:lang w:val="ca-ES" w:eastAsia="ca-ES"/>
              </w:rPr>
            </w:pPr>
            <w:r w:rsidRPr="001B253C">
              <w:rPr>
                <w:color w:val="000000"/>
                <w:sz w:val="20"/>
                <w:szCs w:val="20"/>
                <w:lang w:val="ca-ES" w:eastAsia="ca-ES"/>
              </w:rPr>
              <w:t>6 (75%)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A7FA9" w14:textId="77777777" w:rsidR="001B253C" w:rsidRPr="001B253C" w:rsidRDefault="001B253C" w:rsidP="001B253C">
            <w:pPr>
              <w:widowControl/>
              <w:autoSpaceDE/>
              <w:autoSpaceDN/>
              <w:spacing w:before="240" w:after="240"/>
              <w:jc w:val="both"/>
              <w:rPr>
                <w:sz w:val="20"/>
                <w:szCs w:val="20"/>
                <w:lang w:val="ca-ES" w:eastAsia="ca-ES"/>
              </w:rPr>
            </w:pPr>
            <w:r w:rsidRPr="001B253C">
              <w:rPr>
                <w:color w:val="000000"/>
                <w:sz w:val="20"/>
                <w:szCs w:val="20"/>
                <w:lang w:val="ca-ES" w:eastAsia="ca-ES"/>
              </w:rPr>
              <w:t>15 (71.4%)</w:t>
            </w:r>
          </w:p>
        </w:tc>
      </w:tr>
    </w:tbl>
    <w:p w14:paraId="3EB9AEAC" w14:textId="77777777" w:rsidR="001B253C" w:rsidRPr="001B253C" w:rsidRDefault="001B253C" w:rsidP="001B253C">
      <w:pPr>
        <w:widowControl/>
        <w:autoSpaceDE/>
        <w:autoSpaceDN/>
        <w:spacing w:before="240" w:after="240"/>
        <w:ind w:left="1440" w:firstLine="720"/>
        <w:jc w:val="both"/>
        <w:rPr>
          <w:sz w:val="20"/>
          <w:szCs w:val="20"/>
          <w:lang w:val="ca-ES" w:eastAsia="ca-ES"/>
        </w:rPr>
      </w:pPr>
      <w:r w:rsidRPr="001B253C">
        <w:rPr>
          <w:b/>
          <w:bCs/>
          <w:color w:val="000000"/>
          <w:sz w:val="20"/>
          <w:szCs w:val="20"/>
          <w:lang w:val="ca-ES" w:eastAsia="ca-ES"/>
        </w:rPr>
        <w:t>Kappa=-0.128 (p=0.443)</w:t>
      </w:r>
    </w:p>
    <w:p w14:paraId="6DE0D48D" w14:textId="2298A89D" w:rsidR="00EC3280" w:rsidRDefault="00EC3280" w:rsidP="00EC3280">
      <w:pPr>
        <w:pStyle w:val="BodyText"/>
        <w:spacing w:before="177"/>
        <w:ind w:right="4"/>
        <w:jc w:val="both"/>
      </w:pPr>
    </w:p>
    <w:p w14:paraId="554EEFF8" w14:textId="0B8A09D9" w:rsidR="00EC3280" w:rsidRPr="00EC3280" w:rsidRDefault="00EC3280" w:rsidP="00EC3280">
      <w:pPr>
        <w:pStyle w:val="BodyText"/>
        <w:spacing w:before="177"/>
        <w:ind w:right="4"/>
        <w:jc w:val="center"/>
        <w:rPr>
          <w:bCs/>
        </w:rPr>
      </w:pPr>
      <w:r w:rsidRPr="00EC3280">
        <w:rPr>
          <w:b/>
        </w:rPr>
        <w:t>Table</w:t>
      </w:r>
      <w:r w:rsidRPr="00EC3280">
        <w:rPr>
          <w:b/>
          <w:spacing w:val="-10"/>
        </w:rPr>
        <w:t xml:space="preserve"> </w:t>
      </w:r>
      <w:r>
        <w:rPr>
          <w:b/>
        </w:rPr>
        <w:t>3</w:t>
      </w:r>
      <w:r w:rsidRPr="00EC3280">
        <w:rPr>
          <w:b/>
        </w:rPr>
        <w:t>.</w:t>
      </w:r>
      <w:r>
        <w:rPr>
          <w:bCs/>
          <w:spacing w:val="2"/>
        </w:rPr>
        <w:t xml:space="preserve"> </w:t>
      </w:r>
      <w:r w:rsidRPr="00EC3280">
        <w:rPr>
          <w:bCs/>
          <w:spacing w:val="2"/>
        </w:rPr>
        <w:t>Relationship between biochemical testosterone deficiency and AMSS symptom degree</w:t>
      </w:r>
      <w:r>
        <w:rPr>
          <w:bCs/>
          <w:spacing w:val="2"/>
        </w:rPr>
        <w:t>.</w:t>
      </w:r>
    </w:p>
    <w:p w14:paraId="5F0987CF" w14:textId="52C30551" w:rsidR="00EC3280" w:rsidRDefault="00EC3280" w:rsidP="00EC3280">
      <w:pPr>
        <w:pStyle w:val="BodyText"/>
        <w:spacing w:before="177"/>
        <w:ind w:right="4"/>
        <w:jc w:val="both"/>
      </w:pPr>
      <w:r w:rsidRPr="00EC3280">
        <w:t>Footnote: Abbreviations: AMSS: Aging Males' Symptoms Scale; TDS: Testosterone Deficiency Syndrome.</w:t>
      </w:r>
    </w:p>
    <w:p w14:paraId="4A66E27A" w14:textId="77777777" w:rsidR="00EC3280" w:rsidRDefault="00EC3280" w:rsidP="00EC3280">
      <w:pPr>
        <w:pStyle w:val="BodyText"/>
        <w:spacing w:before="177"/>
        <w:ind w:right="4"/>
        <w:jc w:val="both"/>
      </w:pPr>
    </w:p>
    <w:p w14:paraId="5F1C16AA" w14:textId="77777777" w:rsidR="00EC3280" w:rsidRDefault="00EC3280" w:rsidP="00EC3280">
      <w:pPr>
        <w:pStyle w:val="BodyText"/>
        <w:spacing w:before="177"/>
        <w:ind w:right="4"/>
        <w:jc w:val="both"/>
      </w:pPr>
    </w:p>
    <w:tbl>
      <w:tblPr>
        <w:tblW w:w="10773" w:type="dxa"/>
        <w:tblInd w:w="-572" w:type="dxa"/>
        <w:tblCellMar>
          <w:top w:w="15" w:type="dxa"/>
          <w:left w:w="15" w:type="dxa"/>
          <w:bottom w:w="15" w:type="dxa"/>
          <w:right w:w="15" w:type="dxa"/>
        </w:tblCellMar>
        <w:tblLook w:val="04A0" w:firstRow="1" w:lastRow="0" w:firstColumn="1" w:lastColumn="0" w:noHBand="0" w:noVBand="1"/>
      </w:tblPr>
      <w:tblGrid>
        <w:gridCol w:w="1586"/>
        <w:gridCol w:w="919"/>
        <w:gridCol w:w="933"/>
        <w:gridCol w:w="994"/>
        <w:gridCol w:w="1000"/>
        <w:gridCol w:w="1127"/>
        <w:gridCol w:w="1127"/>
        <w:gridCol w:w="935"/>
        <w:gridCol w:w="758"/>
        <w:gridCol w:w="1394"/>
      </w:tblGrid>
      <w:tr w:rsidR="001B253C" w:rsidRPr="001B253C" w14:paraId="71160243" w14:textId="77777777" w:rsidTr="001B253C">
        <w:trPr>
          <w:trHeight w:val="699"/>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6B762153" w14:textId="77777777" w:rsidR="001B253C" w:rsidRPr="001B253C" w:rsidRDefault="001B253C" w:rsidP="001B253C">
            <w:pPr>
              <w:widowControl/>
              <w:autoSpaceDE/>
              <w:autoSpaceDN/>
              <w:jc w:val="both"/>
              <w:rPr>
                <w:sz w:val="20"/>
                <w:szCs w:val="20"/>
                <w:lang w:val="ca-ES" w:eastAsia="ca-ES"/>
              </w:rPr>
            </w:pPr>
            <w:r w:rsidRPr="001B253C">
              <w:rPr>
                <w:b/>
                <w:bCs/>
                <w:color w:val="000000"/>
                <w:sz w:val="20"/>
                <w:szCs w:val="20"/>
                <w:lang w:val="ca-ES" w:eastAsia="ca-ES"/>
              </w:rPr>
              <w:t>Variable </w:t>
            </w:r>
          </w:p>
        </w:tc>
        <w:tc>
          <w:tcPr>
            <w:tcW w:w="934"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2DE95D1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IIEF-5 score; r</w:t>
            </w:r>
          </w:p>
        </w:tc>
        <w:tc>
          <w:tcPr>
            <w:tcW w:w="933"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6CA549F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Erectile function </w:t>
            </w:r>
          </w:p>
          <w:p w14:paraId="1C1295C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(IIEF-5); r</w:t>
            </w:r>
          </w:p>
        </w:tc>
        <w:tc>
          <w:tcPr>
            <w:tcW w:w="0" w:type="auto"/>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10094E5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Orgasmic function </w:t>
            </w:r>
          </w:p>
          <w:p w14:paraId="500E041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(IIEF-5); r</w:t>
            </w:r>
          </w:p>
        </w:tc>
        <w:tc>
          <w:tcPr>
            <w:tcW w:w="1018"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44BED21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Sexual desire (IIEF-5); r</w:t>
            </w:r>
          </w:p>
        </w:tc>
        <w:tc>
          <w:tcPr>
            <w:tcW w:w="99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678DEAD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Intercourse satisfaction (IIEF-5); r</w:t>
            </w:r>
          </w:p>
        </w:tc>
        <w:tc>
          <w:tcPr>
            <w:tcW w:w="1127"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4A76D59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Overall satisfaction (IIEF-5); r</w:t>
            </w:r>
          </w:p>
        </w:tc>
        <w:tc>
          <w:tcPr>
            <w:tcW w:w="951"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4BED682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AMS score; r</w:t>
            </w:r>
          </w:p>
        </w:tc>
        <w:tc>
          <w:tcPr>
            <w:tcW w:w="0" w:type="auto"/>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6DC2BAD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IPSS score; r</w:t>
            </w:r>
          </w:p>
        </w:tc>
        <w:tc>
          <w:tcPr>
            <w:tcW w:w="1406"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628706A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Total testosterone; r</w:t>
            </w:r>
          </w:p>
        </w:tc>
      </w:tr>
      <w:tr w:rsidR="001B253C" w:rsidRPr="001B253C" w14:paraId="2E6D9595" w14:textId="77777777" w:rsidTr="001B253C">
        <w:trPr>
          <w:trHeight w:val="289"/>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7461B1E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FVC (%)</w:t>
            </w:r>
          </w:p>
        </w:tc>
        <w:tc>
          <w:tcPr>
            <w:tcW w:w="934"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2F21A8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0.231 </w:t>
            </w:r>
          </w:p>
        </w:tc>
        <w:tc>
          <w:tcPr>
            <w:tcW w:w="933"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CF03E0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0.231 </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7895B7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0.142 </w:t>
            </w:r>
          </w:p>
        </w:tc>
        <w:tc>
          <w:tcPr>
            <w:tcW w:w="1018"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B8740B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0.345 </w:t>
            </w:r>
          </w:p>
        </w:tc>
        <w:tc>
          <w:tcPr>
            <w:tcW w:w="999"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ECBA8A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0.176 </w:t>
            </w:r>
          </w:p>
        </w:tc>
        <w:tc>
          <w:tcPr>
            <w:tcW w:w="1127"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1612745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0.122 </w:t>
            </w:r>
          </w:p>
        </w:tc>
        <w:tc>
          <w:tcPr>
            <w:tcW w:w="95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5D0563A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-0.079 </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2CCCCC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-0.174</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5D95A6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0.039</w:t>
            </w:r>
          </w:p>
        </w:tc>
      </w:tr>
      <w:tr w:rsidR="001B253C" w:rsidRPr="001B253C" w14:paraId="1862FF1C" w14:textId="77777777" w:rsidTr="001B253C">
        <w:trPr>
          <w:trHeight w:val="265"/>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3D10344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FEV1 (%)</w:t>
            </w:r>
          </w:p>
        </w:tc>
        <w:tc>
          <w:tcPr>
            <w:tcW w:w="934"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1B2FFC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0.124</w:t>
            </w:r>
          </w:p>
        </w:tc>
        <w:tc>
          <w:tcPr>
            <w:tcW w:w="933"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B0C648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0.148</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578FE4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0.029 </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DBF0FC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0.147</w:t>
            </w:r>
          </w:p>
        </w:tc>
        <w:tc>
          <w:tcPr>
            <w:tcW w:w="999"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55CE25E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0.183</w:t>
            </w:r>
          </w:p>
        </w:tc>
        <w:tc>
          <w:tcPr>
            <w:tcW w:w="1127"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09107A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0.069</w:t>
            </w:r>
          </w:p>
        </w:tc>
        <w:tc>
          <w:tcPr>
            <w:tcW w:w="95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6DE76D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-0.025</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0F82F22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-0.044</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D906AE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0.027</w:t>
            </w:r>
          </w:p>
        </w:tc>
      </w:tr>
      <w:tr w:rsidR="001B253C" w:rsidRPr="001B253C" w14:paraId="6B512505" w14:textId="77777777" w:rsidTr="001B253C">
        <w:trPr>
          <w:trHeight w:val="140"/>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28E1961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FEV1/FVC</w:t>
            </w:r>
          </w:p>
        </w:tc>
        <w:tc>
          <w:tcPr>
            <w:tcW w:w="934"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146A2D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-0.102 </w:t>
            </w:r>
          </w:p>
        </w:tc>
        <w:tc>
          <w:tcPr>
            <w:tcW w:w="933"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DE16FA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-0.042 </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0C84AB2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-0.096</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58A63F4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-0.221</w:t>
            </w:r>
          </w:p>
        </w:tc>
        <w:tc>
          <w:tcPr>
            <w:tcW w:w="999"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CD626E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0.004</w:t>
            </w:r>
          </w:p>
        </w:tc>
        <w:tc>
          <w:tcPr>
            <w:tcW w:w="1127"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EA09C1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-0.122</w:t>
            </w:r>
          </w:p>
        </w:tc>
        <w:tc>
          <w:tcPr>
            <w:tcW w:w="95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291864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0.200</w:t>
            </w:r>
          </w:p>
        </w:tc>
        <w:tc>
          <w:tcPr>
            <w:tcW w:w="76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13D872A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0.058</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1B296D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0.027</w:t>
            </w:r>
          </w:p>
        </w:tc>
      </w:tr>
      <w:tr w:rsidR="001B253C" w:rsidRPr="001B253C" w14:paraId="6AE24681" w14:textId="77777777" w:rsidTr="001B253C">
        <w:trPr>
          <w:trHeight w:val="329"/>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2306212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CAT score</w:t>
            </w:r>
          </w:p>
        </w:tc>
        <w:tc>
          <w:tcPr>
            <w:tcW w:w="934"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3D31F9FB"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-0.664 </w:t>
            </w:r>
          </w:p>
        </w:tc>
        <w:tc>
          <w:tcPr>
            <w:tcW w:w="933"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414FE9DA"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-0.670</w:t>
            </w:r>
          </w:p>
        </w:tc>
        <w:tc>
          <w:tcPr>
            <w:tcW w:w="0" w:type="auto"/>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31CB179A"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-0.609 </w:t>
            </w:r>
          </w:p>
        </w:tc>
        <w:tc>
          <w:tcPr>
            <w:tcW w:w="1018"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7554CC1"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-0.457</w:t>
            </w:r>
          </w:p>
        </w:tc>
        <w:tc>
          <w:tcPr>
            <w:tcW w:w="999"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7E6E71D5"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-0.628</w:t>
            </w:r>
          </w:p>
        </w:tc>
        <w:tc>
          <w:tcPr>
            <w:tcW w:w="1127"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6E1203E5"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-0.633</w:t>
            </w:r>
          </w:p>
        </w:tc>
        <w:tc>
          <w:tcPr>
            <w:tcW w:w="951"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442C4A6C"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0.472</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22FF02A"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0.469 </w:t>
            </w:r>
          </w:p>
        </w:tc>
        <w:tc>
          <w:tcPr>
            <w:tcW w:w="1406"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41D80C8"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0.326</w:t>
            </w:r>
          </w:p>
        </w:tc>
      </w:tr>
      <w:tr w:rsidR="001B253C" w:rsidRPr="001B253C" w14:paraId="62D81C7B" w14:textId="77777777" w:rsidTr="001B253C">
        <w:trPr>
          <w:trHeight w:val="276"/>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05B7B881"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mMRC</w:t>
            </w:r>
          </w:p>
        </w:tc>
        <w:tc>
          <w:tcPr>
            <w:tcW w:w="93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42DE73B"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-0.461</w:t>
            </w:r>
          </w:p>
        </w:tc>
        <w:tc>
          <w:tcPr>
            <w:tcW w:w="93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200CAF62"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-0.464</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21B0FA4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-0.461</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1D7E27B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-0.280</w:t>
            </w:r>
          </w:p>
        </w:tc>
        <w:tc>
          <w:tcPr>
            <w:tcW w:w="999"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0BC5B075"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-0.433</w:t>
            </w:r>
          </w:p>
        </w:tc>
        <w:tc>
          <w:tcPr>
            <w:tcW w:w="1127"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A0F3559"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-0.412</w:t>
            </w:r>
          </w:p>
        </w:tc>
        <w:tc>
          <w:tcPr>
            <w:tcW w:w="951"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47E5DB0"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0.351</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EDD1848"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0.251</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2F958F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0.134</w:t>
            </w:r>
          </w:p>
        </w:tc>
      </w:tr>
      <w:tr w:rsidR="001B253C" w:rsidRPr="001B253C" w14:paraId="7B1EBCB4" w14:textId="77777777" w:rsidTr="001B253C">
        <w:trPr>
          <w:trHeight w:val="281"/>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17C97F9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BODEx score</w:t>
            </w:r>
          </w:p>
        </w:tc>
        <w:tc>
          <w:tcPr>
            <w:tcW w:w="934"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2831773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-0.649</w:t>
            </w:r>
          </w:p>
        </w:tc>
        <w:tc>
          <w:tcPr>
            <w:tcW w:w="933"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0CB72FE8"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-0.604</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6AB59039"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-0.567</w:t>
            </w:r>
          </w:p>
        </w:tc>
        <w:tc>
          <w:tcPr>
            <w:tcW w:w="1018"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26ADCB5"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-0.571</w:t>
            </w:r>
          </w:p>
        </w:tc>
        <w:tc>
          <w:tcPr>
            <w:tcW w:w="999"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68A1EB36"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w:t>
            </w:r>
            <w:r w:rsidRPr="001B253C">
              <w:rPr>
                <w:b/>
                <w:bCs/>
                <w:color w:val="000000"/>
                <w:sz w:val="20"/>
                <w:szCs w:val="20"/>
                <w:shd w:val="clear" w:color="auto" w:fill="B3E5A1"/>
                <w:lang w:val="ca-ES" w:eastAsia="ca-ES"/>
              </w:rPr>
              <w:t>0.614</w:t>
            </w:r>
          </w:p>
        </w:tc>
        <w:tc>
          <w:tcPr>
            <w:tcW w:w="1127"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26C96031"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-0.538</w:t>
            </w:r>
          </w:p>
        </w:tc>
        <w:tc>
          <w:tcPr>
            <w:tcW w:w="95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167C0F0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0.039</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058F6C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0.338</w:t>
            </w:r>
          </w:p>
        </w:tc>
        <w:tc>
          <w:tcPr>
            <w:tcW w:w="1406"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6000007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-0.408</w:t>
            </w:r>
          </w:p>
        </w:tc>
      </w:tr>
      <w:tr w:rsidR="001B253C" w:rsidRPr="001B253C" w14:paraId="1999471A" w14:textId="77777777" w:rsidTr="001B253C">
        <w:trPr>
          <w:trHeight w:val="211"/>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653A3FA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EQ-5 UTILITY score</w:t>
            </w:r>
          </w:p>
        </w:tc>
        <w:tc>
          <w:tcPr>
            <w:tcW w:w="934"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06A9941C"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w:t>
            </w:r>
            <w:r w:rsidRPr="001B253C">
              <w:rPr>
                <w:b/>
                <w:bCs/>
                <w:color w:val="000000"/>
                <w:sz w:val="20"/>
                <w:szCs w:val="20"/>
                <w:shd w:val="clear" w:color="auto" w:fill="FF9B9B"/>
                <w:lang w:val="ca-ES" w:eastAsia="ca-ES"/>
              </w:rPr>
              <w:t>365</w:t>
            </w:r>
          </w:p>
        </w:tc>
        <w:tc>
          <w:tcPr>
            <w:tcW w:w="93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2A3BBDB"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-0.407</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4E6A978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-0.275</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A44D1A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-0.171</w:t>
            </w:r>
          </w:p>
        </w:tc>
        <w:tc>
          <w:tcPr>
            <w:tcW w:w="999"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6D2B5D1D"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-0.385</w:t>
            </w:r>
          </w:p>
        </w:tc>
        <w:tc>
          <w:tcPr>
            <w:tcW w:w="1127"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3A007E3"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-0.393</w:t>
            </w:r>
          </w:p>
        </w:tc>
        <w:tc>
          <w:tcPr>
            <w:tcW w:w="951"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1D5B6E1A"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0.525</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79B9EBB"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0.424</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08254A1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0.260</w:t>
            </w:r>
          </w:p>
        </w:tc>
      </w:tr>
      <w:tr w:rsidR="001B253C" w:rsidRPr="001B253C" w14:paraId="7E89312A" w14:textId="77777777" w:rsidTr="001B253C">
        <w:trPr>
          <w:trHeight w:val="242"/>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284980FF"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EQ-5 VAS score</w:t>
            </w:r>
          </w:p>
        </w:tc>
        <w:tc>
          <w:tcPr>
            <w:tcW w:w="934"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6E6743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0.264</w:t>
            </w:r>
          </w:p>
        </w:tc>
        <w:tc>
          <w:tcPr>
            <w:tcW w:w="933"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205BAB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0.267</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0DA1DE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0.224</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AB9418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0.158</w:t>
            </w:r>
          </w:p>
        </w:tc>
        <w:tc>
          <w:tcPr>
            <w:tcW w:w="999"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0142E3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0.311</w:t>
            </w:r>
          </w:p>
        </w:tc>
        <w:tc>
          <w:tcPr>
            <w:tcW w:w="1127"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413CC639"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0.336</w:t>
            </w:r>
          </w:p>
        </w:tc>
        <w:tc>
          <w:tcPr>
            <w:tcW w:w="951"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38D49EE"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-0.440</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6E5A056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-0.462</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0E8E275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-0.243</w:t>
            </w:r>
          </w:p>
        </w:tc>
      </w:tr>
      <w:tr w:rsidR="001B253C" w:rsidRPr="001B253C" w14:paraId="087BB9DF" w14:textId="77777777" w:rsidTr="001B253C">
        <w:trPr>
          <w:trHeight w:val="289"/>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7030074D"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HADS score</w:t>
            </w:r>
          </w:p>
        </w:tc>
        <w:tc>
          <w:tcPr>
            <w:tcW w:w="93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D94F64D"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-0.492</w:t>
            </w:r>
          </w:p>
        </w:tc>
        <w:tc>
          <w:tcPr>
            <w:tcW w:w="93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6B9E660"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-0.437</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4C7DB33"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-0.491</w:t>
            </w:r>
          </w:p>
        </w:tc>
        <w:tc>
          <w:tcPr>
            <w:tcW w:w="1018"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23103B3"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-0.357</w:t>
            </w:r>
          </w:p>
        </w:tc>
        <w:tc>
          <w:tcPr>
            <w:tcW w:w="999"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D67D180"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-0.433</w:t>
            </w:r>
          </w:p>
        </w:tc>
        <w:tc>
          <w:tcPr>
            <w:tcW w:w="1127"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2DD15DB"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-0.478</w:t>
            </w:r>
          </w:p>
        </w:tc>
        <w:tc>
          <w:tcPr>
            <w:tcW w:w="951"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hideMark/>
          </w:tcPr>
          <w:p w14:paraId="269C6427"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0.857</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8BAEDBB"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0.485</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163EF64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0.184</w:t>
            </w:r>
          </w:p>
        </w:tc>
      </w:tr>
      <w:tr w:rsidR="001B253C" w:rsidRPr="001B253C" w14:paraId="5B851ADB" w14:textId="77777777" w:rsidTr="001B253C">
        <w:trPr>
          <w:trHeight w:val="278"/>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0D9667F2"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WT distance (m)</w:t>
            </w:r>
          </w:p>
        </w:tc>
        <w:tc>
          <w:tcPr>
            <w:tcW w:w="934"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5E1E70C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0.296</w:t>
            </w:r>
          </w:p>
        </w:tc>
        <w:tc>
          <w:tcPr>
            <w:tcW w:w="933"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50D94F2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0.267</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BBF0C6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0.262</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B4B6E7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0.250</w:t>
            </w:r>
          </w:p>
        </w:tc>
        <w:tc>
          <w:tcPr>
            <w:tcW w:w="999"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07DA653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0.127</w:t>
            </w:r>
          </w:p>
        </w:tc>
        <w:tc>
          <w:tcPr>
            <w:tcW w:w="1127"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6068A99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0.223</w:t>
            </w:r>
          </w:p>
        </w:tc>
        <w:tc>
          <w:tcPr>
            <w:tcW w:w="95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2A4001A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0.066</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748CCCD8"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-0.432</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589B5E7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-0.082</w:t>
            </w:r>
          </w:p>
        </w:tc>
      </w:tr>
      <w:tr w:rsidR="001B253C" w:rsidRPr="001B253C" w14:paraId="615CCBCD" w14:textId="77777777" w:rsidTr="001B253C">
        <w:trPr>
          <w:trHeight w:val="269"/>
        </w:trPr>
        <w:tc>
          <w:tcPr>
            <w:tcW w:w="161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hideMark/>
          </w:tcPr>
          <w:p w14:paraId="1C6432E8"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CCI score</w:t>
            </w:r>
          </w:p>
        </w:tc>
        <w:tc>
          <w:tcPr>
            <w:tcW w:w="93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4B019E9C" w14:textId="77777777" w:rsidR="001B253C" w:rsidRPr="001B253C" w:rsidRDefault="001B253C" w:rsidP="001B253C">
            <w:pPr>
              <w:widowControl/>
              <w:autoSpaceDE/>
              <w:autoSpaceDN/>
              <w:jc w:val="center"/>
              <w:rPr>
                <w:sz w:val="20"/>
                <w:szCs w:val="20"/>
                <w:lang w:val="ca-ES" w:eastAsia="ca-ES"/>
              </w:rPr>
            </w:pPr>
            <w:r w:rsidRPr="001B253C">
              <w:rPr>
                <w:b/>
                <w:bCs/>
                <w:color w:val="000000"/>
                <w:sz w:val="20"/>
                <w:szCs w:val="20"/>
                <w:lang w:val="ca-ES" w:eastAsia="ca-ES"/>
              </w:rPr>
              <w:t>-0.347</w:t>
            </w:r>
          </w:p>
        </w:tc>
        <w:tc>
          <w:tcPr>
            <w:tcW w:w="933"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182EA69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-0.415</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0B968C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-0.306</w:t>
            </w:r>
          </w:p>
        </w:tc>
        <w:tc>
          <w:tcPr>
            <w:tcW w:w="1018"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73F5CBD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-0.004</w:t>
            </w:r>
          </w:p>
        </w:tc>
        <w:tc>
          <w:tcPr>
            <w:tcW w:w="999"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79B169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-0.337</w:t>
            </w:r>
          </w:p>
        </w:tc>
        <w:tc>
          <w:tcPr>
            <w:tcW w:w="1127"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3BE339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-0.413</w:t>
            </w:r>
          </w:p>
        </w:tc>
        <w:tc>
          <w:tcPr>
            <w:tcW w:w="951"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42CECD9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0.127</w:t>
            </w:r>
          </w:p>
        </w:tc>
        <w:tc>
          <w:tcPr>
            <w:tcW w:w="0" w:type="auto"/>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12B15B7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0.252</w:t>
            </w:r>
          </w:p>
        </w:tc>
        <w:tc>
          <w:tcPr>
            <w:tcW w:w="1406" w:type="dxa"/>
            <w:tcBorders>
              <w:top w:val="single" w:sz="4" w:space="0" w:color="000000"/>
              <w:left w:val="single" w:sz="4" w:space="0" w:color="000000"/>
              <w:bottom w:val="single" w:sz="4" w:space="0" w:color="000000"/>
              <w:right w:val="single" w:sz="4" w:space="0" w:color="000000"/>
            </w:tcBorders>
            <w:shd w:val="clear" w:color="auto" w:fill="FF9B9B"/>
            <w:tcMar>
              <w:top w:w="0" w:type="dxa"/>
              <w:left w:w="108" w:type="dxa"/>
              <w:bottom w:w="0" w:type="dxa"/>
              <w:right w:w="108" w:type="dxa"/>
            </w:tcMar>
            <w:hideMark/>
          </w:tcPr>
          <w:p w14:paraId="390DCC2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0.171</w:t>
            </w:r>
          </w:p>
        </w:tc>
      </w:tr>
    </w:tbl>
    <w:p w14:paraId="565A95FF" w14:textId="26642B3A" w:rsidR="00EC3280" w:rsidRDefault="00EC3280" w:rsidP="00EC3280">
      <w:pPr>
        <w:pStyle w:val="BodyText"/>
        <w:spacing w:before="177"/>
        <w:ind w:right="4"/>
        <w:jc w:val="both"/>
      </w:pPr>
    </w:p>
    <w:p w14:paraId="2591F4B1" w14:textId="05C53A5F" w:rsidR="00EC3280" w:rsidRPr="00EC3280" w:rsidRDefault="00EC3280" w:rsidP="00EC3280">
      <w:pPr>
        <w:pStyle w:val="BodyText"/>
        <w:spacing w:before="177"/>
        <w:ind w:right="4"/>
        <w:jc w:val="center"/>
        <w:rPr>
          <w:bCs/>
        </w:rPr>
      </w:pPr>
      <w:r w:rsidRPr="00EC3280">
        <w:rPr>
          <w:b/>
        </w:rPr>
        <w:t>Table</w:t>
      </w:r>
      <w:r w:rsidRPr="00EC3280">
        <w:rPr>
          <w:b/>
          <w:spacing w:val="-10"/>
        </w:rPr>
        <w:t xml:space="preserve"> </w:t>
      </w:r>
      <w:r>
        <w:rPr>
          <w:b/>
        </w:rPr>
        <w:t>4</w:t>
      </w:r>
      <w:r w:rsidRPr="00EC3280">
        <w:rPr>
          <w:b/>
        </w:rPr>
        <w:t>.</w:t>
      </w:r>
      <w:r>
        <w:rPr>
          <w:bCs/>
          <w:spacing w:val="2"/>
        </w:rPr>
        <w:t xml:space="preserve"> </w:t>
      </w:r>
      <w:r w:rsidRPr="00EC3280">
        <w:rPr>
          <w:bCs/>
          <w:spacing w:val="2"/>
        </w:rPr>
        <w:t>Correlations analysis</w:t>
      </w:r>
    </w:p>
    <w:p w14:paraId="6EFFD33E" w14:textId="77777777" w:rsidR="00EC3280" w:rsidRDefault="00EC3280" w:rsidP="00EC3280">
      <w:pPr>
        <w:pStyle w:val="BodyText"/>
        <w:spacing w:before="177"/>
        <w:ind w:right="4"/>
        <w:jc w:val="both"/>
      </w:pPr>
      <w:r>
        <w:t>Footnote: Data are presented as mean (SD) unless otherwise specified.</w:t>
      </w:r>
    </w:p>
    <w:p w14:paraId="6757E4FC" w14:textId="77777777" w:rsidR="00EC3280" w:rsidRDefault="00EC3280" w:rsidP="00EC3280">
      <w:pPr>
        <w:pStyle w:val="BodyText"/>
        <w:spacing w:before="177"/>
        <w:ind w:right="4"/>
        <w:jc w:val="both"/>
      </w:pPr>
      <w:r>
        <w:t>In green: p &lt; 0.001 ; in yellow: p &gt; 0.001 – &lt; 0.05 ; in red: p &gt; 0.05.</w:t>
      </w:r>
    </w:p>
    <w:p w14:paraId="2875324A" w14:textId="31F8944E" w:rsidR="00EC3280" w:rsidRDefault="00EC3280" w:rsidP="00EC3280">
      <w:pPr>
        <w:pStyle w:val="BodyText"/>
        <w:spacing w:before="177"/>
        <w:ind w:right="4"/>
        <w:jc w:val="both"/>
      </w:pPr>
      <w:r>
        <w:t xml:space="preserve">Abbreviations: BODEx: Body mass index, airflow Obstruction, Dyspnoea and Exacerbation; CAT: COPD Assessment Test;  CCI: Charlson Comorbidity Index; EQ-5: EuroQol-5; FEV1: Forced expiratory volume in the first second; FSH: Follicle stimulating hormone;  FVC: Forced Vital Capacity; HADS: Hospital Anxiety and Depression Scale; mMRC: Modified Medical Research Council; WT: Walking test.  </w:t>
      </w:r>
    </w:p>
    <w:p w14:paraId="662A5A4C" w14:textId="37BC3ACA" w:rsidR="00EC3280" w:rsidRPr="00EC3280" w:rsidRDefault="00EC3280" w:rsidP="00EC3280">
      <w:pPr>
        <w:pStyle w:val="BodyText"/>
        <w:spacing w:before="177"/>
        <w:ind w:right="4"/>
        <w:jc w:val="center"/>
        <w:rPr>
          <w:bCs/>
        </w:rPr>
      </w:pPr>
      <w:r w:rsidRPr="00EC3280">
        <w:rPr>
          <w:b/>
        </w:rPr>
        <w:lastRenderedPageBreak/>
        <w:t>Table</w:t>
      </w:r>
      <w:r w:rsidRPr="00EC3280">
        <w:rPr>
          <w:b/>
          <w:spacing w:val="-10"/>
        </w:rPr>
        <w:t xml:space="preserve"> </w:t>
      </w:r>
      <w:r>
        <w:rPr>
          <w:b/>
        </w:rPr>
        <w:t>5</w:t>
      </w:r>
      <w:r w:rsidRPr="00EC3280">
        <w:rPr>
          <w:b/>
        </w:rPr>
        <w:t>.</w:t>
      </w:r>
      <w:r>
        <w:rPr>
          <w:bCs/>
          <w:spacing w:val="2"/>
        </w:rPr>
        <w:t xml:space="preserve"> </w:t>
      </w:r>
      <w:r w:rsidRPr="00EC3280">
        <w:rPr>
          <w:spacing w:val="2"/>
        </w:rPr>
        <w:t>Independent predictors of severe ED determined by multivariable logistic regression analysis</w:t>
      </w:r>
    </w:p>
    <w:p w14:paraId="55AF56C6" w14:textId="77777777" w:rsidR="00EC3280" w:rsidRDefault="00EC3280" w:rsidP="00EC3280">
      <w:pPr>
        <w:pStyle w:val="BodyText"/>
        <w:spacing w:before="177"/>
        <w:ind w:right="4"/>
        <w:jc w:val="both"/>
      </w:pPr>
      <w:r>
        <w:t>Model 1.</w:t>
      </w:r>
    </w:p>
    <w:p w14:paraId="698B91D7" w14:textId="77777777" w:rsidR="001B253C" w:rsidRPr="001B253C" w:rsidRDefault="001B253C" w:rsidP="001B253C">
      <w:pPr>
        <w:widowControl/>
        <w:numPr>
          <w:ilvl w:val="0"/>
          <w:numId w:val="4"/>
        </w:numPr>
        <w:autoSpaceDE/>
        <w:autoSpaceDN/>
        <w:spacing w:before="100" w:beforeAutospacing="1" w:after="100" w:afterAutospacing="1"/>
        <w:textAlignment w:val="baseline"/>
        <w:rPr>
          <w:rFonts w:ascii="Calibri" w:hAnsi="Calibri" w:cs="Calibri"/>
          <w:b/>
          <w:bCs/>
          <w:color w:val="000000"/>
          <w:sz w:val="20"/>
          <w:szCs w:val="20"/>
          <w:lang w:val="ca-ES" w:eastAsia="ca-ES"/>
        </w:rPr>
      </w:pPr>
    </w:p>
    <w:tbl>
      <w:tblPr>
        <w:tblW w:w="0" w:type="auto"/>
        <w:tblCellMar>
          <w:top w:w="15" w:type="dxa"/>
          <w:left w:w="15" w:type="dxa"/>
          <w:bottom w:w="15" w:type="dxa"/>
          <w:right w:w="15" w:type="dxa"/>
        </w:tblCellMar>
        <w:tblLook w:val="04A0" w:firstRow="1" w:lastRow="0" w:firstColumn="1" w:lastColumn="0" w:noHBand="0" w:noVBand="1"/>
      </w:tblPr>
      <w:tblGrid>
        <w:gridCol w:w="4695"/>
        <w:gridCol w:w="490"/>
        <w:gridCol w:w="1096"/>
        <w:gridCol w:w="751"/>
        <w:gridCol w:w="490"/>
        <w:gridCol w:w="1096"/>
        <w:gridCol w:w="751"/>
      </w:tblGrid>
      <w:tr w:rsidR="001B253C" w:rsidRPr="001B253C" w14:paraId="405D36FE" w14:textId="77777777" w:rsidTr="001B253C">
        <w:trPr>
          <w:trHeight w:val="20"/>
          <w:tblHeader/>
        </w:trPr>
        <w:tc>
          <w:tcPr>
            <w:tcW w:w="0" w:type="auto"/>
            <w:tcBorders>
              <w:top w:val="single" w:sz="4" w:space="0" w:color="000000"/>
            </w:tcBorders>
            <w:tcMar>
              <w:top w:w="0" w:type="dxa"/>
              <w:left w:w="70" w:type="dxa"/>
              <w:bottom w:w="0" w:type="dxa"/>
              <w:right w:w="70" w:type="dxa"/>
            </w:tcMar>
            <w:vAlign w:val="bottom"/>
            <w:hideMark/>
          </w:tcPr>
          <w:p w14:paraId="2A66D0EE" w14:textId="77777777" w:rsidR="001B253C" w:rsidRPr="001B253C" w:rsidRDefault="001B253C" w:rsidP="001B253C">
            <w:pPr>
              <w:widowControl/>
              <w:autoSpaceDE/>
              <w:autoSpaceDN/>
              <w:jc w:val="center"/>
              <w:rPr>
                <w:b/>
                <w:bCs/>
                <w:sz w:val="20"/>
                <w:szCs w:val="20"/>
                <w:lang w:val="ca-ES" w:eastAsia="ca-ES"/>
              </w:rPr>
            </w:pPr>
          </w:p>
        </w:tc>
        <w:tc>
          <w:tcPr>
            <w:tcW w:w="0" w:type="auto"/>
            <w:gridSpan w:val="3"/>
            <w:tcBorders>
              <w:top w:val="single" w:sz="4" w:space="0" w:color="000000"/>
            </w:tcBorders>
            <w:tcMar>
              <w:top w:w="0" w:type="dxa"/>
              <w:left w:w="70" w:type="dxa"/>
              <w:bottom w:w="0" w:type="dxa"/>
              <w:right w:w="70" w:type="dxa"/>
            </w:tcMar>
            <w:vAlign w:val="bottom"/>
            <w:hideMark/>
          </w:tcPr>
          <w:p w14:paraId="4569FC8C"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Univariable</w:t>
            </w:r>
          </w:p>
        </w:tc>
        <w:tc>
          <w:tcPr>
            <w:tcW w:w="0" w:type="auto"/>
            <w:gridSpan w:val="3"/>
            <w:tcBorders>
              <w:top w:val="single" w:sz="4" w:space="0" w:color="000000"/>
            </w:tcBorders>
            <w:tcMar>
              <w:top w:w="0" w:type="dxa"/>
              <w:left w:w="70" w:type="dxa"/>
              <w:bottom w:w="0" w:type="dxa"/>
              <w:right w:w="70" w:type="dxa"/>
            </w:tcMar>
            <w:vAlign w:val="bottom"/>
            <w:hideMark/>
          </w:tcPr>
          <w:p w14:paraId="0E0A68A5"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Multivariable</w:t>
            </w:r>
            <w:r w:rsidRPr="001B253C">
              <w:rPr>
                <w:color w:val="000000"/>
                <w:sz w:val="20"/>
                <w:szCs w:val="20"/>
                <w:vertAlign w:val="superscript"/>
                <w:lang w:val="ca-ES" w:eastAsia="ca-ES"/>
              </w:rPr>
              <w:t>ab</w:t>
            </w:r>
          </w:p>
        </w:tc>
      </w:tr>
      <w:tr w:rsidR="001B253C" w:rsidRPr="001B253C" w14:paraId="148D7E7A" w14:textId="77777777" w:rsidTr="001B253C">
        <w:trPr>
          <w:trHeight w:val="20"/>
          <w:tblHeader/>
        </w:trPr>
        <w:tc>
          <w:tcPr>
            <w:tcW w:w="0" w:type="auto"/>
            <w:tcBorders>
              <w:bottom w:val="single" w:sz="4" w:space="0" w:color="000000"/>
            </w:tcBorders>
            <w:tcMar>
              <w:top w:w="0" w:type="dxa"/>
              <w:left w:w="70" w:type="dxa"/>
              <w:bottom w:w="0" w:type="dxa"/>
              <w:right w:w="70" w:type="dxa"/>
            </w:tcMar>
            <w:vAlign w:val="bottom"/>
            <w:hideMark/>
          </w:tcPr>
          <w:p w14:paraId="531378D4" w14:textId="77777777" w:rsidR="001B253C" w:rsidRPr="001B253C" w:rsidRDefault="001B253C" w:rsidP="001B253C">
            <w:pPr>
              <w:widowControl/>
              <w:autoSpaceDE/>
              <w:autoSpaceDN/>
              <w:jc w:val="both"/>
              <w:rPr>
                <w:b/>
                <w:bCs/>
                <w:sz w:val="20"/>
                <w:szCs w:val="20"/>
                <w:lang w:val="ca-ES" w:eastAsia="ca-ES"/>
              </w:rPr>
            </w:pPr>
            <w:r w:rsidRPr="001B253C">
              <w:rPr>
                <w:color w:val="000000"/>
                <w:sz w:val="20"/>
                <w:szCs w:val="20"/>
                <w:lang w:val="ca-ES" w:eastAsia="ca-ES"/>
              </w:rPr>
              <w:t>Variable</w:t>
            </w:r>
            <w:r w:rsidRPr="001B253C">
              <w:rPr>
                <w:color w:val="000000"/>
                <w:sz w:val="20"/>
                <w:szCs w:val="20"/>
                <w:vertAlign w:val="superscript"/>
                <w:lang w:val="ca-ES" w:eastAsia="ca-ES"/>
              </w:rPr>
              <w:t>e</w:t>
            </w:r>
          </w:p>
        </w:tc>
        <w:tc>
          <w:tcPr>
            <w:tcW w:w="0" w:type="auto"/>
            <w:tcBorders>
              <w:bottom w:val="single" w:sz="4" w:space="0" w:color="000000"/>
            </w:tcBorders>
            <w:tcMar>
              <w:top w:w="0" w:type="dxa"/>
              <w:left w:w="70" w:type="dxa"/>
              <w:bottom w:w="0" w:type="dxa"/>
              <w:right w:w="70" w:type="dxa"/>
            </w:tcMar>
            <w:vAlign w:val="bottom"/>
            <w:hideMark/>
          </w:tcPr>
          <w:p w14:paraId="2D0F2C97"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OR</w:t>
            </w:r>
          </w:p>
        </w:tc>
        <w:tc>
          <w:tcPr>
            <w:tcW w:w="0" w:type="auto"/>
            <w:tcBorders>
              <w:bottom w:val="single" w:sz="4" w:space="0" w:color="000000"/>
            </w:tcBorders>
            <w:tcMar>
              <w:top w:w="0" w:type="dxa"/>
              <w:left w:w="70" w:type="dxa"/>
              <w:bottom w:w="0" w:type="dxa"/>
              <w:right w:w="70" w:type="dxa"/>
            </w:tcMar>
            <w:vAlign w:val="bottom"/>
            <w:hideMark/>
          </w:tcPr>
          <w:p w14:paraId="3A2E72F3"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95% CI</w:t>
            </w:r>
          </w:p>
        </w:tc>
        <w:tc>
          <w:tcPr>
            <w:tcW w:w="0" w:type="auto"/>
            <w:tcBorders>
              <w:bottom w:val="single" w:sz="4" w:space="0" w:color="000000"/>
            </w:tcBorders>
            <w:tcMar>
              <w:top w:w="0" w:type="dxa"/>
              <w:left w:w="70" w:type="dxa"/>
              <w:bottom w:w="0" w:type="dxa"/>
              <w:right w:w="70" w:type="dxa"/>
            </w:tcMar>
            <w:vAlign w:val="bottom"/>
            <w:hideMark/>
          </w:tcPr>
          <w:p w14:paraId="22FCA2CE"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P-value</w:t>
            </w:r>
          </w:p>
        </w:tc>
        <w:tc>
          <w:tcPr>
            <w:tcW w:w="0" w:type="auto"/>
            <w:tcBorders>
              <w:bottom w:val="single" w:sz="4" w:space="0" w:color="000000"/>
            </w:tcBorders>
            <w:tcMar>
              <w:top w:w="0" w:type="dxa"/>
              <w:left w:w="70" w:type="dxa"/>
              <w:bottom w:w="0" w:type="dxa"/>
              <w:right w:w="70" w:type="dxa"/>
            </w:tcMar>
            <w:vAlign w:val="bottom"/>
            <w:hideMark/>
          </w:tcPr>
          <w:p w14:paraId="50FE7A19"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OR</w:t>
            </w:r>
          </w:p>
        </w:tc>
        <w:tc>
          <w:tcPr>
            <w:tcW w:w="0" w:type="auto"/>
            <w:tcBorders>
              <w:bottom w:val="single" w:sz="4" w:space="0" w:color="000000"/>
            </w:tcBorders>
            <w:tcMar>
              <w:top w:w="0" w:type="dxa"/>
              <w:left w:w="70" w:type="dxa"/>
              <w:bottom w:w="0" w:type="dxa"/>
              <w:right w:w="70" w:type="dxa"/>
            </w:tcMar>
            <w:vAlign w:val="bottom"/>
            <w:hideMark/>
          </w:tcPr>
          <w:p w14:paraId="4D9EF2F0"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95% CI</w:t>
            </w:r>
          </w:p>
        </w:tc>
        <w:tc>
          <w:tcPr>
            <w:tcW w:w="0" w:type="auto"/>
            <w:tcBorders>
              <w:bottom w:val="single" w:sz="4" w:space="0" w:color="000000"/>
            </w:tcBorders>
            <w:tcMar>
              <w:top w:w="0" w:type="dxa"/>
              <w:left w:w="70" w:type="dxa"/>
              <w:bottom w:w="0" w:type="dxa"/>
              <w:right w:w="70" w:type="dxa"/>
            </w:tcMar>
            <w:vAlign w:val="bottom"/>
            <w:hideMark/>
          </w:tcPr>
          <w:p w14:paraId="65DAC391" w14:textId="77777777" w:rsidR="001B253C" w:rsidRPr="001B253C" w:rsidRDefault="001B253C" w:rsidP="001B253C">
            <w:pPr>
              <w:widowControl/>
              <w:autoSpaceDE/>
              <w:autoSpaceDN/>
              <w:jc w:val="center"/>
              <w:rPr>
                <w:b/>
                <w:bCs/>
                <w:sz w:val="20"/>
                <w:szCs w:val="20"/>
                <w:lang w:val="ca-ES" w:eastAsia="ca-ES"/>
              </w:rPr>
            </w:pPr>
            <w:r w:rsidRPr="001B253C">
              <w:rPr>
                <w:color w:val="000000"/>
                <w:sz w:val="20"/>
                <w:szCs w:val="20"/>
                <w:lang w:val="ca-ES" w:eastAsia="ca-ES"/>
              </w:rPr>
              <w:t>P-value</w:t>
            </w:r>
          </w:p>
        </w:tc>
      </w:tr>
      <w:tr w:rsidR="001B253C" w:rsidRPr="001B253C" w14:paraId="0CAC472F" w14:textId="77777777" w:rsidTr="001B253C">
        <w:trPr>
          <w:trHeight w:val="20"/>
        </w:trPr>
        <w:tc>
          <w:tcPr>
            <w:tcW w:w="0" w:type="auto"/>
            <w:tcBorders>
              <w:top w:val="single" w:sz="4" w:space="0" w:color="000000"/>
            </w:tcBorders>
            <w:tcMar>
              <w:top w:w="0" w:type="dxa"/>
              <w:left w:w="70" w:type="dxa"/>
              <w:bottom w:w="0" w:type="dxa"/>
              <w:right w:w="70" w:type="dxa"/>
            </w:tcMar>
            <w:vAlign w:val="bottom"/>
            <w:hideMark/>
          </w:tcPr>
          <w:p w14:paraId="1339B7E9"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Age (+1 year)</w:t>
            </w:r>
            <w:r w:rsidRPr="001B253C">
              <w:rPr>
                <w:color w:val="000000"/>
                <w:sz w:val="20"/>
                <w:szCs w:val="20"/>
                <w:vertAlign w:val="superscript"/>
                <w:lang w:val="ca-ES" w:eastAsia="ca-ES"/>
              </w:rPr>
              <w:t>fg</w:t>
            </w:r>
          </w:p>
        </w:tc>
        <w:tc>
          <w:tcPr>
            <w:tcW w:w="0" w:type="auto"/>
            <w:tcBorders>
              <w:top w:val="single" w:sz="4" w:space="0" w:color="000000"/>
            </w:tcBorders>
            <w:tcMar>
              <w:top w:w="0" w:type="dxa"/>
              <w:left w:w="70" w:type="dxa"/>
              <w:bottom w:w="0" w:type="dxa"/>
              <w:right w:w="70" w:type="dxa"/>
            </w:tcMar>
            <w:vAlign w:val="bottom"/>
            <w:hideMark/>
          </w:tcPr>
          <w:p w14:paraId="285111D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1.08</w:t>
            </w:r>
          </w:p>
        </w:tc>
        <w:tc>
          <w:tcPr>
            <w:tcW w:w="0" w:type="auto"/>
            <w:tcBorders>
              <w:top w:val="single" w:sz="4" w:space="0" w:color="000000"/>
            </w:tcBorders>
            <w:tcMar>
              <w:top w:w="0" w:type="dxa"/>
              <w:left w:w="70" w:type="dxa"/>
              <w:bottom w:w="0" w:type="dxa"/>
              <w:right w:w="70" w:type="dxa"/>
            </w:tcMar>
            <w:vAlign w:val="bottom"/>
            <w:hideMark/>
          </w:tcPr>
          <w:p w14:paraId="4926B87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0.99 1.18</w:t>
            </w:r>
          </w:p>
        </w:tc>
        <w:tc>
          <w:tcPr>
            <w:tcW w:w="0" w:type="auto"/>
            <w:tcBorders>
              <w:top w:val="single" w:sz="4" w:space="0" w:color="000000"/>
            </w:tcBorders>
            <w:tcMar>
              <w:top w:w="0" w:type="dxa"/>
              <w:left w:w="70" w:type="dxa"/>
              <w:bottom w:w="0" w:type="dxa"/>
              <w:right w:w="70" w:type="dxa"/>
            </w:tcMar>
            <w:vAlign w:val="bottom"/>
            <w:hideMark/>
          </w:tcPr>
          <w:p w14:paraId="6D8009D1"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0.092</w:t>
            </w:r>
          </w:p>
        </w:tc>
        <w:tc>
          <w:tcPr>
            <w:tcW w:w="0" w:type="auto"/>
            <w:tcBorders>
              <w:top w:val="single" w:sz="4" w:space="0" w:color="000000"/>
            </w:tcBorders>
            <w:tcMar>
              <w:top w:w="0" w:type="dxa"/>
              <w:left w:w="70" w:type="dxa"/>
              <w:bottom w:w="0" w:type="dxa"/>
              <w:right w:w="70" w:type="dxa"/>
            </w:tcMar>
            <w:vAlign w:val="bottom"/>
            <w:hideMark/>
          </w:tcPr>
          <w:p w14:paraId="64058D89" w14:textId="77777777" w:rsidR="001B253C" w:rsidRPr="001B253C" w:rsidRDefault="001B253C" w:rsidP="001B253C">
            <w:pPr>
              <w:widowControl/>
              <w:autoSpaceDE/>
              <w:autoSpaceDN/>
              <w:rPr>
                <w:sz w:val="20"/>
                <w:szCs w:val="20"/>
                <w:lang w:val="ca-ES" w:eastAsia="ca-ES"/>
              </w:rPr>
            </w:pPr>
          </w:p>
        </w:tc>
        <w:tc>
          <w:tcPr>
            <w:tcW w:w="0" w:type="auto"/>
            <w:tcBorders>
              <w:top w:val="single" w:sz="4" w:space="0" w:color="000000"/>
            </w:tcBorders>
            <w:tcMar>
              <w:top w:w="0" w:type="dxa"/>
              <w:left w:w="70" w:type="dxa"/>
              <w:bottom w:w="0" w:type="dxa"/>
              <w:right w:w="70" w:type="dxa"/>
            </w:tcMar>
            <w:vAlign w:val="bottom"/>
            <w:hideMark/>
          </w:tcPr>
          <w:p w14:paraId="4413AF4A" w14:textId="77777777" w:rsidR="001B253C" w:rsidRPr="001B253C" w:rsidRDefault="001B253C" w:rsidP="001B253C">
            <w:pPr>
              <w:widowControl/>
              <w:autoSpaceDE/>
              <w:autoSpaceDN/>
              <w:rPr>
                <w:sz w:val="20"/>
                <w:szCs w:val="20"/>
                <w:lang w:val="ca-ES" w:eastAsia="ca-ES"/>
              </w:rPr>
            </w:pPr>
          </w:p>
        </w:tc>
        <w:tc>
          <w:tcPr>
            <w:tcW w:w="0" w:type="auto"/>
            <w:tcBorders>
              <w:top w:val="single" w:sz="4" w:space="0" w:color="000000"/>
            </w:tcBorders>
            <w:tcMar>
              <w:top w:w="0" w:type="dxa"/>
              <w:left w:w="70" w:type="dxa"/>
              <w:bottom w:w="0" w:type="dxa"/>
              <w:right w:w="70" w:type="dxa"/>
            </w:tcMar>
            <w:vAlign w:val="bottom"/>
            <w:hideMark/>
          </w:tcPr>
          <w:p w14:paraId="423880A6" w14:textId="77777777" w:rsidR="001B253C" w:rsidRPr="001B253C" w:rsidRDefault="001B253C" w:rsidP="001B253C">
            <w:pPr>
              <w:widowControl/>
              <w:autoSpaceDE/>
              <w:autoSpaceDN/>
              <w:rPr>
                <w:sz w:val="20"/>
                <w:szCs w:val="20"/>
                <w:lang w:val="ca-ES" w:eastAsia="ca-ES"/>
              </w:rPr>
            </w:pPr>
          </w:p>
        </w:tc>
      </w:tr>
      <w:tr w:rsidR="001B253C" w:rsidRPr="001B253C" w14:paraId="05AD6D42" w14:textId="77777777" w:rsidTr="001B253C">
        <w:trPr>
          <w:trHeight w:val="20"/>
        </w:trPr>
        <w:tc>
          <w:tcPr>
            <w:tcW w:w="0" w:type="auto"/>
            <w:tcMar>
              <w:top w:w="0" w:type="dxa"/>
              <w:left w:w="70" w:type="dxa"/>
              <w:bottom w:w="0" w:type="dxa"/>
              <w:right w:w="70" w:type="dxa"/>
            </w:tcMar>
            <w:vAlign w:val="bottom"/>
            <w:hideMark/>
          </w:tcPr>
          <w:p w14:paraId="4833989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FEV1 (+1 %)</w:t>
            </w:r>
            <w:r w:rsidRPr="001B253C">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7E727DE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0.99</w:t>
            </w:r>
          </w:p>
        </w:tc>
        <w:tc>
          <w:tcPr>
            <w:tcW w:w="0" w:type="auto"/>
            <w:tcMar>
              <w:top w:w="0" w:type="dxa"/>
              <w:left w:w="70" w:type="dxa"/>
              <w:bottom w:w="0" w:type="dxa"/>
              <w:right w:w="70" w:type="dxa"/>
            </w:tcMar>
            <w:vAlign w:val="bottom"/>
            <w:hideMark/>
          </w:tcPr>
          <w:p w14:paraId="0954C99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0.96 to 1.02</w:t>
            </w:r>
          </w:p>
        </w:tc>
        <w:tc>
          <w:tcPr>
            <w:tcW w:w="0" w:type="auto"/>
            <w:tcMar>
              <w:top w:w="0" w:type="dxa"/>
              <w:left w:w="70" w:type="dxa"/>
              <w:bottom w:w="0" w:type="dxa"/>
              <w:right w:w="70" w:type="dxa"/>
            </w:tcMar>
            <w:vAlign w:val="bottom"/>
            <w:hideMark/>
          </w:tcPr>
          <w:p w14:paraId="14C70C4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0.553</w:t>
            </w:r>
          </w:p>
        </w:tc>
        <w:tc>
          <w:tcPr>
            <w:tcW w:w="0" w:type="auto"/>
            <w:tcMar>
              <w:top w:w="0" w:type="dxa"/>
              <w:left w:w="70" w:type="dxa"/>
              <w:bottom w:w="0" w:type="dxa"/>
              <w:right w:w="70" w:type="dxa"/>
            </w:tcMar>
            <w:vAlign w:val="bottom"/>
            <w:hideMark/>
          </w:tcPr>
          <w:p w14:paraId="332E2EB9"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0DC33485"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14C28678" w14:textId="77777777" w:rsidR="001B253C" w:rsidRPr="001B253C" w:rsidRDefault="001B253C" w:rsidP="001B253C">
            <w:pPr>
              <w:widowControl/>
              <w:autoSpaceDE/>
              <w:autoSpaceDN/>
              <w:rPr>
                <w:sz w:val="20"/>
                <w:szCs w:val="20"/>
                <w:lang w:val="ca-ES" w:eastAsia="ca-ES"/>
              </w:rPr>
            </w:pPr>
          </w:p>
        </w:tc>
      </w:tr>
      <w:tr w:rsidR="001B253C" w:rsidRPr="001B253C" w14:paraId="3ACA34DC" w14:textId="77777777" w:rsidTr="001B253C">
        <w:trPr>
          <w:trHeight w:val="20"/>
        </w:trPr>
        <w:tc>
          <w:tcPr>
            <w:tcW w:w="0" w:type="auto"/>
            <w:tcMar>
              <w:top w:w="0" w:type="dxa"/>
              <w:left w:w="70" w:type="dxa"/>
              <w:bottom w:w="0" w:type="dxa"/>
              <w:right w:w="70" w:type="dxa"/>
            </w:tcMar>
            <w:vAlign w:val="bottom"/>
            <w:hideMark/>
          </w:tcPr>
          <w:p w14:paraId="69453146"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Smoker</w:t>
            </w:r>
          </w:p>
        </w:tc>
        <w:tc>
          <w:tcPr>
            <w:tcW w:w="0" w:type="auto"/>
            <w:tcMar>
              <w:top w:w="0" w:type="dxa"/>
              <w:left w:w="70" w:type="dxa"/>
              <w:bottom w:w="0" w:type="dxa"/>
              <w:right w:w="70" w:type="dxa"/>
            </w:tcMar>
            <w:vAlign w:val="bottom"/>
            <w:hideMark/>
          </w:tcPr>
          <w:p w14:paraId="1E80426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1.63</w:t>
            </w:r>
          </w:p>
        </w:tc>
        <w:tc>
          <w:tcPr>
            <w:tcW w:w="0" w:type="auto"/>
            <w:tcMar>
              <w:top w:w="0" w:type="dxa"/>
              <w:left w:w="70" w:type="dxa"/>
              <w:bottom w:w="0" w:type="dxa"/>
              <w:right w:w="70" w:type="dxa"/>
            </w:tcMar>
            <w:vAlign w:val="bottom"/>
            <w:hideMark/>
          </w:tcPr>
          <w:p w14:paraId="397FC8C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0.41 to 6.43</w:t>
            </w:r>
          </w:p>
        </w:tc>
        <w:tc>
          <w:tcPr>
            <w:tcW w:w="0" w:type="auto"/>
            <w:tcMar>
              <w:top w:w="0" w:type="dxa"/>
              <w:left w:w="70" w:type="dxa"/>
              <w:bottom w:w="0" w:type="dxa"/>
              <w:right w:w="70" w:type="dxa"/>
            </w:tcMar>
            <w:vAlign w:val="bottom"/>
            <w:hideMark/>
          </w:tcPr>
          <w:p w14:paraId="7645401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0.486</w:t>
            </w:r>
          </w:p>
        </w:tc>
        <w:tc>
          <w:tcPr>
            <w:tcW w:w="0" w:type="auto"/>
            <w:tcMar>
              <w:top w:w="0" w:type="dxa"/>
              <w:left w:w="70" w:type="dxa"/>
              <w:bottom w:w="0" w:type="dxa"/>
              <w:right w:w="70" w:type="dxa"/>
            </w:tcMar>
            <w:vAlign w:val="bottom"/>
            <w:hideMark/>
          </w:tcPr>
          <w:p w14:paraId="59B8CA75"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213BE085"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11210504" w14:textId="77777777" w:rsidR="001B253C" w:rsidRPr="001B253C" w:rsidRDefault="001B253C" w:rsidP="001B253C">
            <w:pPr>
              <w:widowControl/>
              <w:autoSpaceDE/>
              <w:autoSpaceDN/>
              <w:rPr>
                <w:sz w:val="20"/>
                <w:szCs w:val="20"/>
                <w:lang w:val="ca-ES" w:eastAsia="ca-ES"/>
              </w:rPr>
            </w:pPr>
          </w:p>
        </w:tc>
      </w:tr>
      <w:tr w:rsidR="001B253C" w:rsidRPr="001B253C" w14:paraId="02FCA44C" w14:textId="77777777" w:rsidTr="001B253C">
        <w:trPr>
          <w:trHeight w:val="20"/>
        </w:trPr>
        <w:tc>
          <w:tcPr>
            <w:tcW w:w="0" w:type="auto"/>
            <w:tcMar>
              <w:top w:w="0" w:type="dxa"/>
              <w:left w:w="70" w:type="dxa"/>
              <w:bottom w:w="0" w:type="dxa"/>
              <w:right w:w="70" w:type="dxa"/>
            </w:tcMar>
            <w:vAlign w:val="bottom"/>
            <w:hideMark/>
          </w:tcPr>
          <w:p w14:paraId="7A5A9D8E"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Charlson Comorbidity Index (CCI) Score corrected (+1)</w:t>
            </w:r>
            <w:r w:rsidRPr="001B253C">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015B554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1.67</w:t>
            </w:r>
          </w:p>
        </w:tc>
        <w:tc>
          <w:tcPr>
            <w:tcW w:w="0" w:type="auto"/>
            <w:tcMar>
              <w:top w:w="0" w:type="dxa"/>
              <w:left w:w="70" w:type="dxa"/>
              <w:bottom w:w="0" w:type="dxa"/>
              <w:right w:w="70" w:type="dxa"/>
            </w:tcMar>
            <w:vAlign w:val="bottom"/>
            <w:hideMark/>
          </w:tcPr>
          <w:p w14:paraId="27E39F5F"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1.11 to 2.52</w:t>
            </w:r>
          </w:p>
        </w:tc>
        <w:tc>
          <w:tcPr>
            <w:tcW w:w="0" w:type="auto"/>
            <w:tcMar>
              <w:top w:w="0" w:type="dxa"/>
              <w:left w:w="70" w:type="dxa"/>
              <w:bottom w:w="0" w:type="dxa"/>
              <w:right w:w="70" w:type="dxa"/>
            </w:tcMar>
            <w:vAlign w:val="bottom"/>
            <w:hideMark/>
          </w:tcPr>
          <w:p w14:paraId="6265CEC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0.013</w:t>
            </w:r>
          </w:p>
        </w:tc>
        <w:tc>
          <w:tcPr>
            <w:tcW w:w="0" w:type="auto"/>
            <w:tcMar>
              <w:top w:w="0" w:type="dxa"/>
              <w:left w:w="70" w:type="dxa"/>
              <w:bottom w:w="0" w:type="dxa"/>
              <w:right w:w="70" w:type="dxa"/>
            </w:tcMar>
            <w:vAlign w:val="bottom"/>
            <w:hideMark/>
          </w:tcPr>
          <w:p w14:paraId="76BAE11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1.67</w:t>
            </w:r>
          </w:p>
        </w:tc>
        <w:tc>
          <w:tcPr>
            <w:tcW w:w="0" w:type="auto"/>
            <w:tcMar>
              <w:top w:w="0" w:type="dxa"/>
              <w:left w:w="70" w:type="dxa"/>
              <w:bottom w:w="0" w:type="dxa"/>
              <w:right w:w="70" w:type="dxa"/>
            </w:tcMar>
            <w:vAlign w:val="bottom"/>
            <w:hideMark/>
          </w:tcPr>
          <w:p w14:paraId="7A5A902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0.98 to 2.85</w:t>
            </w:r>
          </w:p>
        </w:tc>
        <w:tc>
          <w:tcPr>
            <w:tcW w:w="0" w:type="auto"/>
            <w:tcMar>
              <w:top w:w="0" w:type="dxa"/>
              <w:left w:w="70" w:type="dxa"/>
              <w:bottom w:w="0" w:type="dxa"/>
              <w:right w:w="70" w:type="dxa"/>
            </w:tcMar>
            <w:vAlign w:val="bottom"/>
            <w:hideMark/>
          </w:tcPr>
          <w:p w14:paraId="7F588BE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0.061</w:t>
            </w:r>
          </w:p>
        </w:tc>
      </w:tr>
      <w:tr w:rsidR="001B253C" w:rsidRPr="001B253C" w14:paraId="3793D19B" w14:textId="77777777" w:rsidTr="001B253C">
        <w:trPr>
          <w:trHeight w:val="20"/>
        </w:trPr>
        <w:tc>
          <w:tcPr>
            <w:tcW w:w="0" w:type="auto"/>
            <w:tcMar>
              <w:top w:w="0" w:type="dxa"/>
              <w:left w:w="70" w:type="dxa"/>
              <w:bottom w:w="0" w:type="dxa"/>
              <w:right w:w="70" w:type="dxa"/>
            </w:tcMar>
            <w:vAlign w:val="bottom"/>
            <w:hideMark/>
          </w:tcPr>
          <w:p w14:paraId="313796B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mMRC (+1)</w:t>
            </w:r>
            <w:r w:rsidRPr="001B253C">
              <w:rPr>
                <w:color w:val="000000"/>
                <w:sz w:val="20"/>
                <w:szCs w:val="20"/>
                <w:vertAlign w:val="superscript"/>
                <w:lang w:val="ca-ES" w:eastAsia="ca-ES"/>
              </w:rPr>
              <w:t>fg</w:t>
            </w:r>
          </w:p>
        </w:tc>
        <w:tc>
          <w:tcPr>
            <w:tcW w:w="0" w:type="auto"/>
            <w:tcMar>
              <w:top w:w="0" w:type="dxa"/>
              <w:left w:w="70" w:type="dxa"/>
              <w:bottom w:w="0" w:type="dxa"/>
              <w:right w:w="70" w:type="dxa"/>
            </w:tcMar>
            <w:vAlign w:val="bottom"/>
            <w:hideMark/>
          </w:tcPr>
          <w:p w14:paraId="3C9D5FD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2.35</w:t>
            </w:r>
          </w:p>
        </w:tc>
        <w:tc>
          <w:tcPr>
            <w:tcW w:w="0" w:type="auto"/>
            <w:tcMar>
              <w:top w:w="0" w:type="dxa"/>
              <w:left w:w="70" w:type="dxa"/>
              <w:bottom w:w="0" w:type="dxa"/>
              <w:right w:w="70" w:type="dxa"/>
            </w:tcMar>
            <w:vAlign w:val="bottom"/>
            <w:hideMark/>
          </w:tcPr>
          <w:p w14:paraId="7C72B3E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1.07 to 5.15</w:t>
            </w:r>
          </w:p>
        </w:tc>
        <w:tc>
          <w:tcPr>
            <w:tcW w:w="0" w:type="auto"/>
            <w:tcMar>
              <w:top w:w="0" w:type="dxa"/>
              <w:left w:w="70" w:type="dxa"/>
              <w:bottom w:w="0" w:type="dxa"/>
              <w:right w:w="70" w:type="dxa"/>
            </w:tcMar>
            <w:vAlign w:val="bottom"/>
            <w:hideMark/>
          </w:tcPr>
          <w:p w14:paraId="576C042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0.032</w:t>
            </w:r>
          </w:p>
        </w:tc>
        <w:tc>
          <w:tcPr>
            <w:tcW w:w="0" w:type="auto"/>
            <w:tcMar>
              <w:top w:w="0" w:type="dxa"/>
              <w:left w:w="70" w:type="dxa"/>
              <w:bottom w:w="0" w:type="dxa"/>
              <w:right w:w="70" w:type="dxa"/>
            </w:tcMar>
            <w:vAlign w:val="bottom"/>
            <w:hideMark/>
          </w:tcPr>
          <w:p w14:paraId="65E8FDCC"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65D77F1"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ACF238E" w14:textId="77777777" w:rsidR="001B253C" w:rsidRPr="001B253C" w:rsidRDefault="001B253C" w:rsidP="001B253C">
            <w:pPr>
              <w:widowControl/>
              <w:autoSpaceDE/>
              <w:autoSpaceDN/>
              <w:rPr>
                <w:sz w:val="20"/>
                <w:szCs w:val="20"/>
                <w:lang w:val="ca-ES" w:eastAsia="ca-ES"/>
              </w:rPr>
            </w:pPr>
          </w:p>
        </w:tc>
      </w:tr>
      <w:tr w:rsidR="001B253C" w:rsidRPr="001B253C" w14:paraId="6886E91D" w14:textId="77777777" w:rsidTr="001B253C">
        <w:trPr>
          <w:trHeight w:val="20"/>
        </w:trPr>
        <w:tc>
          <w:tcPr>
            <w:tcW w:w="0" w:type="auto"/>
            <w:tcMar>
              <w:top w:w="0" w:type="dxa"/>
              <w:left w:w="70" w:type="dxa"/>
              <w:bottom w:w="0" w:type="dxa"/>
              <w:right w:w="70" w:type="dxa"/>
            </w:tcMar>
            <w:vAlign w:val="bottom"/>
            <w:hideMark/>
          </w:tcPr>
          <w:p w14:paraId="3CDD0B0A"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CAT TOTAL score (+1)</w:t>
            </w:r>
            <w:r w:rsidRPr="001B253C">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06FD4F6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1.16</w:t>
            </w:r>
          </w:p>
        </w:tc>
        <w:tc>
          <w:tcPr>
            <w:tcW w:w="0" w:type="auto"/>
            <w:tcMar>
              <w:top w:w="0" w:type="dxa"/>
              <w:left w:w="70" w:type="dxa"/>
              <w:bottom w:w="0" w:type="dxa"/>
              <w:right w:w="70" w:type="dxa"/>
            </w:tcMar>
            <w:vAlign w:val="bottom"/>
            <w:hideMark/>
          </w:tcPr>
          <w:p w14:paraId="3EDC1B47"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1.06 to 1.28</w:t>
            </w:r>
          </w:p>
        </w:tc>
        <w:tc>
          <w:tcPr>
            <w:tcW w:w="0" w:type="auto"/>
            <w:tcMar>
              <w:top w:w="0" w:type="dxa"/>
              <w:left w:w="70" w:type="dxa"/>
              <w:bottom w:w="0" w:type="dxa"/>
              <w:right w:w="70" w:type="dxa"/>
            </w:tcMar>
            <w:vAlign w:val="bottom"/>
            <w:hideMark/>
          </w:tcPr>
          <w:p w14:paraId="1D0F4C1C"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0.002</w:t>
            </w:r>
          </w:p>
        </w:tc>
        <w:tc>
          <w:tcPr>
            <w:tcW w:w="0" w:type="auto"/>
            <w:tcMar>
              <w:top w:w="0" w:type="dxa"/>
              <w:left w:w="70" w:type="dxa"/>
              <w:bottom w:w="0" w:type="dxa"/>
              <w:right w:w="70" w:type="dxa"/>
            </w:tcMar>
            <w:vAlign w:val="bottom"/>
            <w:hideMark/>
          </w:tcPr>
          <w:p w14:paraId="6EE7956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1.17</w:t>
            </w:r>
          </w:p>
        </w:tc>
        <w:tc>
          <w:tcPr>
            <w:tcW w:w="0" w:type="auto"/>
            <w:tcMar>
              <w:top w:w="0" w:type="dxa"/>
              <w:left w:w="70" w:type="dxa"/>
              <w:bottom w:w="0" w:type="dxa"/>
              <w:right w:w="70" w:type="dxa"/>
            </w:tcMar>
            <w:vAlign w:val="bottom"/>
            <w:hideMark/>
          </w:tcPr>
          <w:p w14:paraId="455C6CD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1.04 to 1.30</w:t>
            </w:r>
          </w:p>
        </w:tc>
        <w:tc>
          <w:tcPr>
            <w:tcW w:w="0" w:type="auto"/>
            <w:tcMar>
              <w:top w:w="0" w:type="dxa"/>
              <w:left w:w="70" w:type="dxa"/>
              <w:bottom w:w="0" w:type="dxa"/>
              <w:right w:w="70" w:type="dxa"/>
            </w:tcMar>
            <w:vAlign w:val="bottom"/>
            <w:hideMark/>
          </w:tcPr>
          <w:p w14:paraId="05C8198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0.006</w:t>
            </w:r>
          </w:p>
        </w:tc>
      </w:tr>
      <w:tr w:rsidR="001B253C" w:rsidRPr="001B253C" w14:paraId="079B254E" w14:textId="77777777" w:rsidTr="001B253C">
        <w:trPr>
          <w:trHeight w:val="20"/>
        </w:trPr>
        <w:tc>
          <w:tcPr>
            <w:tcW w:w="0" w:type="auto"/>
            <w:tcMar>
              <w:top w:w="0" w:type="dxa"/>
              <w:left w:w="70" w:type="dxa"/>
              <w:bottom w:w="0" w:type="dxa"/>
              <w:right w:w="70" w:type="dxa"/>
            </w:tcMar>
            <w:vAlign w:val="bottom"/>
            <w:hideMark/>
          </w:tcPr>
          <w:p w14:paraId="1AA9DE6C"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BODEx score (+1)</w:t>
            </w:r>
            <w:r w:rsidRPr="001B253C">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01C6836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1.39</w:t>
            </w:r>
          </w:p>
        </w:tc>
        <w:tc>
          <w:tcPr>
            <w:tcW w:w="0" w:type="auto"/>
            <w:tcMar>
              <w:top w:w="0" w:type="dxa"/>
              <w:left w:w="70" w:type="dxa"/>
              <w:bottom w:w="0" w:type="dxa"/>
              <w:right w:w="70" w:type="dxa"/>
            </w:tcMar>
            <w:vAlign w:val="bottom"/>
            <w:hideMark/>
          </w:tcPr>
          <w:p w14:paraId="37AB68F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1.01 to 1.93</w:t>
            </w:r>
          </w:p>
        </w:tc>
        <w:tc>
          <w:tcPr>
            <w:tcW w:w="0" w:type="auto"/>
            <w:tcMar>
              <w:top w:w="0" w:type="dxa"/>
              <w:left w:w="70" w:type="dxa"/>
              <w:bottom w:w="0" w:type="dxa"/>
              <w:right w:w="70" w:type="dxa"/>
            </w:tcMar>
            <w:vAlign w:val="bottom"/>
            <w:hideMark/>
          </w:tcPr>
          <w:p w14:paraId="45E6E38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0.045</w:t>
            </w:r>
          </w:p>
        </w:tc>
        <w:tc>
          <w:tcPr>
            <w:tcW w:w="0" w:type="auto"/>
            <w:tcMar>
              <w:top w:w="0" w:type="dxa"/>
              <w:left w:w="70" w:type="dxa"/>
              <w:bottom w:w="0" w:type="dxa"/>
              <w:right w:w="70" w:type="dxa"/>
            </w:tcMar>
            <w:vAlign w:val="bottom"/>
            <w:hideMark/>
          </w:tcPr>
          <w:p w14:paraId="45B3EFC3"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2301E262"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1A569B93" w14:textId="77777777" w:rsidR="001B253C" w:rsidRPr="001B253C" w:rsidRDefault="001B253C" w:rsidP="001B253C">
            <w:pPr>
              <w:widowControl/>
              <w:autoSpaceDE/>
              <w:autoSpaceDN/>
              <w:rPr>
                <w:sz w:val="20"/>
                <w:szCs w:val="20"/>
                <w:lang w:val="ca-ES" w:eastAsia="ca-ES"/>
              </w:rPr>
            </w:pPr>
          </w:p>
        </w:tc>
      </w:tr>
      <w:tr w:rsidR="001B253C" w:rsidRPr="001B253C" w14:paraId="09EB5CF0" w14:textId="77777777" w:rsidTr="001B253C">
        <w:trPr>
          <w:trHeight w:val="20"/>
        </w:trPr>
        <w:tc>
          <w:tcPr>
            <w:tcW w:w="0" w:type="auto"/>
            <w:tcMar>
              <w:top w:w="0" w:type="dxa"/>
              <w:left w:w="70" w:type="dxa"/>
              <w:bottom w:w="0" w:type="dxa"/>
              <w:right w:w="70" w:type="dxa"/>
            </w:tcMar>
            <w:vAlign w:val="bottom"/>
            <w:hideMark/>
          </w:tcPr>
          <w:p w14:paraId="65F2DF13"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Metabolic syndrome</w:t>
            </w:r>
          </w:p>
        </w:tc>
        <w:tc>
          <w:tcPr>
            <w:tcW w:w="0" w:type="auto"/>
            <w:tcMar>
              <w:top w:w="0" w:type="dxa"/>
              <w:left w:w="70" w:type="dxa"/>
              <w:bottom w:w="0" w:type="dxa"/>
              <w:right w:w="70" w:type="dxa"/>
            </w:tcMar>
            <w:vAlign w:val="bottom"/>
            <w:hideMark/>
          </w:tcPr>
          <w:p w14:paraId="3164CF85"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1.50</w:t>
            </w:r>
          </w:p>
        </w:tc>
        <w:tc>
          <w:tcPr>
            <w:tcW w:w="0" w:type="auto"/>
            <w:tcMar>
              <w:top w:w="0" w:type="dxa"/>
              <w:left w:w="70" w:type="dxa"/>
              <w:bottom w:w="0" w:type="dxa"/>
              <w:right w:w="70" w:type="dxa"/>
            </w:tcMar>
            <w:vAlign w:val="bottom"/>
            <w:hideMark/>
          </w:tcPr>
          <w:p w14:paraId="0379DF36"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0.45 to 4.98</w:t>
            </w:r>
          </w:p>
        </w:tc>
        <w:tc>
          <w:tcPr>
            <w:tcW w:w="0" w:type="auto"/>
            <w:tcMar>
              <w:top w:w="0" w:type="dxa"/>
              <w:left w:w="70" w:type="dxa"/>
              <w:bottom w:w="0" w:type="dxa"/>
              <w:right w:w="70" w:type="dxa"/>
            </w:tcMar>
            <w:vAlign w:val="bottom"/>
            <w:hideMark/>
          </w:tcPr>
          <w:p w14:paraId="7574CF70"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0.508</w:t>
            </w:r>
          </w:p>
        </w:tc>
        <w:tc>
          <w:tcPr>
            <w:tcW w:w="0" w:type="auto"/>
            <w:tcMar>
              <w:top w:w="0" w:type="dxa"/>
              <w:left w:w="70" w:type="dxa"/>
              <w:bottom w:w="0" w:type="dxa"/>
              <w:right w:w="70" w:type="dxa"/>
            </w:tcMar>
            <w:vAlign w:val="bottom"/>
            <w:hideMark/>
          </w:tcPr>
          <w:p w14:paraId="1D46FE11"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478D87C0"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1B9DA5B9" w14:textId="77777777" w:rsidR="001B253C" w:rsidRPr="001B253C" w:rsidRDefault="001B253C" w:rsidP="001B253C">
            <w:pPr>
              <w:widowControl/>
              <w:autoSpaceDE/>
              <w:autoSpaceDN/>
              <w:rPr>
                <w:sz w:val="20"/>
                <w:szCs w:val="20"/>
                <w:lang w:val="ca-ES" w:eastAsia="ca-ES"/>
              </w:rPr>
            </w:pPr>
          </w:p>
        </w:tc>
      </w:tr>
      <w:tr w:rsidR="001B253C" w:rsidRPr="001B253C" w14:paraId="11525D82" w14:textId="77777777" w:rsidTr="001B253C">
        <w:trPr>
          <w:trHeight w:val="20"/>
        </w:trPr>
        <w:tc>
          <w:tcPr>
            <w:tcW w:w="0" w:type="auto"/>
            <w:tcMar>
              <w:top w:w="0" w:type="dxa"/>
              <w:left w:w="70" w:type="dxa"/>
              <w:bottom w:w="0" w:type="dxa"/>
              <w:right w:w="70" w:type="dxa"/>
            </w:tcMar>
            <w:vAlign w:val="bottom"/>
            <w:hideMark/>
          </w:tcPr>
          <w:p w14:paraId="2559158B"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Total testosterone (+1 ng/dL)</w:t>
            </w:r>
            <w:r w:rsidRPr="001B253C">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659C2B5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1.00</w:t>
            </w:r>
          </w:p>
        </w:tc>
        <w:tc>
          <w:tcPr>
            <w:tcW w:w="0" w:type="auto"/>
            <w:tcMar>
              <w:top w:w="0" w:type="dxa"/>
              <w:left w:w="70" w:type="dxa"/>
              <w:bottom w:w="0" w:type="dxa"/>
              <w:right w:w="70" w:type="dxa"/>
            </w:tcMar>
            <w:vAlign w:val="bottom"/>
            <w:hideMark/>
          </w:tcPr>
          <w:p w14:paraId="3338A5F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1.00 to 1.00</w:t>
            </w:r>
          </w:p>
        </w:tc>
        <w:tc>
          <w:tcPr>
            <w:tcW w:w="0" w:type="auto"/>
            <w:tcMar>
              <w:top w:w="0" w:type="dxa"/>
              <w:left w:w="70" w:type="dxa"/>
              <w:bottom w:w="0" w:type="dxa"/>
              <w:right w:w="70" w:type="dxa"/>
            </w:tcMar>
            <w:vAlign w:val="bottom"/>
            <w:hideMark/>
          </w:tcPr>
          <w:p w14:paraId="1F44C9E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0.848</w:t>
            </w:r>
          </w:p>
        </w:tc>
        <w:tc>
          <w:tcPr>
            <w:tcW w:w="0" w:type="auto"/>
            <w:tcMar>
              <w:top w:w="0" w:type="dxa"/>
              <w:left w:w="70" w:type="dxa"/>
              <w:bottom w:w="0" w:type="dxa"/>
              <w:right w:w="70" w:type="dxa"/>
            </w:tcMar>
            <w:vAlign w:val="bottom"/>
            <w:hideMark/>
          </w:tcPr>
          <w:p w14:paraId="2D0196F4"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108DCCB"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C0B1C88" w14:textId="77777777" w:rsidR="001B253C" w:rsidRPr="001B253C" w:rsidRDefault="001B253C" w:rsidP="001B253C">
            <w:pPr>
              <w:widowControl/>
              <w:autoSpaceDE/>
              <w:autoSpaceDN/>
              <w:rPr>
                <w:sz w:val="20"/>
                <w:szCs w:val="20"/>
                <w:lang w:val="ca-ES" w:eastAsia="ca-ES"/>
              </w:rPr>
            </w:pPr>
          </w:p>
        </w:tc>
      </w:tr>
      <w:tr w:rsidR="001B253C" w:rsidRPr="001B253C" w14:paraId="7247E36B" w14:textId="77777777" w:rsidTr="001B253C">
        <w:trPr>
          <w:trHeight w:val="20"/>
        </w:trPr>
        <w:tc>
          <w:tcPr>
            <w:tcW w:w="0" w:type="auto"/>
            <w:tcMar>
              <w:top w:w="0" w:type="dxa"/>
              <w:left w:w="70" w:type="dxa"/>
              <w:bottom w:w="0" w:type="dxa"/>
              <w:right w:w="70" w:type="dxa"/>
            </w:tcMar>
            <w:vAlign w:val="bottom"/>
            <w:hideMark/>
          </w:tcPr>
          <w:p w14:paraId="1FD9FE60"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AMSS score (+1)</w:t>
            </w:r>
            <w:r w:rsidRPr="001B253C">
              <w:rPr>
                <w:color w:val="000000"/>
                <w:sz w:val="20"/>
                <w:szCs w:val="20"/>
                <w:vertAlign w:val="superscript"/>
                <w:lang w:val="ca-ES" w:eastAsia="ca-ES"/>
              </w:rPr>
              <w:t>fg</w:t>
            </w:r>
          </w:p>
        </w:tc>
        <w:tc>
          <w:tcPr>
            <w:tcW w:w="0" w:type="auto"/>
            <w:tcMar>
              <w:top w:w="0" w:type="dxa"/>
              <w:left w:w="70" w:type="dxa"/>
              <w:bottom w:w="0" w:type="dxa"/>
              <w:right w:w="70" w:type="dxa"/>
            </w:tcMar>
            <w:vAlign w:val="bottom"/>
            <w:hideMark/>
          </w:tcPr>
          <w:p w14:paraId="09005A8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1.04</w:t>
            </w:r>
          </w:p>
        </w:tc>
        <w:tc>
          <w:tcPr>
            <w:tcW w:w="0" w:type="auto"/>
            <w:tcMar>
              <w:top w:w="0" w:type="dxa"/>
              <w:left w:w="70" w:type="dxa"/>
              <w:bottom w:w="0" w:type="dxa"/>
              <w:right w:w="70" w:type="dxa"/>
            </w:tcMar>
            <w:vAlign w:val="bottom"/>
            <w:hideMark/>
          </w:tcPr>
          <w:p w14:paraId="6D9EBD78"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1.00 to 1.09</w:t>
            </w:r>
          </w:p>
        </w:tc>
        <w:tc>
          <w:tcPr>
            <w:tcW w:w="0" w:type="auto"/>
            <w:tcMar>
              <w:top w:w="0" w:type="dxa"/>
              <w:left w:w="70" w:type="dxa"/>
              <w:bottom w:w="0" w:type="dxa"/>
              <w:right w:w="70" w:type="dxa"/>
            </w:tcMar>
            <w:vAlign w:val="bottom"/>
            <w:hideMark/>
          </w:tcPr>
          <w:p w14:paraId="7DD79429"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0.064</w:t>
            </w:r>
          </w:p>
        </w:tc>
        <w:tc>
          <w:tcPr>
            <w:tcW w:w="0" w:type="auto"/>
            <w:tcMar>
              <w:top w:w="0" w:type="dxa"/>
              <w:left w:w="70" w:type="dxa"/>
              <w:bottom w:w="0" w:type="dxa"/>
              <w:right w:w="70" w:type="dxa"/>
            </w:tcMar>
            <w:vAlign w:val="bottom"/>
            <w:hideMark/>
          </w:tcPr>
          <w:p w14:paraId="525BD491"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27F69944"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A629055" w14:textId="77777777" w:rsidR="001B253C" w:rsidRPr="001B253C" w:rsidRDefault="001B253C" w:rsidP="001B253C">
            <w:pPr>
              <w:widowControl/>
              <w:autoSpaceDE/>
              <w:autoSpaceDN/>
              <w:rPr>
                <w:sz w:val="20"/>
                <w:szCs w:val="20"/>
                <w:lang w:val="ca-ES" w:eastAsia="ca-ES"/>
              </w:rPr>
            </w:pPr>
          </w:p>
        </w:tc>
      </w:tr>
      <w:tr w:rsidR="001B253C" w:rsidRPr="001B253C" w14:paraId="4CA61E4A" w14:textId="77777777" w:rsidTr="001B253C">
        <w:trPr>
          <w:trHeight w:val="20"/>
        </w:trPr>
        <w:tc>
          <w:tcPr>
            <w:tcW w:w="0" w:type="auto"/>
            <w:tcMar>
              <w:top w:w="0" w:type="dxa"/>
              <w:left w:w="70" w:type="dxa"/>
              <w:bottom w:w="0" w:type="dxa"/>
              <w:right w:w="70" w:type="dxa"/>
            </w:tcMar>
            <w:vAlign w:val="bottom"/>
            <w:hideMark/>
          </w:tcPr>
          <w:p w14:paraId="4AEC783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IPSS score (+1)</w:t>
            </w:r>
            <w:r w:rsidRPr="001B253C">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6CCC584D"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1.12</w:t>
            </w:r>
          </w:p>
        </w:tc>
        <w:tc>
          <w:tcPr>
            <w:tcW w:w="0" w:type="auto"/>
            <w:tcMar>
              <w:top w:w="0" w:type="dxa"/>
              <w:left w:w="70" w:type="dxa"/>
              <w:bottom w:w="0" w:type="dxa"/>
              <w:right w:w="70" w:type="dxa"/>
            </w:tcMar>
            <w:vAlign w:val="bottom"/>
            <w:hideMark/>
          </w:tcPr>
          <w:p w14:paraId="76647403"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1.01 to 1.24</w:t>
            </w:r>
          </w:p>
        </w:tc>
        <w:tc>
          <w:tcPr>
            <w:tcW w:w="0" w:type="auto"/>
            <w:tcMar>
              <w:top w:w="0" w:type="dxa"/>
              <w:left w:w="70" w:type="dxa"/>
              <w:bottom w:w="0" w:type="dxa"/>
              <w:right w:w="70" w:type="dxa"/>
            </w:tcMar>
            <w:vAlign w:val="bottom"/>
            <w:hideMark/>
          </w:tcPr>
          <w:p w14:paraId="06C3829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0.040</w:t>
            </w:r>
          </w:p>
        </w:tc>
        <w:tc>
          <w:tcPr>
            <w:tcW w:w="0" w:type="auto"/>
            <w:tcMar>
              <w:top w:w="0" w:type="dxa"/>
              <w:left w:w="70" w:type="dxa"/>
              <w:bottom w:w="0" w:type="dxa"/>
              <w:right w:w="70" w:type="dxa"/>
            </w:tcMar>
            <w:vAlign w:val="bottom"/>
            <w:hideMark/>
          </w:tcPr>
          <w:p w14:paraId="15768DB1"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00266BD0" w14:textId="77777777" w:rsidR="001B253C" w:rsidRPr="001B253C" w:rsidRDefault="001B253C" w:rsidP="001B253C">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5D02B9FE" w14:textId="77777777" w:rsidR="001B253C" w:rsidRPr="001B253C" w:rsidRDefault="001B253C" w:rsidP="001B253C">
            <w:pPr>
              <w:widowControl/>
              <w:autoSpaceDE/>
              <w:autoSpaceDN/>
              <w:rPr>
                <w:sz w:val="20"/>
                <w:szCs w:val="20"/>
                <w:lang w:val="ca-ES" w:eastAsia="ca-ES"/>
              </w:rPr>
            </w:pPr>
          </w:p>
        </w:tc>
      </w:tr>
      <w:tr w:rsidR="001B253C" w:rsidRPr="001B253C" w14:paraId="609D9F1F" w14:textId="77777777" w:rsidTr="001B253C">
        <w:trPr>
          <w:trHeight w:val="20"/>
        </w:trPr>
        <w:tc>
          <w:tcPr>
            <w:tcW w:w="0" w:type="auto"/>
            <w:tcBorders>
              <w:bottom w:val="single" w:sz="4" w:space="0" w:color="000000"/>
            </w:tcBorders>
            <w:tcMar>
              <w:top w:w="0" w:type="dxa"/>
              <w:left w:w="70" w:type="dxa"/>
              <w:bottom w:w="0" w:type="dxa"/>
              <w:right w:w="70" w:type="dxa"/>
            </w:tcMar>
            <w:vAlign w:val="bottom"/>
            <w:hideMark/>
          </w:tcPr>
          <w:p w14:paraId="1BE4DD05" w14:textId="77777777" w:rsidR="001B253C" w:rsidRPr="001B253C" w:rsidRDefault="001B253C" w:rsidP="001B253C">
            <w:pPr>
              <w:widowControl/>
              <w:autoSpaceDE/>
              <w:autoSpaceDN/>
              <w:jc w:val="both"/>
              <w:rPr>
                <w:sz w:val="20"/>
                <w:szCs w:val="20"/>
                <w:lang w:val="ca-ES" w:eastAsia="ca-ES"/>
              </w:rPr>
            </w:pPr>
            <w:r w:rsidRPr="001B253C">
              <w:rPr>
                <w:color w:val="000000"/>
                <w:sz w:val="20"/>
                <w:szCs w:val="20"/>
                <w:lang w:val="ca-ES" w:eastAsia="ca-ES"/>
              </w:rPr>
              <w:t>HADS Total score (+1)</w:t>
            </w:r>
            <w:r w:rsidRPr="001B253C">
              <w:rPr>
                <w:color w:val="000000"/>
                <w:sz w:val="20"/>
                <w:szCs w:val="20"/>
                <w:vertAlign w:val="superscript"/>
                <w:lang w:val="ca-ES" w:eastAsia="ca-ES"/>
              </w:rPr>
              <w:t>f</w:t>
            </w:r>
          </w:p>
        </w:tc>
        <w:tc>
          <w:tcPr>
            <w:tcW w:w="0" w:type="auto"/>
            <w:tcBorders>
              <w:bottom w:val="single" w:sz="4" w:space="0" w:color="000000"/>
            </w:tcBorders>
            <w:tcMar>
              <w:top w:w="0" w:type="dxa"/>
              <w:left w:w="70" w:type="dxa"/>
              <w:bottom w:w="0" w:type="dxa"/>
              <w:right w:w="70" w:type="dxa"/>
            </w:tcMar>
            <w:hideMark/>
          </w:tcPr>
          <w:p w14:paraId="35FFBE04"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1.09</w:t>
            </w:r>
          </w:p>
        </w:tc>
        <w:tc>
          <w:tcPr>
            <w:tcW w:w="0" w:type="auto"/>
            <w:tcBorders>
              <w:bottom w:val="single" w:sz="4" w:space="0" w:color="000000"/>
            </w:tcBorders>
            <w:tcMar>
              <w:top w:w="0" w:type="dxa"/>
              <w:left w:w="70" w:type="dxa"/>
              <w:bottom w:w="0" w:type="dxa"/>
              <w:right w:w="70" w:type="dxa"/>
            </w:tcMar>
            <w:hideMark/>
          </w:tcPr>
          <w:p w14:paraId="2F2977F2"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1.00 to 1.19</w:t>
            </w:r>
          </w:p>
        </w:tc>
        <w:tc>
          <w:tcPr>
            <w:tcW w:w="0" w:type="auto"/>
            <w:tcBorders>
              <w:bottom w:val="single" w:sz="4" w:space="0" w:color="000000"/>
            </w:tcBorders>
            <w:tcMar>
              <w:top w:w="0" w:type="dxa"/>
              <w:left w:w="70" w:type="dxa"/>
              <w:bottom w:w="0" w:type="dxa"/>
              <w:right w:w="70" w:type="dxa"/>
            </w:tcMar>
            <w:hideMark/>
          </w:tcPr>
          <w:p w14:paraId="64EB463E"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0.050</w:t>
            </w:r>
          </w:p>
        </w:tc>
        <w:tc>
          <w:tcPr>
            <w:tcW w:w="0" w:type="auto"/>
            <w:tcBorders>
              <w:bottom w:val="single" w:sz="4" w:space="0" w:color="000000"/>
            </w:tcBorders>
            <w:tcMar>
              <w:top w:w="0" w:type="dxa"/>
              <w:left w:w="70" w:type="dxa"/>
              <w:bottom w:w="0" w:type="dxa"/>
              <w:right w:w="70" w:type="dxa"/>
            </w:tcMar>
            <w:hideMark/>
          </w:tcPr>
          <w:p w14:paraId="30F2B5BB"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1.13</w:t>
            </w:r>
          </w:p>
        </w:tc>
        <w:tc>
          <w:tcPr>
            <w:tcW w:w="0" w:type="auto"/>
            <w:tcBorders>
              <w:bottom w:val="single" w:sz="4" w:space="0" w:color="000000"/>
            </w:tcBorders>
            <w:tcMar>
              <w:top w:w="0" w:type="dxa"/>
              <w:left w:w="70" w:type="dxa"/>
              <w:bottom w:w="0" w:type="dxa"/>
              <w:right w:w="70" w:type="dxa"/>
            </w:tcMar>
            <w:hideMark/>
          </w:tcPr>
          <w:p w14:paraId="6A328E6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1.00 to 1.27</w:t>
            </w:r>
          </w:p>
        </w:tc>
        <w:tc>
          <w:tcPr>
            <w:tcW w:w="0" w:type="auto"/>
            <w:tcBorders>
              <w:bottom w:val="single" w:sz="4" w:space="0" w:color="000000"/>
            </w:tcBorders>
            <w:tcMar>
              <w:top w:w="0" w:type="dxa"/>
              <w:left w:w="70" w:type="dxa"/>
              <w:bottom w:w="0" w:type="dxa"/>
              <w:right w:w="70" w:type="dxa"/>
            </w:tcMar>
            <w:hideMark/>
          </w:tcPr>
          <w:p w14:paraId="308E5D4A" w14:textId="77777777" w:rsidR="001B253C" w:rsidRPr="001B253C" w:rsidRDefault="001B253C" w:rsidP="001B253C">
            <w:pPr>
              <w:widowControl/>
              <w:autoSpaceDE/>
              <w:autoSpaceDN/>
              <w:jc w:val="center"/>
              <w:rPr>
                <w:sz w:val="20"/>
                <w:szCs w:val="20"/>
                <w:lang w:val="ca-ES" w:eastAsia="ca-ES"/>
              </w:rPr>
            </w:pPr>
            <w:r w:rsidRPr="001B253C">
              <w:rPr>
                <w:color w:val="000000"/>
                <w:sz w:val="20"/>
                <w:szCs w:val="20"/>
                <w:lang w:val="ca-ES" w:eastAsia="ca-ES"/>
              </w:rPr>
              <w:t>0.042</w:t>
            </w:r>
          </w:p>
        </w:tc>
      </w:tr>
    </w:tbl>
    <w:p w14:paraId="70B70677" w14:textId="07E28002" w:rsidR="00EC3280" w:rsidRDefault="00EC3280" w:rsidP="00EC3280">
      <w:pPr>
        <w:pStyle w:val="BodyText"/>
        <w:spacing w:before="177"/>
        <w:ind w:right="4"/>
        <w:jc w:val="both"/>
      </w:pPr>
      <w:r>
        <w:t>Footnote: Abbreviations: OR, odds ratio; CI, confidence interval; AMSS: Aging Males' Symptoms Scale; BODEx: Body mass index, airflow Obstruction, Dyspnoea and Exacerbation; CAT: COPD Assessment Test;  CCI: Charlson comorbidity Index; HADS: Hospital Anxiety and Depression Scale; IPSS: International Prostate Symptom Score; mMRC: Modified Medical Research Council.</w:t>
      </w:r>
    </w:p>
    <w:p w14:paraId="1DD1FBF5" w14:textId="6F333E26" w:rsidR="00EC3280" w:rsidRDefault="00EC3280" w:rsidP="00EC3280">
      <w:pPr>
        <w:pStyle w:val="BodyText"/>
        <w:spacing w:before="177"/>
        <w:ind w:right="4"/>
        <w:jc w:val="both"/>
      </w:pPr>
      <w:r>
        <w:t>Data are shown as estimated ORs (95% CIs) of the explanatory variables in the erectile dysfunction group. The OR represents the odds that the presence of erectile dysfunction will occur given exposure of the explanatory variable, compared to the odds of the outcome occurring in the absence of that exposure. The P-values are based on the null hypothesis that all ORs relating to an explanatory variable equal unity (no effect). Factors showing an association in the univariable analyses (p&lt;0.25) were incorporated into the multivariable regression model. Final variable selection was performed using the backward stepwise selection method (likelihood ratio) (Pin&lt;0.05, Pout&gt;0.10). a Hosmer–Lemeshow goodness-of-fit test, P = 0.563. b Area under the ROC curve, AUC = 0.87 (95% CI 0.77 to 0.97 f +1 indicates increase in 1 unit. g Variable excluded from the multivariable model due to high correlation (Age with Charlson comorbidity index score; mMRC dyspnea scale with CAT score and BODEx sco</w:t>
      </w:r>
      <w:r w:rsidR="00300F16">
        <w:t>re; AMS score with HADS score).</w:t>
      </w:r>
    </w:p>
    <w:p w14:paraId="1BE41937" w14:textId="77777777" w:rsidR="00300F16" w:rsidRDefault="00300F16" w:rsidP="00EC3280">
      <w:pPr>
        <w:pStyle w:val="BodyText"/>
        <w:spacing w:before="177"/>
        <w:ind w:right="4"/>
        <w:jc w:val="both"/>
      </w:pPr>
    </w:p>
    <w:p w14:paraId="1BBBB73B" w14:textId="77777777" w:rsidR="00EC3280" w:rsidRDefault="00EC3280" w:rsidP="00EC3280">
      <w:pPr>
        <w:pStyle w:val="BodyText"/>
        <w:spacing w:before="177"/>
        <w:ind w:right="4"/>
        <w:jc w:val="both"/>
      </w:pPr>
      <w:r>
        <w:t>Probability of severe erectile dysfunction</w:t>
      </w:r>
    </w:p>
    <w:p w14:paraId="3BD72F68" w14:textId="77777777" w:rsidR="00CD67BF" w:rsidRDefault="00CD67BF" w:rsidP="00EC3280">
      <w:pPr>
        <w:pStyle w:val="BodyText"/>
        <w:spacing w:before="177"/>
        <w:ind w:right="4"/>
        <w:jc w:val="both"/>
      </w:pPr>
    </w:p>
    <w:tbl>
      <w:tblPr>
        <w:tblW w:w="0" w:type="auto"/>
        <w:tblCellMar>
          <w:top w:w="15" w:type="dxa"/>
          <w:left w:w="15" w:type="dxa"/>
          <w:bottom w:w="15" w:type="dxa"/>
          <w:right w:w="15" w:type="dxa"/>
        </w:tblCellMar>
        <w:tblLook w:val="04A0" w:firstRow="1" w:lastRow="0" w:firstColumn="1" w:lastColumn="0" w:noHBand="0" w:noVBand="1"/>
      </w:tblPr>
      <w:tblGrid>
        <w:gridCol w:w="6409"/>
        <w:gridCol w:w="1201"/>
      </w:tblGrid>
      <w:tr w:rsidR="00CD67BF" w:rsidRPr="00CD67BF" w14:paraId="50EDC8B5"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A6AB0" w14:textId="77777777" w:rsidR="00CD67BF" w:rsidRPr="00CD67BF" w:rsidRDefault="00CD67BF" w:rsidP="00CD67BF">
            <w:pPr>
              <w:pStyle w:val="BodyText"/>
              <w:spacing w:before="177"/>
              <w:ind w:right="4"/>
              <w:rPr>
                <w:lang w:val="es-ES"/>
              </w:rPr>
            </w:pPr>
            <w:r w:rsidRPr="00CD67BF">
              <w:rPr>
                <w:b/>
                <w:bCs/>
                <w:lang w:val="es-ES"/>
              </w:rPr>
              <w:t>Predictors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B8A19" w14:textId="77777777" w:rsidR="00CD67BF" w:rsidRPr="00CD67BF" w:rsidRDefault="00CD67BF" w:rsidP="00CD67BF">
            <w:pPr>
              <w:pStyle w:val="BodyText"/>
              <w:spacing w:before="177"/>
              <w:ind w:right="4"/>
              <w:jc w:val="both"/>
              <w:rPr>
                <w:lang w:val="es-ES"/>
              </w:rPr>
            </w:pPr>
            <w:r w:rsidRPr="00CD67BF">
              <w:rPr>
                <w:b/>
                <w:bCs/>
                <w:lang w:val="es-ES"/>
              </w:rPr>
              <w:t>Probability</w:t>
            </w:r>
          </w:p>
        </w:tc>
      </w:tr>
      <w:tr w:rsidR="00CD67BF" w:rsidRPr="00CD67BF" w14:paraId="2437E785"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9A99C" w14:textId="77777777" w:rsidR="00CD67BF" w:rsidRPr="00CD67BF" w:rsidRDefault="00CD67BF" w:rsidP="00CD67BF">
            <w:pPr>
              <w:pStyle w:val="BodyText"/>
              <w:spacing w:before="177"/>
              <w:ind w:right="4"/>
              <w:rPr>
                <w:lang w:val="es-ES"/>
              </w:rPr>
            </w:pPr>
            <w:r w:rsidRPr="00CD67BF">
              <w:rPr>
                <w:lang w:val="es-ES"/>
              </w:rPr>
              <w:t>None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CA80E" w14:textId="77777777" w:rsidR="00CD67BF" w:rsidRPr="00CD67BF" w:rsidRDefault="00CD67BF" w:rsidP="00CD67BF">
            <w:pPr>
              <w:pStyle w:val="BodyText"/>
              <w:spacing w:before="177"/>
              <w:ind w:right="4"/>
              <w:jc w:val="both"/>
              <w:rPr>
                <w:lang w:val="es-ES"/>
              </w:rPr>
            </w:pPr>
            <w:r w:rsidRPr="00CD67BF">
              <w:rPr>
                <w:lang w:val="es-ES"/>
              </w:rPr>
              <w:t>4.8%</w:t>
            </w:r>
          </w:p>
        </w:tc>
      </w:tr>
      <w:tr w:rsidR="00CD67BF" w:rsidRPr="00CD67BF" w14:paraId="5E7025B6"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9A945" w14:textId="77777777" w:rsidR="00CD67BF" w:rsidRPr="00CD67BF" w:rsidRDefault="00CD67BF" w:rsidP="00CD67BF">
            <w:pPr>
              <w:pStyle w:val="BodyText"/>
              <w:spacing w:before="177"/>
              <w:ind w:right="4"/>
              <w:rPr>
                <w:lang w:val="es-ES"/>
              </w:rPr>
            </w:pPr>
            <w:r w:rsidRPr="00CD67BF">
              <w:rPr>
                <w:lang w:val="es-ES"/>
              </w:rPr>
              <w:t>HADS Score &gt;15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F6846" w14:textId="77777777" w:rsidR="00CD67BF" w:rsidRPr="00CD67BF" w:rsidRDefault="00CD67BF" w:rsidP="00CD67BF">
            <w:pPr>
              <w:pStyle w:val="BodyText"/>
              <w:spacing w:before="177"/>
              <w:ind w:right="4"/>
              <w:jc w:val="both"/>
              <w:rPr>
                <w:lang w:val="es-ES"/>
              </w:rPr>
            </w:pPr>
            <w:r w:rsidRPr="00CD67BF">
              <w:rPr>
                <w:lang w:val="es-ES"/>
              </w:rPr>
              <w:t>11.5%</w:t>
            </w:r>
          </w:p>
        </w:tc>
      </w:tr>
      <w:tr w:rsidR="00CD67BF" w:rsidRPr="00CD67BF" w14:paraId="644DB162"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3A09F" w14:textId="77777777" w:rsidR="00CD67BF" w:rsidRPr="00CD67BF" w:rsidRDefault="00CD67BF" w:rsidP="00CD67BF">
            <w:pPr>
              <w:pStyle w:val="BodyText"/>
              <w:spacing w:before="177"/>
              <w:ind w:right="4"/>
              <w:rPr>
                <w:lang w:val="es-ES"/>
              </w:rPr>
            </w:pPr>
            <w:r w:rsidRPr="00CD67BF">
              <w:rPr>
                <w:lang w:val="es-ES"/>
              </w:rPr>
              <w:t>Charlson Comorbidity Index Score &gt;3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59DA5" w14:textId="77777777" w:rsidR="00CD67BF" w:rsidRPr="00CD67BF" w:rsidRDefault="00CD67BF" w:rsidP="00CD67BF">
            <w:pPr>
              <w:pStyle w:val="BodyText"/>
              <w:spacing w:before="177"/>
              <w:ind w:right="4"/>
              <w:jc w:val="both"/>
              <w:rPr>
                <w:lang w:val="es-ES"/>
              </w:rPr>
            </w:pPr>
            <w:r w:rsidRPr="00CD67BF">
              <w:rPr>
                <w:lang w:val="es-ES"/>
              </w:rPr>
              <w:t>19.4%</w:t>
            </w:r>
          </w:p>
        </w:tc>
      </w:tr>
      <w:tr w:rsidR="00CD67BF" w:rsidRPr="00CD67BF" w14:paraId="6E8C870C"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AF2EB" w14:textId="77777777" w:rsidR="00CD67BF" w:rsidRPr="00CD67BF" w:rsidRDefault="00CD67BF" w:rsidP="00CD67BF">
            <w:pPr>
              <w:pStyle w:val="BodyText"/>
              <w:spacing w:before="177"/>
              <w:ind w:right="4"/>
              <w:rPr>
                <w:lang w:val="en-GB"/>
              </w:rPr>
            </w:pPr>
            <w:r w:rsidRPr="00CD67BF">
              <w:rPr>
                <w:lang w:val="en-GB"/>
              </w:rPr>
              <w:t>HADS Score &gt;15 + Charlson Comorbidity Index Score &gt;3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5CD94" w14:textId="77777777" w:rsidR="00CD67BF" w:rsidRPr="00CD67BF" w:rsidRDefault="00CD67BF" w:rsidP="00CD67BF">
            <w:pPr>
              <w:pStyle w:val="BodyText"/>
              <w:spacing w:before="177"/>
              <w:ind w:right="4"/>
              <w:jc w:val="both"/>
              <w:rPr>
                <w:lang w:val="es-ES"/>
              </w:rPr>
            </w:pPr>
            <w:r w:rsidRPr="00CD67BF">
              <w:rPr>
                <w:lang w:val="es-ES"/>
              </w:rPr>
              <w:t>38.3%</w:t>
            </w:r>
          </w:p>
        </w:tc>
      </w:tr>
      <w:tr w:rsidR="00CD67BF" w:rsidRPr="00CD67BF" w14:paraId="22C8C811"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5C0DC" w14:textId="77777777" w:rsidR="00CD67BF" w:rsidRPr="00CD67BF" w:rsidRDefault="00CD67BF" w:rsidP="00CD67BF">
            <w:pPr>
              <w:pStyle w:val="BodyText"/>
              <w:spacing w:before="177"/>
              <w:ind w:right="4"/>
              <w:rPr>
                <w:lang w:val="es-ES"/>
              </w:rPr>
            </w:pPr>
            <w:r w:rsidRPr="00CD67BF">
              <w:rPr>
                <w:lang w:val="es-ES"/>
              </w:rPr>
              <w:t>CAT Score &gt;10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4882B" w14:textId="77777777" w:rsidR="00CD67BF" w:rsidRPr="00CD67BF" w:rsidRDefault="00CD67BF" w:rsidP="00CD67BF">
            <w:pPr>
              <w:pStyle w:val="BodyText"/>
              <w:spacing w:before="177"/>
              <w:ind w:right="4"/>
              <w:jc w:val="both"/>
              <w:rPr>
                <w:lang w:val="es-ES"/>
              </w:rPr>
            </w:pPr>
            <w:r w:rsidRPr="00CD67BF">
              <w:rPr>
                <w:lang w:val="es-ES"/>
              </w:rPr>
              <w:t>45.5%</w:t>
            </w:r>
          </w:p>
        </w:tc>
      </w:tr>
      <w:tr w:rsidR="00CD67BF" w:rsidRPr="00CD67BF" w14:paraId="4D8914AA"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003FA" w14:textId="77777777" w:rsidR="00CD67BF" w:rsidRPr="00CD67BF" w:rsidRDefault="00CD67BF" w:rsidP="00CD67BF">
            <w:pPr>
              <w:pStyle w:val="BodyText"/>
              <w:spacing w:before="177"/>
              <w:ind w:right="4"/>
              <w:rPr>
                <w:lang w:val="es-ES"/>
              </w:rPr>
            </w:pPr>
            <w:r w:rsidRPr="00CD67BF">
              <w:rPr>
                <w:lang w:val="es-ES"/>
              </w:rPr>
              <w:t>HADS Score &gt;15 + CAT Score &gt;10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55274" w14:textId="77777777" w:rsidR="00CD67BF" w:rsidRPr="00CD67BF" w:rsidRDefault="00CD67BF" w:rsidP="00CD67BF">
            <w:pPr>
              <w:pStyle w:val="BodyText"/>
              <w:spacing w:before="177"/>
              <w:ind w:right="4"/>
              <w:jc w:val="both"/>
              <w:rPr>
                <w:lang w:val="es-ES"/>
              </w:rPr>
            </w:pPr>
            <w:r w:rsidRPr="00CD67BF">
              <w:rPr>
                <w:lang w:val="es-ES"/>
              </w:rPr>
              <w:t>68.4%</w:t>
            </w:r>
          </w:p>
        </w:tc>
      </w:tr>
      <w:tr w:rsidR="00CD67BF" w:rsidRPr="00CD67BF" w14:paraId="0D1B4324"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AA696" w14:textId="77777777" w:rsidR="00CD67BF" w:rsidRPr="00CD67BF" w:rsidRDefault="00CD67BF" w:rsidP="00CD67BF">
            <w:pPr>
              <w:pStyle w:val="BodyText"/>
              <w:spacing w:before="177"/>
              <w:ind w:right="4"/>
              <w:rPr>
                <w:lang w:val="en-GB"/>
              </w:rPr>
            </w:pPr>
            <w:r w:rsidRPr="00CD67BF">
              <w:rPr>
                <w:lang w:val="en-GB"/>
              </w:rPr>
              <w:t>Charlson Comorbidity Index Score &gt;3 + CAT Score &gt;10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58064" w14:textId="77777777" w:rsidR="00CD67BF" w:rsidRPr="00CD67BF" w:rsidRDefault="00CD67BF" w:rsidP="00CD67BF">
            <w:pPr>
              <w:pStyle w:val="BodyText"/>
              <w:spacing w:before="177"/>
              <w:ind w:right="4"/>
              <w:jc w:val="both"/>
              <w:rPr>
                <w:lang w:val="es-ES"/>
              </w:rPr>
            </w:pPr>
            <w:r w:rsidRPr="00CD67BF">
              <w:rPr>
                <w:lang w:val="es-ES"/>
              </w:rPr>
              <w:t>80.1%</w:t>
            </w:r>
          </w:p>
        </w:tc>
      </w:tr>
      <w:tr w:rsidR="00CD67BF" w:rsidRPr="00CD67BF" w14:paraId="36C0EEF0"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B6224" w14:textId="77777777" w:rsidR="00CD67BF" w:rsidRPr="00CD67BF" w:rsidRDefault="00CD67BF" w:rsidP="00CD67BF">
            <w:pPr>
              <w:pStyle w:val="BodyText"/>
              <w:spacing w:before="177"/>
              <w:ind w:right="4"/>
              <w:rPr>
                <w:lang w:val="en-GB"/>
              </w:rPr>
            </w:pPr>
            <w:r w:rsidRPr="00CD67BF">
              <w:rPr>
                <w:lang w:val="en-GB"/>
              </w:rPr>
              <w:t>Charlson Comorbidity Index Score &gt;3 + CAT Score &gt;10 + HADS Score &gt;15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0E369" w14:textId="77777777" w:rsidR="00CD67BF" w:rsidRPr="00CD67BF" w:rsidRDefault="00CD67BF" w:rsidP="00CD67BF">
            <w:pPr>
              <w:pStyle w:val="BodyText"/>
              <w:spacing w:before="177"/>
              <w:ind w:right="4"/>
              <w:jc w:val="both"/>
              <w:rPr>
                <w:lang w:val="es-ES"/>
              </w:rPr>
            </w:pPr>
            <w:r w:rsidRPr="00CD67BF">
              <w:rPr>
                <w:lang w:val="es-ES"/>
              </w:rPr>
              <w:t>91.2%</w:t>
            </w:r>
          </w:p>
        </w:tc>
      </w:tr>
    </w:tbl>
    <w:p w14:paraId="1CED6AD7" w14:textId="73D5D7D8" w:rsidR="00EC3280" w:rsidRDefault="00EC3280" w:rsidP="00EC3280">
      <w:pPr>
        <w:pStyle w:val="BodyText"/>
        <w:spacing w:before="177"/>
        <w:ind w:right="4"/>
        <w:jc w:val="both"/>
      </w:pPr>
      <w:r>
        <w:lastRenderedPageBreak/>
        <w:t>Footnote: Predictors from the model were used to calculate the probability of severe erectile dysfunction by the following formula. Exp (β) / (1+Exp(β)), where β = -2.997 + 1.569 (if Charlson Comorbidity Index Score &gt;3) + 2.817 (if CAT Score &gt;10) + 0.952 (if HADS Score &gt;15). Using this model, the probability of erectile dysfunction without any of these risk factors was 5%, being 91% for patients showing the three risk factors.</w:t>
      </w:r>
    </w:p>
    <w:p w14:paraId="3973B9A1" w14:textId="77777777" w:rsidR="00EC3280" w:rsidRDefault="00EC3280" w:rsidP="00EC3280">
      <w:pPr>
        <w:pStyle w:val="BodyText"/>
        <w:spacing w:before="177"/>
        <w:ind w:right="4"/>
        <w:jc w:val="both"/>
      </w:pPr>
    </w:p>
    <w:p w14:paraId="27A5237E" w14:textId="77D6A68B" w:rsidR="00EC3280" w:rsidRDefault="00EC3280" w:rsidP="00EC3280">
      <w:pPr>
        <w:pStyle w:val="BodyText"/>
        <w:spacing w:before="177"/>
        <w:ind w:right="4"/>
        <w:jc w:val="both"/>
      </w:pPr>
      <w:r>
        <w:t>b ) Model 2.</w:t>
      </w:r>
    </w:p>
    <w:p w14:paraId="00C016B7" w14:textId="77777777" w:rsidR="00300F16" w:rsidRDefault="00300F16" w:rsidP="00EC3280">
      <w:pPr>
        <w:pStyle w:val="BodyText"/>
        <w:spacing w:before="177"/>
        <w:ind w:right="4"/>
        <w:jc w:val="both"/>
      </w:pPr>
    </w:p>
    <w:tbl>
      <w:tblPr>
        <w:tblW w:w="0" w:type="auto"/>
        <w:tblCellMar>
          <w:top w:w="15" w:type="dxa"/>
          <w:left w:w="15" w:type="dxa"/>
          <w:bottom w:w="15" w:type="dxa"/>
          <w:right w:w="15" w:type="dxa"/>
        </w:tblCellMar>
        <w:tblLook w:val="04A0" w:firstRow="1" w:lastRow="0" w:firstColumn="1" w:lastColumn="0" w:noHBand="0" w:noVBand="1"/>
      </w:tblPr>
      <w:tblGrid>
        <w:gridCol w:w="4695"/>
        <w:gridCol w:w="490"/>
        <w:gridCol w:w="1096"/>
        <w:gridCol w:w="751"/>
        <w:gridCol w:w="490"/>
        <w:gridCol w:w="1096"/>
        <w:gridCol w:w="751"/>
      </w:tblGrid>
      <w:tr w:rsidR="00300F16" w:rsidRPr="00300F16" w14:paraId="425B52E0" w14:textId="77777777" w:rsidTr="00300F16">
        <w:trPr>
          <w:trHeight w:val="20"/>
          <w:tblHeader/>
        </w:trPr>
        <w:tc>
          <w:tcPr>
            <w:tcW w:w="0" w:type="auto"/>
            <w:tcBorders>
              <w:top w:val="single" w:sz="4" w:space="0" w:color="000000"/>
            </w:tcBorders>
            <w:tcMar>
              <w:top w:w="0" w:type="dxa"/>
              <w:left w:w="70" w:type="dxa"/>
              <w:bottom w:w="0" w:type="dxa"/>
              <w:right w:w="70" w:type="dxa"/>
            </w:tcMar>
            <w:vAlign w:val="bottom"/>
            <w:hideMark/>
          </w:tcPr>
          <w:p w14:paraId="478C46C0" w14:textId="77777777" w:rsidR="00300F16" w:rsidRPr="00300F16" w:rsidRDefault="00300F16" w:rsidP="00300F16">
            <w:pPr>
              <w:widowControl/>
              <w:autoSpaceDE/>
              <w:autoSpaceDN/>
              <w:jc w:val="center"/>
              <w:rPr>
                <w:b/>
                <w:bCs/>
                <w:sz w:val="20"/>
                <w:szCs w:val="20"/>
                <w:lang w:val="ca-ES" w:eastAsia="ca-ES"/>
              </w:rPr>
            </w:pPr>
          </w:p>
        </w:tc>
        <w:tc>
          <w:tcPr>
            <w:tcW w:w="0" w:type="auto"/>
            <w:gridSpan w:val="3"/>
            <w:tcBorders>
              <w:top w:val="single" w:sz="4" w:space="0" w:color="000000"/>
            </w:tcBorders>
            <w:tcMar>
              <w:top w:w="0" w:type="dxa"/>
              <w:left w:w="70" w:type="dxa"/>
              <w:bottom w:w="0" w:type="dxa"/>
              <w:right w:w="70" w:type="dxa"/>
            </w:tcMar>
            <w:vAlign w:val="bottom"/>
            <w:hideMark/>
          </w:tcPr>
          <w:p w14:paraId="6B831D19"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Univariable</w:t>
            </w:r>
          </w:p>
        </w:tc>
        <w:tc>
          <w:tcPr>
            <w:tcW w:w="0" w:type="auto"/>
            <w:gridSpan w:val="3"/>
            <w:tcBorders>
              <w:top w:val="single" w:sz="4" w:space="0" w:color="000000"/>
            </w:tcBorders>
            <w:tcMar>
              <w:top w:w="0" w:type="dxa"/>
              <w:left w:w="70" w:type="dxa"/>
              <w:bottom w:w="0" w:type="dxa"/>
              <w:right w:w="70" w:type="dxa"/>
            </w:tcMar>
            <w:vAlign w:val="bottom"/>
            <w:hideMark/>
          </w:tcPr>
          <w:p w14:paraId="200030C2"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Multivariable</w:t>
            </w:r>
            <w:r w:rsidRPr="00300F16">
              <w:rPr>
                <w:color w:val="000000"/>
                <w:sz w:val="20"/>
                <w:szCs w:val="20"/>
                <w:vertAlign w:val="superscript"/>
                <w:lang w:val="ca-ES" w:eastAsia="ca-ES"/>
              </w:rPr>
              <w:t>ab</w:t>
            </w:r>
          </w:p>
        </w:tc>
      </w:tr>
      <w:tr w:rsidR="00300F16" w:rsidRPr="00300F16" w14:paraId="28D410D7" w14:textId="77777777" w:rsidTr="00300F16">
        <w:trPr>
          <w:trHeight w:val="20"/>
          <w:tblHeader/>
        </w:trPr>
        <w:tc>
          <w:tcPr>
            <w:tcW w:w="0" w:type="auto"/>
            <w:tcBorders>
              <w:bottom w:val="single" w:sz="4" w:space="0" w:color="000000"/>
            </w:tcBorders>
            <w:tcMar>
              <w:top w:w="0" w:type="dxa"/>
              <w:left w:w="70" w:type="dxa"/>
              <w:bottom w:w="0" w:type="dxa"/>
              <w:right w:w="70" w:type="dxa"/>
            </w:tcMar>
            <w:vAlign w:val="bottom"/>
            <w:hideMark/>
          </w:tcPr>
          <w:p w14:paraId="44873165" w14:textId="77777777" w:rsidR="00300F16" w:rsidRPr="00300F16" w:rsidRDefault="00300F16" w:rsidP="00300F16">
            <w:pPr>
              <w:widowControl/>
              <w:autoSpaceDE/>
              <w:autoSpaceDN/>
              <w:jc w:val="both"/>
              <w:rPr>
                <w:b/>
                <w:bCs/>
                <w:sz w:val="20"/>
                <w:szCs w:val="20"/>
                <w:lang w:val="ca-ES" w:eastAsia="ca-ES"/>
              </w:rPr>
            </w:pPr>
            <w:r w:rsidRPr="00300F16">
              <w:rPr>
                <w:color w:val="000000"/>
                <w:sz w:val="20"/>
                <w:szCs w:val="20"/>
                <w:lang w:val="ca-ES" w:eastAsia="ca-ES"/>
              </w:rPr>
              <w:t>Variable</w:t>
            </w:r>
            <w:r w:rsidRPr="00300F16">
              <w:rPr>
                <w:color w:val="000000"/>
                <w:sz w:val="20"/>
                <w:szCs w:val="20"/>
                <w:vertAlign w:val="superscript"/>
                <w:lang w:val="ca-ES" w:eastAsia="ca-ES"/>
              </w:rPr>
              <w:t>e</w:t>
            </w:r>
          </w:p>
        </w:tc>
        <w:tc>
          <w:tcPr>
            <w:tcW w:w="0" w:type="auto"/>
            <w:tcBorders>
              <w:bottom w:val="single" w:sz="4" w:space="0" w:color="000000"/>
            </w:tcBorders>
            <w:tcMar>
              <w:top w:w="0" w:type="dxa"/>
              <w:left w:w="70" w:type="dxa"/>
              <w:bottom w:w="0" w:type="dxa"/>
              <w:right w:w="70" w:type="dxa"/>
            </w:tcMar>
            <w:vAlign w:val="bottom"/>
            <w:hideMark/>
          </w:tcPr>
          <w:p w14:paraId="117EB740"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OR</w:t>
            </w:r>
          </w:p>
        </w:tc>
        <w:tc>
          <w:tcPr>
            <w:tcW w:w="0" w:type="auto"/>
            <w:tcBorders>
              <w:bottom w:val="single" w:sz="4" w:space="0" w:color="000000"/>
            </w:tcBorders>
            <w:tcMar>
              <w:top w:w="0" w:type="dxa"/>
              <w:left w:w="70" w:type="dxa"/>
              <w:bottom w:w="0" w:type="dxa"/>
              <w:right w:w="70" w:type="dxa"/>
            </w:tcMar>
            <w:vAlign w:val="bottom"/>
            <w:hideMark/>
          </w:tcPr>
          <w:p w14:paraId="4548D7A2"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95% CI</w:t>
            </w:r>
          </w:p>
        </w:tc>
        <w:tc>
          <w:tcPr>
            <w:tcW w:w="0" w:type="auto"/>
            <w:tcBorders>
              <w:bottom w:val="single" w:sz="4" w:space="0" w:color="000000"/>
            </w:tcBorders>
            <w:tcMar>
              <w:top w:w="0" w:type="dxa"/>
              <w:left w:w="70" w:type="dxa"/>
              <w:bottom w:w="0" w:type="dxa"/>
              <w:right w:w="70" w:type="dxa"/>
            </w:tcMar>
            <w:vAlign w:val="bottom"/>
            <w:hideMark/>
          </w:tcPr>
          <w:p w14:paraId="16854356"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P-value</w:t>
            </w:r>
          </w:p>
        </w:tc>
        <w:tc>
          <w:tcPr>
            <w:tcW w:w="0" w:type="auto"/>
            <w:tcBorders>
              <w:bottom w:val="single" w:sz="4" w:space="0" w:color="000000"/>
            </w:tcBorders>
            <w:tcMar>
              <w:top w:w="0" w:type="dxa"/>
              <w:left w:w="70" w:type="dxa"/>
              <w:bottom w:w="0" w:type="dxa"/>
              <w:right w:w="70" w:type="dxa"/>
            </w:tcMar>
            <w:vAlign w:val="bottom"/>
            <w:hideMark/>
          </w:tcPr>
          <w:p w14:paraId="1174F9C9"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OR</w:t>
            </w:r>
          </w:p>
        </w:tc>
        <w:tc>
          <w:tcPr>
            <w:tcW w:w="0" w:type="auto"/>
            <w:tcBorders>
              <w:bottom w:val="single" w:sz="4" w:space="0" w:color="000000"/>
            </w:tcBorders>
            <w:tcMar>
              <w:top w:w="0" w:type="dxa"/>
              <w:left w:w="70" w:type="dxa"/>
              <w:bottom w:w="0" w:type="dxa"/>
              <w:right w:w="70" w:type="dxa"/>
            </w:tcMar>
            <w:vAlign w:val="bottom"/>
            <w:hideMark/>
          </w:tcPr>
          <w:p w14:paraId="4F9F48B2"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95% CI</w:t>
            </w:r>
          </w:p>
        </w:tc>
        <w:tc>
          <w:tcPr>
            <w:tcW w:w="0" w:type="auto"/>
            <w:tcBorders>
              <w:bottom w:val="single" w:sz="4" w:space="0" w:color="000000"/>
            </w:tcBorders>
            <w:tcMar>
              <w:top w:w="0" w:type="dxa"/>
              <w:left w:w="70" w:type="dxa"/>
              <w:bottom w:w="0" w:type="dxa"/>
              <w:right w:w="70" w:type="dxa"/>
            </w:tcMar>
            <w:vAlign w:val="bottom"/>
            <w:hideMark/>
          </w:tcPr>
          <w:p w14:paraId="2CB4A2BE" w14:textId="77777777" w:rsidR="00300F16" w:rsidRPr="00300F16" w:rsidRDefault="00300F16" w:rsidP="00300F16">
            <w:pPr>
              <w:widowControl/>
              <w:autoSpaceDE/>
              <w:autoSpaceDN/>
              <w:jc w:val="center"/>
              <w:rPr>
                <w:b/>
                <w:bCs/>
                <w:sz w:val="20"/>
                <w:szCs w:val="20"/>
                <w:lang w:val="ca-ES" w:eastAsia="ca-ES"/>
              </w:rPr>
            </w:pPr>
            <w:r w:rsidRPr="00300F16">
              <w:rPr>
                <w:color w:val="000000"/>
                <w:sz w:val="20"/>
                <w:szCs w:val="20"/>
                <w:lang w:val="ca-ES" w:eastAsia="ca-ES"/>
              </w:rPr>
              <w:t>P-value</w:t>
            </w:r>
          </w:p>
        </w:tc>
      </w:tr>
      <w:tr w:rsidR="00300F16" w:rsidRPr="00300F16" w14:paraId="6572BB06" w14:textId="77777777" w:rsidTr="00300F16">
        <w:trPr>
          <w:trHeight w:val="20"/>
        </w:trPr>
        <w:tc>
          <w:tcPr>
            <w:tcW w:w="0" w:type="auto"/>
            <w:tcBorders>
              <w:top w:val="single" w:sz="4" w:space="0" w:color="000000"/>
            </w:tcBorders>
            <w:tcMar>
              <w:top w:w="0" w:type="dxa"/>
              <w:left w:w="70" w:type="dxa"/>
              <w:bottom w:w="0" w:type="dxa"/>
              <w:right w:w="70" w:type="dxa"/>
            </w:tcMar>
            <w:vAlign w:val="bottom"/>
            <w:hideMark/>
          </w:tcPr>
          <w:p w14:paraId="6A96DC53"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Age (+1 year)</w:t>
            </w:r>
            <w:r w:rsidRPr="00300F16">
              <w:rPr>
                <w:color w:val="000000"/>
                <w:sz w:val="20"/>
                <w:szCs w:val="20"/>
                <w:vertAlign w:val="superscript"/>
                <w:lang w:val="ca-ES" w:eastAsia="ca-ES"/>
              </w:rPr>
              <w:t>fg</w:t>
            </w:r>
          </w:p>
        </w:tc>
        <w:tc>
          <w:tcPr>
            <w:tcW w:w="0" w:type="auto"/>
            <w:tcBorders>
              <w:top w:val="single" w:sz="4" w:space="0" w:color="000000"/>
            </w:tcBorders>
            <w:tcMar>
              <w:top w:w="0" w:type="dxa"/>
              <w:left w:w="70" w:type="dxa"/>
              <w:bottom w:w="0" w:type="dxa"/>
              <w:right w:w="70" w:type="dxa"/>
            </w:tcMar>
            <w:vAlign w:val="bottom"/>
            <w:hideMark/>
          </w:tcPr>
          <w:p w14:paraId="388F3C49"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1.08</w:t>
            </w:r>
          </w:p>
        </w:tc>
        <w:tc>
          <w:tcPr>
            <w:tcW w:w="0" w:type="auto"/>
            <w:tcBorders>
              <w:top w:val="single" w:sz="4" w:space="0" w:color="000000"/>
            </w:tcBorders>
            <w:tcMar>
              <w:top w:w="0" w:type="dxa"/>
              <w:left w:w="70" w:type="dxa"/>
              <w:bottom w:w="0" w:type="dxa"/>
              <w:right w:w="70" w:type="dxa"/>
            </w:tcMar>
            <w:vAlign w:val="bottom"/>
            <w:hideMark/>
          </w:tcPr>
          <w:p w14:paraId="6A089814"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0.99 1.18</w:t>
            </w:r>
          </w:p>
        </w:tc>
        <w:tc>
          <w:tcPr>
            <w:tcW w:w="0" w:type="auto"/>
            <w:tcBorders>
              <w:top w:val="single" w:sz="4" w:space="0" w:color="000000"/>
            </w:tcBorders>
            <w:tcMar>
              <w:top w:w="0" w:type="dxa"/>
              <w:left w:w="70" w:type="dxa"/>
              <w:bottom w:w="0" w:type="dxa"/>
              <w:right w:w="70" w:type="dxa"/>
            </w:tcMar>
            <w:vAlign w:val="bottom"/>
            <w:hideMark/>
          </w:tcPr>
          <w:p w14:paraId="66BF361E"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0.092</w:t>
            </w:r>
          </w:p>
        </w:tc>
        <w:tc>
          <w:tcPr>
            <w:tcW w:w="0" w:type="auto"/>
            <w:tcBorders>
              <w:top w:val="single" w:sz="4" w:space="0" w:color="000000"/>
            </w:tcBorders>
            <w:tcMar>
              <w:top w:w="0" w:type="dxa"/>
              <w:left w:w="70" w:type="dxa"/>
              <w:bottom w:w="0" w:type="dxa"/>
              <w:right w:w="70" w:type="dxa"/>
            </w:tcMar>
            <w:vAlign w:val="bottom"/>
            <w:hideMark/>
          </w:tcPr>
          <w:p w14:paraId="508C0A98" w14:textId="77777777" w:rsidR="00300F16" w:rsidRPr="00300F16" w:rsidRDefault="00300F16" w:rsidP="00300F16">
            <w:pPr>
              <w:widowControl/>
              <w:autoSpaceDE/>
              <w:autoSpaceDN/>
              <w:rPr>
                <w:sz w:val="20"/>
                <w:szCs w:val="20"/>
                <w:lang w:val="ca-ES" w:eastAsia="ca-ES"/>
              </w:rPr>
            </w:pPr>
          </w:p>
        </w:tc>
        <w:tc>
          <w:tcPr>
            <w:tcW w:w="0" w:type="auto"/>
            <w:tcBorders>
              <w:top w:val="single" w:sz="4" w:space="0" w:color="000000"/>
            </w:tcBorders>
            <w:tcMar>
              <w:top w:w="0" w:type="dxa"/>
              <w:left w:w="70" w:type="dxa"/>
              <w:bottom w:w="0" w:type="dxa"/>
              <w:right w:w="70" w:type="dxa"/>
            </w:tcMar>
            <w:vAlign w:val="bottom"/>
            <w:hideMark/>
          </w:tcPr>
          <w:p w14:paraId="277F4010" w14:textId="77777777" w:rsidR="00300F16" w:rsidRPr="00300F16" w:rsidRDefault="00300F16" w:rsidP="00300F16">
            <w:pPr>
              <w:widowControl/>
              <w:autoSpaceDE/>
              <w:autoSpaceDN/>
              <w:rPr>
                <w:sz w:val="20"/>
                <w:szCs w:val="20"/>
                <w:lang w:val="ca-ES" w:eastAsia="ca-ES"/>
              </w:rPr>
            </w:pPr>
          </w:p>
        </w:tc>
        <w:tc>
          <w:tcPr>
            <w:tcW w:w="0" w:type="auto"/>
            <w:tcBorders>
              <w:top w:val="single" w:sz="4" w:space="0" w:color="000000"/>
            </w:tcBorders>
            <w:tcMar>
              <w:top w:w="0" w:type="dxa"/>
              <w:left w:w="70" w:type="dxa"/>
              <w:bottom w:w="0" w:type="dxa"/>
              <w:right w:w="70" w:type="dxa"/>
            </w:tcMar>
            <w:vAlign w:val="bottom"/>
            <w:hideMark/>
          </w:tcPr>
          <w:p w14:paraId="57C96D4B" w14:textId="77777777" w:rsidR="00300F16" w:rsidRPr="00300F16" w:rsidRDefault="00300F16" w:rsidP="00300F16">
            <w:pPr>
              <w:widowControl/>
              <w:autoSpaceDE/>
              <w:autoSpaceDN/>
              <w:rPr>
                <w:sz w:val="20"/>
                <w:szCs w:val="20"/>
                <w:lang w:val="ca-ES" w:eastAsia="ca-ES"/>
              </w:rPr>
            </w:pPr>
          </w:p>
        </w:tc>
      </w:tr>
      <w:tr w:rsidR="00300F16" w:rsidRPr="00300F16" w14:paraId="03A74DE5" w14:textId="77777777" w:rsidTr="00300F16">
        <w:trPr>
          <w:trHeight w:val="20"/>
        </w:trPr>
        <w:tc>
          <w:tcPr>
            <w:tcW w:w="0" w:type="auto"/>
            <w:tcMar>
              <w:top w:w="0" w:type="dxa"/>
              <w:left w:w="70" w:type="dxa"/>
              <w:bottom w:w="0" w:type="dxa"/>
              <w:right w:w="70" w:type="dxa"/>
            </w:tcMar>
            <w:vAlign w:val="bottom"/>
            <w:hideMark/>
          </w:tcPr>
          <w:p w14:paraId="7D7DBAC7"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FEV1 (+1 %)</w:t>
            </w:r>
            <w:r w:rsidRPr="00300F16">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5B73702F"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0.99</w:t>
            </w:r>
          </w:p>
        </w:tc>
        <w:tc>
          <w:tcPr>
            <w:tcW w:w="0" w:type="auto"/>
            <w:tcMar>
              <w:top w:w="0" w:type="dxa"/>
              <w:left w:w="70" w:type="dxa"/>
              <w:bottom w:w="0" w:type="dxa"/>
              <w:right w:w="70" w:type="dxa"/>
            </w:tcMar>
            <w:vAlign w:val="bottom"/>
            <w:hideMark/>
          </w:tcPr>
          <w:p w14:paraId="76A399B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0.96 to 1.02</w:t>
            </w:r>
          </w:p>
        </w:tc>
        <w:tc>
          <w:tcPr>
            <w:tcW w:w="0" w:type="auto"/>
            <w:tcMar>
              <w:top w:w="0" w:type="dxa"/>
              <w:left w:w="70" w:type="dxa"/>
              <w:bottom w:w="0" w:type="dxa"/>
              <w:right w:w="70" w:type="dxa"/>
            </w:tcMar>
            <w:vAlign w:val="bottom"/>
            <w:hideMark/>
          </w:tcPr>
          <w:p w14:paraId="7D4C9E66"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0.553</w:t>
            </w:r>
          </w:p>
        </w:tc>
        <w:tc>
          <w:tcPr>
            <w:tcW w:w="0" w:type="auto"/>
            <w:tcMar>
              <w:top w:w="0" w:type="dxa"/>
              <w:left w:w="70" w:type="dxa"/>
              <w:bottom w:w="0" w:type="dxa"/>
              <w:right w:w="70" w:type="dxa"/>
            </w:tcMar>
            <w:vAlign w:val="bottom"/>
            <w:hideMark/>
          </w:tcPr>
          <w:p w14:paraId="7F65B3C0"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7BADC0F6"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53D09314" w14:textId="77777777" w:rsidR="00300F16" w:rsidRPr="00300F16" w:rsidRDefault="00300F16" w:rsidP="00300F16">
            <w:pPr>
              <w:widowControl/>
              <w:autoSpaceDE/>
              <w:autoSpaceDN/>
              <w:rPr>
                <w:sz w:val="20"/>
                <w:szCs w:val="20"/>
                <w:lang w:val="ca-ES" w:eastAsia="ca-ES"/>
              </w:rPr>
            </w:pPr>
          </w:p>
        </w:tc>
      </w:tr>
      <w:tr w:rsidR="00300F16" w:rsidRPr="00300F16" w14:paraId="69790834" w14:textId="77777777" w:rsidTr="00300F16">
        <w:trPr>
          <w:trHeight w:val="20"/>
        </w:trPr>
        <w:tc>
          <w:tcPr>
            <w:tcW w:w="0" w:type="auto"/>
            <w:tcMar>
              <w:top w:w="0" w:type="dxa"/>
              <w:left w:w="70" w:type="dxa"/>
              <w:bottom w:w="0" w:type="dxa"/>
              <w:right w:w="70" w:type="dxa"/>
            </w:tcMar>
            <w:vAlign w:val="bottom"/>
            <w:hideMark/>
          </w:tcPr>
          <w:p w14:paraId="446405AF"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Smoker</w:t>
            </w:r>
          </w:p>
        </w:tc>
        <w:tc>
          <w:tcPr>
            <w:tcW w:w="0" w:type="auto"/>
            <w:tcMar>
              <w:top w:w="0" w:type="dxa"/>
              <w:left w:w="70" w:type="dxa"/>
              <w:bottom w:w="0" w:type="dxa"/>
              <w:right w:w="70" w:type="dxa"/>
            </w:tcMar>
            <w:vAlign w:val="bottom"/>
            <w:hideMark/>
          </w:tcPr>
          <w:p w14:paraId="4C3AECF4"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1.63</w:t>
            </w:r>
          </w:p>
        </w:tc>
        <w:tc>
          <w:tcPr>
            <w:tcW w:w="0" w:type="auto"/>
            <w:tcMar>
              <w:top w:w="0" w:type="dxa"/>
              <w:left w:w="70" w:type="dxa"/>
              <w:bottom w:w="0" w:type="dxa"/>
              <w:right w:w="70" w:type="dxa"/>
            </w:tcMar>
            <w:vAlign w:val="bottom"/>
            <w:hideMark/>
          </w:tcPr>
          <w:p w14:paraId="0BA13971"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0.41 to 6.43</w:t>
            </w:r>
          </w:p>
        </w:tc>
        <w:tc>
          <w:tcPr>
            <w:tcW w:w="0" w:type="auto"/>
            <w:tcMar>
              <w:top w:w="0" w:type="dxa"/>
              <w:left w:w="70" w:type="dxa"/>
              <w:bottom w:w="0" w:type="dxa"/>
              <w:right w:w="70" w:type="dxa"/>
            </w:tcMar>
            <w:vAlign w:val="bottom"/>
            <w:hideMark/>
          </w:tcPr>
          <w:p w14:paraId="43254DA3"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0.486</w:t>
            </w:r>
          </w:p>
        </w:tc>
        <w:tc>
          <w:tcPr>
            <w:tcW w:w="0" w:type="auto"/>
            <w:tcMar>
              <w:top w:w="0" w:type="dxa"/>
              <w:left w:w="70" w:type="dxa"/>
              <w:bottom w:w="0" w:type="dxa"/>
              <w:right w:w="70" w:type="dxa"/>
            </w:tcMar>
            <w:vAlign w:val="bottom"/>
            <w:hideMark/>
          </w:tcPr>
          <w:p w14:paraId="092038CA"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42F574E"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17350E79" w14:textId="77777777" w:rsidR="00300F16" w:rsidRPr="00300F16" w:rsidRDefault="00300F16" w:rsidP="00300F16">
            <w:pPr>
              <w:widowControl/>
              <w:autoSpaceDE/>
              <w:autoSpaceDN/>
              <w:rPr>
                <w:sz w:val="20"/>
                <w:szCs w:val="20"/>
                <w:lang w:val="ca-ES" w:eastAsia="ca-ES"/>
              </w:rPr>
            </w:pPr>
          </w:p>
        </w:tc>
      </w:tr>
      <w:tr w:rsidR="00300F16" w:rsidRPr="00300F16" w14:paraId="1FAC2F9A" w14:textId="77777777" w:rsidTr="00300F16">
        <w:trPr>
          <w:trHeight w:val="20"/>
        </w:trPr>
        <w:tc>
          <w:tcPr>
            <w:tcW w:w="0" w:type="auto"/>
            <w:tcMar>
              <w:top w:w="0" w:type="dxa"/>
              <w:left w:w="70" w:type="dxa"/>
              <w:bottom w:w="0" w:type="dxa"/>
              <w:right w:w="70" w:type="dxa"/>
            </w:tcMar>
            <w:vAlign w:val="bottom"/>
            <w:hideMark/>
          </w:tcPr>
          <w:p w14:paraId="633CA155"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Charlson Comorbidity Index (CCI) Score corrected (+1)</w:t>
            </w:r>
            <w:r w:rsidRPr="00300F16">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2806300B"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1.67</w:t>
            </w:r>
          </w:p>
        </w:tc>
        <w:tc>
          <w:tcPr>
            <w:tcW w:w="0" w:type="auto"/>
            <w:tcMar>
              <w:top w:w="0" w:type="dxa"/>
              <w:left w:w="70" w:type="dxa"/>
              <w:bottom w:w="0" w:type="dxa"/>
              <w:right w:w="70" w:type="dxa"/>
            </w:tcMar>
            <w:vAlign w:val="bottom"/>
            <w:hideMark/>
          </w:tcPr>
          <w:p w14:paraId="106DDAA2"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1.11 to 2.52</w:t>
            </w:r>
          </w:p>
        </w:tc>
        <w:tc>
          <w:tcPr>
            <w:tcW w:w="0" w:type="auto"/>
            <w:tcMar>
              <w:top w:w="0" w:type="dxa"/>
              <w:left w:w="70" w:type="dxa"/>
              <w:bottom w:w="0" w:type="dxa"/>
              <w:right w:w="70" w:type="dxa"/>
            </w:tcMar>
            <w:vAlign w:val="bottom"/>
            <w:hideMark/>
          </w:tcPr>
          <w:p w14:paraId="61693B03"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0.013</w:t>
            </w:r>
          </w:p>
        </w:tc>
        <w:tc>
          <w:tcPr>
            <w:tcW w:w="0" w:type="auto"/>
            <w:tcMar>
              <w:top w:w="0" w:type="dxa"/>
              <w:left w:w="70" w:type="dxa"/>
              <w:bottom w:w="0" w:type="dxa"/>
              <w:right w:w="70" w:type="dxa"/>
            </w:tcMar>
            <w:vAlign w:val="bottom"/>
            <w:hideMark/>
          </w:tcPr>
          <w:p w14:paraId="1D09CAD8"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1.67</w:t>
            </w:r>
          </w:p>
        </w:tc>
        <w:tc>
          <w:tcPr>
            <w:tcW w:w="0" w:type="auto"/>
            <w:tcMar>
              <w:top w:w="0" w:type="dxa"/>
              <w:left w:w="70" w:type="dxa"/>
              <w:bottom w:w="0" w:type="dxa"/>
              <w:right w:w="70" w:type="dxa"/>
            </w:tcMar>
            <w:vAlign w:val="bottom"/>
            <w:hideMark/>
          </w:tcPr>
          <w:p w14:paraId="1BB77166"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1.01 to 2.85</w:t>
            </w:r>
          </w:p>
        </w:tc>
        <w:tc>
          <w:tcPr>
            <w:tcW w:w="0" w:type="auto"/>
            <w:tcMar>
              <w:top w:w="0" w:type="dxa"/>
              <w:left w:w="70" w:type="dxa"/>
              <w:bottom w:w="0" w:type="dxa"/>
              <w:right w:w="70" w:type="dxa"/>
            </w:tcMar>
            <w:vAlign w:val="bottom"/>
            <w:hideMark/>
          </w:tcPr>
          <w:p w14:paraId="678620FB"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0.041</w:t>
            </w:r>
          </w:p>
        </w:tc>
      </w:tr>
      <w:tr w:rsidR="00300F16" w:rsidRPr="00300F16" w14:paraId="7ED19CC1" w14:textId="77777777" w:rsidTr="00300F16">
        <w:trPr>
          <w:trHeight w:val="20"/>
        </w:trPr>
        <w:tc>
          <w:tcPr>
            <w:tcW w:w="0" w:type="auto"/>
            <w:tcMar>
              <w:top w:w="0" w:type="dxa"/>
              <w:left w:w="70" w:type="dxa"/>
              <w:bottom w:w="0" w:type="dxa"/>
              <w:right w:w="70" w:type="dxa"/>
            </w:tcMar>
            <w:vAlign w:val="bottom"/>
            <w:hideMark/>
          </w:tcPr>
          <w:p w14:paraId="2BAAE86F"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Previous exacerbation</w:t>
            </w:r>
          </w:p>
        </w:tc>
        <w:tc>
          <w:tcPr>
            <w:tcW w:w="0" w:type="auto"/>
            <w:tcMar>
              <w:top w:w="0" w:type="dxa"/>
              <w:left w:w="70" w:type="dxa"/>
              <w:bottom w:w="0" w:type="dxa"/>
              <w:right w:w="70" w:type="dxa"/>
            </w:tcMar>
            <w:vAlign w:val="bottom"/>
            <w:hideMark/>
          </w:tcPr>
          <w:p w14:paraId="56A3BAB9"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1.99</w:t>
            </w:r>
          </w:p>
        </w:tc>
        <w:tc>
          <w:tcPr>
            <w:tcW w:w="0" w:type="auto"/>
            <w:tcMar>
              <w:top w:w="0" w:type="dxa"/>
              <w:left w:w="70" w:type="dxa"/>
              <w:bottom w:w="0" w:type="dxa"/>
              <w:right w:w="70" w:type="dxa"/>
            </w:tcMar>
            <w:vAlign w:val="bottom"/>
            <w:hideMark/>
          </w:tcPr>
          <w:p w14:paraId="623F2139"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0.57 to 6.90</w:t>
            </w:r>
          </w:p>
        </w:tc>
        <w:tc>
          <w:tcPr>
            <w:tcW w:w="0" w:type="auto"/>
            <w:tcMar>
              <w:top w:w="0" w:type="dxa"/>
              <w:left w:w="70" w:type="dxa"/>
              <w:bottom w:w="0" w:type="dxa"/>
              <w:right w:w="70" w:type="dxa"/>
            </w:tcMar>
            <w:vAlign w:val="bottom"/>
            <w:hideMark/>
          </w:tcPr>
          <w:p w14:paraId="2AEA75A1"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0.280</w:t>
            </w:r>
          </w:p>
        </w:tc>
        <w:tc>
          <w:tcPr>
            <w:tcW w:w="0" w:type="auto"/>
            <w:tcMar>
              <w:top w:w="0" w:type="dxa"/>
              <w:left w:w="70" w:type="dxa"/>
              <w:bottom w:w="0" w:type="dxa"/>
              <w:right w:w="70" w:type="dxa"/>
            </w:tcMar>
            <w:vAlign w:val="bottom"/>
            <w:hideMark/>
          </w:tcPr>
          <w:p w14:paraId="7FAF66DE"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070A5A7F"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333E79C0" w14:textId="77777777" w:rsidR="00300F16" w:rsidRPr="00300F16" w:rsidRDefault="00300F16" w:rsidP="00300F16">
            <w:pPr>
              <w:widowControl/>
              <w:autoSpaceDE/>
              <w:autoSpaceDN/>
              <w:rPr>
                <w:sz w:val="20"/>
                <w:szCs w:val="20"/>
                <w:lang w:val="ca-ES" w:eastAsia="ca-ES"/>
              </w:rPr>
            </w:pPr>
          </w:p>
        </w:tc>
      </w:tr>
      <w:tr w:rsidR="00300F16" w:rsidRPr="00300F16" w14:paraId="0629A285" w14:textId="77777777" w:rsidTr="00300F16">
        <w:trPr>
          <w:trHeight w:val="20"/>
        </w:trPr>
        <w:tc>
          <w:tcPr>
            <w:tcW w:w="0" w:type="auto"/>
            <w:tcMar>
              <w:top w:w="0" w:type="dxa"/>
              <w:left w:w="70" w:type="dxa"/>
              <w:bottom w:w="0" w:type="dxa"/>
              <w:right w:w="70" w:type="dxa"/>
            </w:tcMar>
            <w:vAlign w:val="bottom"/>
            <w:hideMark/>
          </w:tcPr>
          <w:p w14:paraId="4A77886E"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mMRC (+1)</w:t>
            </w:r>
            <w:r w:rsidRPr="00300F16">
              <w:rPr>
                <w:color w:val="000000"/>
                <w:sz w:val="20"/>
                <w:szCs w:val="20"/>
                <w:vertAlign w:val="superscript"/>
                <w:lang w:val="ca-ES" w:eastAsia="ca-ES"/>
              </w:rPr>
              <w:t>fg</w:t>
            </w:r>
          </w:p>
        </w:tc>
        <w:tc>
          <w:tcPr>
            <w:tcW w:w="0" w:type="auto"/>
            <w:tcMar>
              <w:top w:w="0" w:type="dxa"/>
              <w:left w:w="70" w:type="dxa"/>
              <w:bottom w:w="0" w:type="dxa"/>
              <w:right w:w="70" w:type="dxa"/>
            </w:tcMar>
            <w:vAlign w:val="bottom"/>
            <w:hideMark/>
          </w:tcPr>
          <w:p w14:paraId="66B9C896"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2.35</w:t>
            </w:r>
          </w:p>
        </w:tc>
        <w:tc>
          <w:tcPr>
            <w:tcW w:w="0" w:type="auto"/>
            <w:tcMar>
              <w:top w:w="0" w:type="dxa"/>
              <w:left w:w="70" w:type="dxa"/>
              <w:bottom w:w="0" w:type="dxa"/>
              <w:right w:w="70" w:type="dxa"/>
            </w:tcMar>
            <w:vAlign w:val="bottom"/>
            <w:hideMark/>
          </w:tcPr>
          <w:p w14:paraId="00512087"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1.07 to 5.15</w:t>
            </w:r>
          </w:p>
        </w:tc>
        <w:tc>
          <w:tcPr>
            <w:tcW w:w="0" w:type="auto"/>
            <w:tcMar>
              <w:top w:w="0" w:type="dxa"/>
              <w:left w:w="70" w:type="dxa"/>
              <w:bottom w:w="0" w:type="dxa"/>
              <w:right w:w="70" w:type="dxa"/>
            </w:tcMar>
            <w:vAlign w:val="bottom"/>
            <w:hideMark/>
          </w:tcPr>
          <w:p w14:paraId="43597C16"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0.032</w:t>
            </w:r>
          </w:p>
        </w:tc>
        <w:tc>
          <w:tcPr>
            <w:tcW w:w="0" w:type="auto"/>
            <w:tcMar>
              <w:top w:w="0" w:type="dxa"/>
              <w:left w:w="70" w:type="dxa"/>
              <w:bottom w:w="0" w:type="dxa"/>
              <w:right w:w="70" w:type="dxa"/>
            </w:tcMar>
            <w:vAlign w:val="bottom"/>
            <w:hideMark/>
          </w:tcPr>
          <w:p w14:paraId="5AFA35CD"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4BEEF195"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28B6C17D" w14:textId="77777777" w:rsidR="00300F16" w:rsidRPr="00300F16" w:rsidRDefault="00300F16" w:rsidP="00300F16">
            <w:pPr>
              <w:widowControl/>
              <w:autoSpaceDE/>
              <w:autoSpaceDN/>
              <w:rPr>
                <w:sz w:val="20"/>
                <w:szCs w:val="20"/>
                <w:lang w:val="ca-ES" w:eastAsia="ca-ES"/>
              </w:rPr>
            </w:pPr>
          </w:p>
        </w:tc>
      </w:tr>
      <w:tr w:rsidR="00300F16" w:rsidRPr="00300F16" w14:paraId="38B55D22" w14:textId="77777777" w:rsidTr="00300F16">
        <w:trPr>
          <w:trHeight w:val="20"/>
        </w:trPr>
        <w:tc>
          <w:tcPr>
            <w:tcW w:w="0" w:type="auto"/>
            <w:tcMar>
              <w:top w:w="0" w:type="dxa"/>
              <w:left w:w="70" w:type="dxa"/>
              <w:bottom w:w="0" w:type="dxa"/>
              <w:right w:w="70" w:type="dxa"/>
            </w:tcMar>
            <w:vAlign w:val="bottom"/>
            <w:hideMark/>
          </w:tcPr>
          <w:p w14:paraId="064C6E16"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CAT TOTAL score (+1)</w:t>
            </w:r>
            <w:r w:rsidRPr="00300F16">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3D27E416"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1.16</w:t>
            </w:r>
          </w:p>
        </w:tc>
        <w:tc>
          <w:tcPr>
            <w:tcW w:w="0" w:type="auto"/>
            <w:tcMar>
              <w:top w:w="0" w:type="dxa"/>
              <w:left w:w="70" w:type="dxa"/>
              <w:bottom w:w="0" w:type="dxa"/>
              <w:right w:w="70" w:type="dxa"/>
            </w:tcMar>
            <w:vAlign w:val="bottom"/>
            <w:hideMark/>
          </w:tcPr>
          <w:p w14:paraId="3E65EC4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1.06 to 1.28</w:t>
            </w:r>
          </w:p>
        </w:tc>
        <w:tc>
          <w:tcPr>
            <w:tcW w:w="0" w:type="auto"/>
            <w:tcMar>
              <w:top w:w="0" w:type="dxa"/>
              <w:left w:w="70" w:type="dxa"/>
              <w:bottom w:w="0" w:type="dxa"/>
              <w:right w:w="70" w:type="dxa"/>
            </w:tcMar>
            <w:vAlign w:val="bottom"/>
            <w:hideMark/>
          </w:tcPr>
          <w:p w14:paraId="6725E97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0.002</w:t>
            </w:r>
          </w:p>
        </w:tc>
        <w:tc>
          <w:tcPr>
            <w:tcW w:w="0" w:type="auto"/>
            <w:tcMar>
              <w:top w:w="0" w:type="dxa"/>
              <w:left w:w="70" w:type="dxa"/>
              <w:bottom w:w="0" w:type="dxa"/>
              <w:right w:w="70" w:type="dxa"/>
            </w:tcMar>
            <w:vAlign w:val="bottom"/>
            <w:hideMark/>
          </w:tcPr>
          <w:p w14:paraId="347A17E7"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1.17</w:t>
            </w:r>
          </w:p>
        </w:tc>
        <w:tc>
          <w:tcPr>
            <w:tcW w:w="0" w:type="auto"/>
            <w:tcMar>
              <w:top w:w="0" w:type="dxa"/>
              <w:left w:w="70" w:type="dxa"/>
              <w:bottom w:w="0" w:type="dxa"/>
              <w:right w:w="70" w:type="dxa"/>
            </w:tcMar>
            <w:vAlign w:val="bottom"/>
            <w:hideMark/>
          </w:tcPr>
          <w:p w14:paraId="4AF3D00F"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1.04 to 1.30</w:t>
            </w:r>
          </w:p>
        </w:tc>
        <w:tc>
          <w:tcPr>
            <w:tcW w:w="0" w:type="auto"/>
            <w:tcMar>
              <w:top w:w="0" w:type="dxa"/>
              <w:left w:w="70" w:type="dxa"/>
              <w:bottom w:w="0" w:type="dxa"/>
              <w:right w:w="70" w:type="dxa"/>
            </w:tcMar>
            <w:vAlign w:val="bottom"/>
            <w:hideMark/>
          </w:tcPr>
          <w:p w14:paraId="0681B2CF"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0.006</w:t>
            </w:r>
          </w:p>
        </w:tc>
      </w:tr>
      <w:tr w:rsidR="00300F16" w:rsidRPr="00300F16" w14:paraId="59AA5E2F" w14:textId="77777777" w:rsidTr="00300F16">
        <w:trPr>
          <w:trHeight w:val="20"/>
        </w:trPr>
        <w:tc>
          <w:tcPr>
            <w:tcW w:w="0" w:type="auto"/>
            <w:tcMar>
              <w:top w:w="0" w:type="dxa"/>
              <w:left w:w="70" w:type="dxa"/>
              <w:bottom w:w="0" w:type="dxa"/>
              <w:right w:w="70" w:type="dxa"/>
            </w:tcMar>
            <w:vAlign w:val="bottom"/>
            <w:hideMark/>
          </w:tcPr>
          <w:p w14:paraId="20C2A218"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BODEx score (+1)</w:t>
            </w:r>
            <w:r w:rsidRPr="00300F16">
              <w:rPr>
                <w:color w:val="000000"/>
                <w:sz w:val="20"/>
                <w:szCs w:val="20"/>
                <w:vertAlign w:val="superscript"/>
                <w:lang w:val="ca-ES" w:eastAsia="ca-ES"/>
              </w:rPr>
              <w:t>f</w:t>
            </w:r>
          </w:p>
        </w:tc>
        <w:tc>
          <w:tcPr>
            <w:tcW w:w="0" w:type="auto"/>
            <w:tcMar>
              <w:top w:w="0" w:type="dxa"/>
              <w:left w:w="70" w:type="dxa"/>
              <w:bottom w:w="0" w:type="dxa"/>
              <w:right w:w="70" w:type="dxa"/>
            </w:tcMar>
            <w:vAlign w:val="bottom"/>
            <w:hideMark/>
          </w:tcPr>
          <w:p w14:paraId="65D123CB"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1.39</w:t>
            </w:r>
          </w:p>
        </w:tc>
        <w:tc>
          <w:tcPr>
            <w:tcW w:w="0" w:type="auto"/>
            <w:tcMar>
              <w:top w:w="0" w:type="dxa"/>
              <w:left w:w="70" w:type="dxa"/>
              <w:bottom w:w="0" w:type="dxa"/>
              <w:right w:w="70" w:type="dxa"/>
            </w:tcMar>
            <w:vAlign w:val="bottom"/>
            <w:hideMark/>
          </w:tcPr>
          <w:p w14:paraId="235721FA"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1.01 to 1.93</w:t>
            </w:r>
          </w:p>
        </w:tc>
        <w:tc>
          <w:tcPr>
            <w:tcW w:w="0" w:type="auto"/>
            <w:tcMar>
              <w:top w:w="0" w:type="dxa"/>
              <w:left w:w="70" w:type="dxa"/>
              <w:bottom w:w="0" w:type="dxa"/>
              <w:right w:w="70" w:type="dxa"/>
            </w:tcMar>
            <w:vAlign w:val="bottom"/>
            <w:hideMark/>
          </w:tcPr>
          <w:p w14:paraId="60BF37A1"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0.045</w:t>
            </w:r>
          </w:p>
        </w:tc>
        <w:tc>
          <w:tcPr>
            <w:tcW w:w="0" w:type="auto"/>
            <w:tcMar>
              <w:top w:w="0" w:type="dxa"/>
              <w:left w:w="70" w:type="dxa"/>
              <w:bottom w:w="0" w:type="dxa"/>
              <w:right w:w="70" w:type="dxa"/>
            </w:tcMar>
            <w:vAlign w:val="bottom"/>
            <w:hideMark/>
          </w:tcPr>
          <w:p w14:paraId="22C60417"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2197AFB6"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533CAC49" w14:textId="77777777" w:rsidR="00300F16" w:rsidRPr="00300F16" w:rsidRDefault="00300F16" w:rsidP="00300F16">
            <w:pPr>
              <w:widowControl/>
              <w:autoSpaceDE/>
              <w:autoSpaceDN/>
              <w:rPr>
                <w:sz w:val="20"/>
                <w:szCs w:val="20"/>
                <w:lang w:val="ca-ES" w:eastAsia="ca-ES"/>
              </w:rPr>
            </w:pPr>
          </w:p>
        </w:tc>
      </w:tr>
      <w:tr w:rsidR="00300F16" w:rsidRPr="00300F16" w14:paraId="23465AE7" w14:textId="77777777" w:rsidTr="00300F16">
        <w:trPr>
          <w:trHeight w:val="20"/>
        </w:trPr>
        <w:tc>
          <w:tcPr>
            <w:tcW w:w="0" w:type="auto"/>
            <w:tcMar>
              <w:top w:w="0" w:type="dxa"/>
              <w:left w:w="70" w:type="dxa"/>
              <w:bottom w:w="0" w:type="dxa"/>
              <w:right w:w="70" w:type="dxa"/>
            </w:tcMar>
            <w:vAlign w:val="bottom"/>
            <w:hideMark/>
          </w:tcPr>
          <w:p w14:paraId="77EC1FF7"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Metabolic syndrome metabólico</w:t>
            </w:r>
          </w:p>
        </w:tc>
        <w:tc>
          <w:tcPr>
            <w:tcW w:w="0" w:type="auto"/>
            <w:tcMar>
              <w:top w:w="0" w:type="dxa"/>
              <w:left w:w="70" w:type="dxa"/>
              <w:bottom w:w="0" w:type="dxa"/>
              <w:right w:w="70" w:type="dxa"/>
            </w:tcMar>
            <w:vAlign w:val="bottom"/>
            <w:hideMark/>
          </w:tcPr>
          <w:p w14:paraId="38934057"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1.50</w:t>
            </w:r>
          </w:p>
        </w:tc>
        <w:tc>
          <w:tcPr>
            <w:tcW w:w="0" w:type="auto"/>
            <w:tcMar>
              <w:top w:w="0" w:type="dxa"/>
              <w:left w:w="70" w:type="dxa"/>
              <w:bottom w:w="0" w:type="dxa"/>
              <w:right w:w="70" w:type="dxa"/>
            </w:tcMar>
            <w:vAlign w:val="bottom"/>
            <w:hideMark/>
          </w:tcPr>
          <w:p w14:paraId="04181BF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0.45 to 4.98</w:t>
            </w:r>
          </w:p>
        </w:tc>
        <w:tc>
          <w:tcPr>
            <w:tcW w:w="0" w:type="auto"/>
            <w:tcMar>
              <w:top w:w="0" w:type="dxa"/>
              <w:left w:w="70" w:type="dxa"/>
              <w:bottom w:w="0" w:type="dxa"/>
              <w:right w:w="70" w:type="dxa"/>
            </w:tcMar>
            <w:vAlign w:val="bottom"/>
            <w:hideMark/>
          </w:tcPr>
          <w:p w14:paraId="2BF52B0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0.508</w:t>
            </w:r>
          </w:p>
        </w:tc>
        <w:tc>
          <w:tcPr>
            <w:tcW w:w="0" w:type="auto"/>
            <w:tcMar>
              <w:top w:w="0" w:type="dxa"/>
              <w:left w:w="70" w:type="dxa"/>
              <w:bottom w:w="0" w:type="dxa"/>
              <w:right w:w="70" w:type="dxa"/>
            </w:tcMar>
            <w:vAlign w:val="bottom"/>
            <w:hideMark/>
          </w:tcPr>
          <w:p w14:paraId="77802E50"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0B7DA88E" w14:textId="77777777" w:rsidR="00300F16" w:rsidRPr="00300F16" w:rsidRDefault="00300F16" w:rsidP="00300F16">
            <w:pPr>
              <w:widowControl/>
              <w:autoSpaceDE/>
              <w:autoSpaceDN/>
              <w:rPr>
                <w:sz w:val="20"/>
                <w:szCs w:val="20"/>
                <w:lang w:val="ca-ES" w:eastAsia="ca-ES"/>
              </w:rPr>
            </w:pPr>
          </w:p>
        </w:tc>
        <w:tc>
          <w:tcPr>
            <w:tcW w:w="0" w:type="auto"/>
            <w:tcMar>
              <w:top w:w="0" w:type="dxa"/>
              <w:left w:w="70" w:type="dxa"/>
              <w:bottom w:w="0" w:type="dxa"/>
              <w:right w:w="70" w:type="dxa"/>
            </w:tcMar>
            <w:vAlign w:val="bottom"/>
            <w:hideMark/>
          </w:tcPr>
          <w:p w14:paraId="6EB7FBDE" w14:textId="77777777" w:rsidR="00300F16" w:rsidRPr="00300F16" w:rsidRDefault="00300F16" w:rsidP="00300F16">
            <w:pPr>
              <w:widowControl/>
              <w:autoSpaceDE/>
              <w:autoSpaceDN/>
              <w:rPr>
                <w:sz w:val="20"/>
                <w:szCs w:val="20"/>
                <w:lang w:val="ca-ES" w:eastAsia="ca-ES"/>
              </w:rPr>
            </w:pPr>
          </w:p>
        </w:tc>
      </w:tr>
      <w:tr w:rsidR="00300F16" w:rsidRPr="00300F16" w14:paraId="212BFFB3" w14:textId="77777777" w:rsidTr="00300F16">
        <w:trPr>
          <w:trHeight w:val="20"/>
        </w:trPr>
        <w:tc>
          <w:tcPr>
            <w:tcW w:w="0" w:type="auto"/>
            <w:tcMar>
              <w:top w:w="0" w:type="dxa"/>
              <w:left w:w="70" w:type="dxa"/>
              <w:bottom w:w="0" w:type="dxa"/>
              <w:right w:w="70" w:type="dxa"/>
            </w:tcMar>
            <w:vAlign w:val="bottom"/>
            <w:hideMark/>
          </w:tcPr>
          <w:p w14:paraId="5D1A0F15" w14:textId="77777777" w:rsidR="00300F16" w:rsidRPr="00300F16" w:rsidRDefault="00300F16" w:rsidP="00300F16">
            <w:pPr>
              <w:widowControl/>
              <w:autoSpaceDE/>
              <w:autoSpaceDN/>
              <w:jc w:val="both"/>
              <w:rPr>
                <w:sz w:val="20"/>
                <w:szCs w:val="20"/>
                <w:lang w:val="ca-ES" w:eastAsia="ca-ES"/>
              </w:rPr>
            </w:pPr>
            <w:r w:rsidRPr="00300F16">
              <w:rPr>
                <w:color w:val="000000"/>
                <w:sz w:val="20"/>
                <w:szCs w:val="20"/>
                <w:lang w:val="ca-ES" w:eastAsia="ca-ES"/>
              </w:rPr>
              <w:t>HADS Total score (+1)</w:t>
            </w:r>
            <w:r w:rsidRPr="00300F16">
              <w:rPr>
                <w:color w:val="000000"/>
                <w:sz w:val="20"/>
                <w:szCs w:val="20"/>
                <w:vertAlign w:val="superscript"/>
                <w:lang w:val="ca-ES" w:eastAsia="ca-ES"/>
              </w:rPr>
              <w:t>f</w:t>
            </w:r>
          </w:p>
        </w:tc>
        <w:tc>
          <w:tcPr>
            <w:tcW w:w="0" w:type="auto"/>
            <w:tcMar>
              <w:top w:w="0" w:type="dxa"/>
              <w:left w:w="70" w:type="dxa"/>
              <w:bottom w:w="0" w:type="dxa"/>
              <w:right w:w="70" w:type="dxa"/>
            </w:tcMar>
            <w:hideMark/>
          </w:tcPr>
          <w:p w14:paraId="4BC17730"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1.09</w:t>
            </w:r>
          </w:p>
        </w:tc>
        <w:tc>
          <w:tcPr>
            <w:tcW w:w="0" w:type="auto"/>
            <w:tcMar>
              <w:top w:w="0" w:type="dxa"/>
              <w:left w:w="70" w:type="dxa"/>
              <w:bottom w:w="0" w:type="dxa"/>
              <w:right w:w="70" w:type="dxa"/>
            </w:tcMar>
            <w:hideMark/>
          </w:tcPr>
          <w:p w14:paraId="58064F1E"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1.00 to 1.19</w:t>
            </w:r>
          </w:p>
        </w:tc>
        <w:tc>
          <w:tcPr>
            <w:tcW w:w="0" w:type="auto"/>
            <w:tcMar>
              <w:top w:w="0" w:type="dxa"/>
              <w:left w:w="70" w:type="dxa"/>
              <w:bottom w:w="0" w:type="dxa"/>
              <w:right w:w="70" w:type="dxa"/>
            </w:tcMar>
            <w:hideMark/>
          </w:tcPr>
          <w:p w14:paraId="0516143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0.050</w:t>
            </w:r>
          </w:p>
        </w:tc>
        <w:tc>
          <w:tcPr>
            <w:tcW w:w="0" w:type="auto"/>
            <w:tcMar>
              <w:top w:w="0" w:type="dxa"/>
              <w:left w:w="70" w:type="dxa"/>
              <w:bottom w:w="0" w:type="dxa"/>
              <w:right w:w="70" w:type="dxa"/>
            </w:tcMar>
            <w:hideMark/>
          </w:tcPr>
          <w:p w14:paraId="3B11F4B8"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1.13</w:t>
            </w:r>
          </w:p>
        </w:tc>
        <w:tc>
          <w:tcPr>
            <w:tcW w:w="0" w:type="auto"/>
            <w:tcMar>
              <w:top w:w="0" w:type="dxa"/>
              <w:left w:w="70" w:type="dxa"/>
              <w:bottom w:w="0" w:type="dxa"/>
              <w:right w:w="70" w:type="dxa"/>
            </w:tcMar>
            <w:hideMark/>
          </w:tcPr>
          <w:p w14:paraId="3AE60AEA"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1.00 to 1.27</w:t>
            </w:r>
          </w:p>
        </w:tc>
        <w:tc>
          <w:tcPr>
            <w:tcW w:w="0" w:type="auto"/>
            <w:tcMar>
              <w:top w:w="0" w:type="dxa"/>
              <w:left w:w="70" w:type="dxa"/>
              <w:bottom w:w="0" w:type="dxa"/>
              <w:right w:w="70" w:type="dxa"/>
            </w:tcMar>
            <w:hideMark/>
          </w:tcPr>
          <w:p w14:paraId="263D8535" w14:textId="77777777" w:rsidR="00300F16" w:rsidRPr="00300F16" w:rsidRDefault="00300F16" w:rsidP="00300F16">
            <w:pPr>
              <w:widowControl/>
              <w:autoSpaceDE/>
              <w:autoSpaceDN/>
              <w:jc w:val="center"/>
              <w:rPr>
                <w:sz w:val="20"/>
                <w:szCs w:val="20"/>
                <w:lang w:val="ca-ES" w:eastAsia="ca-ES"/>
              </w:rPr>
            </w:pPr>
            <w:r w:rsidRPr="00300F16">
              <w:rPr>
                <w:color w:val="000000"/>
                <w:sz w:val="20"/>
                <w:szCs w:val="20"/>
                <w:lang w:val="ca-ES" w:eastAsia="ca-ES"/>
              </w:rPr>
              <w:t>0.042</w:t>
            </w:r>
          </w:p>
        </w:tc>
      </w:tr>
      <w:tr w:rsidR="00300F16" w:rsidRPr="00300F16" w14:paraId="0B95C3E8" w14:textId="77777777" w:rsidTr="00300F16">
        <w:trPr>
          <w:trHeight w:val="20"/>
        </w:trPr>
        <w:tc>
          <w:tcPr>
            <w:tcW w:w="0" w:type="auto"/>
            <w:tcBorders>
              <w:bottom w:val="single" w:sz="4" w:space="0" w:color="000000"/>
            </w:tcBorders>
            <w:tcMar>
              <w:top w:w="0" w:type="dxa"/>
              <w:left w:w="70" w:type="dxa"/>
              <w:bottom w:w="0" w:type="dxa"/>
              <w:right w:w="70" w:type="dxa"/>
            </w:tcMar>
            <w:vAlign w:val="bottom"/>
            <w:hideMark/>
          </w:tcPr>
          <w:p w14:paraId="2FFD2768" w14:textId="77777777" w:rsidR="00300F16" w:rsidRPr="00300F16" w:rsidRDefault="00300F16" w:rsidP="00300F16">
            <w:pPr>
              <w:widowControl/>
              <w:autoSpaceDE/>
              <w:autoSpaceDN/>
              <w:rPr>
                <w:sz w:val="24"/>
                <w:szCs w:val="24"/>
                <w:lang w:val="ca-ES" w:eastAsia="ca-ES"/>
              </w:rPr>
            </w:pPr>
          </w:p>
        </w:tc>
        <w:tc>
          <w:tcPr>
            <w:tcW w:w="0" w:type="auto"/>
            <w:tcBorders>
              <w:bottom w:val="single" w:sz="4" w:space="0" w:color="000000"/>
            </w:tcBorders>
            <w:tcMar>
              <w:top w:w="0" w:type="dxa"/>
              <w:left w:w="70" w:type="dxa"/>
              <w:bottom w:w="0" w:type="dxa"/>
              <w:right w:w="70" w:type="dxa"/>
            </w:tcMar>
            <w:hideMark/>
          </w:tcPr>
          <w:p w14:paraId="1DDD8F29" w14:textId="77777777" w:rsidR="00300F16" w:rsidRPr="00300F16" w:rsidRDefault="00300F16" w:rsidP="00300F16">
            <w:pPr>
              <w:widowControl/>
              <w:autoSpaceDE/>
              <w:autoSpaceDN/>
              <w:rPr>
                <w:sz w:val="24"/>
                <w:szCs w:val="24"/>
                <w:lang w:val="ca-ES" w:eastAsia="ca-ES"/>
              </w:rPr>
            </w:pPr>
          </w:p>
        </w:tc>
        <w:tc>
          <w:tcPr>
            <w:tcW w:w="0" w:type="auto"/>
            <w:tcBorders>
              <w:bottom w:val="single" w:sz="4" w:space="0" w:color="000000"/>
            </w:tcBorders>
            <w:tcMar>
              <w:top w:w="0" w:type="dxa"/>
              <w:left w:w="70" w:type="dxa"/>
              <w:bottom w:w="0" w:type="dxa"/>
              <w:right w:w="70" w:type="dxa"/>
            </w:tcMar>
            <w:hideMark/>
          </w:tcPr>
          <w:p w14:paraId="57C9CB38" w14:textId="77777777" w:rsidR="00300F16" w:rsidRPr="00300F16" w:rsidRDefault="00300F16" w:rsidP="00300F16">
            <w:pPr>
              <w:widowControl/>
              <w:autoSpaceDE/>
              <w:autoSpaceDN/>
              <w:rPr>
                <w:sz w:val="24"/>
                <w:szCs w:val="24"/>
                <w:lang w:val="ca-ES" w:eastAsia="ca-ES"/>
              </w:rPr>
            </w:pPr>
          </w:p>
        </w:tc>
        <w:tc>
          <w:tcPr>
            <w:tcW w:w="0" w:type="auto"/>
            <w:tcBorders>
              <w:bottom w:val="single" w:sz="4" w:space="0" w:color="000000"/>
            </w:tcBorders>
            <w:tcMar>
              <w:top w:w="0" w:type="dxa"/>
              <w:left w:w="70" w:type="dxa"/>
              <w:bottom w:w="0" w:type="dxa"/>
              <w:right w:w="70" w:type="dxa"/>
            </w:tcMar>
            <w:hideMark/>
          </w:tcPr>
          <w:p w14:paraId="73860D70" w14:textId="77777777" w:rsidR="00300F16" w:rsidRPr="00300F16" w:rsidRDefault="00300F16" w:rsidP="00300F16">
            <w:pPr>
              <w:widowControl/>
              <w:autoSpaceDE/>
              <w:autoSpaceDN/>
              <w:rPr>
                <w:sz w:val="24"/>
                <w:szCs w:val="24"/>
                <w:lang w:val="ca-ES" w:eastAsia="ca-ES"/>
              </w:rPr>
            </w:pPr>
          </w:p>
        </w:tc>
        <w:tc>
          <w:tcPr>
            <w:tcW w:w="0" w:type="auto"/>
            <w:tcBorders>
              <w:bottom w:val="single" w:sz="4" w:space="0" w:color="000000"/>
            </w:tcBorders>
            <w:tcMar>
              <w:top w:w="0" w:type="dxa"/>
              <w:left w:w="70" w:type="dxa"/>
              <w:bottom w:w="0" w:type="dxa"/>
              <w:right w:w="70" w:type="dxa"/>
            </w:tcMar>
            <w:hideMark/>
          </w:tcPr>
          <w:p w14:paraId="78BE89AE" w14:textId="77777777" w:rsidR="00300F16" w:rsidRPr="00300F16" w:rsidRDefault="00300F16" w:rsidP="00300F16">
            <w:pPr>
              <w:widowControl/>
              <w:autoSpaceDE/>
              <w:autoSpaceDN/>
              <w:rPr>
                <w:sz w:val="24"/>
                <w:szCs w:val="24"/>
                <w:lang w:val="ca-ES" w:eastAsia="ca-ES"/>
              </w:rPr>
            </w:pPr>
          </w:p>
        </w:tc>
        <w:tc>
          <w:tcPr>
            <w:tcW w:w="0" w:type="auto"/>
            <w:tcBorders>
              <w:bottom w:val="single" w:sz="4" w:space="0" w:color="000000"/>
            </w:tcBorders>
            <w:tcMar>
              <w:top w:w="0" w:type="dxa"/>
              <w:left w:w="70" w:type="dxa"/>
              <w:bottom w:w="0" w:type="dxa"/>
              <w:right w:w="70" w:type="dxa"/>
            </w:tcMar>
            <w:hideMark/>
          </w:tcPr>
          <w:p w14:paraId="40B4CC20" w14:textId="77777777" w:rsidR="00300F16" w:rsidRPr="00300F16" w:rsidRDefault="00300F16" w:rsidP="00300F16">
            <w:pPr>
              <w:widowControl/>
              <w:autoSpaceDE/>
              <w:autoSpaceDN/>
              <w:rPr>
                <w:sz w:val="24"/>
                <w:szCs w:val="24"/>
                <w:lang w:val="ca-ES" w:eastAsia="ca-ES"/>
              </w:rPr>
            </w:pPr>
          </w:p>
        </w:tc>
        <w:tc>
          <w:tcPr>
            <w:tcW w:w="0" w:type="auto"/>
            <w:tcBorders>
              <w:bottom w:val="single" w:sz="4" w:space="0" w:color="000000"/>
            </w:tcBorders>
            <w:tcMar>
              <w:top w:w="0" w:type="dxa"/>
              <w:left w:w="70" w:type="dxa"/>
              <w:bottom w:w="0" w:type="dxa"/>
              <w:right w:w="70" w:type="dxa"/>
            </w:tcMar>
            <w:hideMark/>
          </w:tcPr>
          <w:p w14:paraId="7307C176" w14:textId="77777777" w:rsidR="00300F16" w:rsidRPr="00300F16" w:rsidRDefault="00300F16" w:rsidP="00300F16">
            <w:pPr>
              <w:widowControl/>
              <w:autoSpaceDE/>
              <w:autoSpaceDN/>
              <w:rPr>
                <w:sz w:val="24"/>
                <w:szCs w:val="24"/>
                <w:lang w:val="ca-ES" w:eastAsia="ca-ES"/>
              </w:rPr>
            </w:pPr>
          </w:p>
        </w:tc>
      </w:tr>
    </w:tbl>
    <w:p w14:paraId="3257BA73" w14:textId="1BE6F496" w:rsidR="00EC3280" w:rsidRDefault="00EC3280" w:rsidP="00EC3280">
      <w:pPr>
        <w:pStyle w:val="BodyText"/>
        <w:spacing w:before="177"/>
        <w:ind w:right="4"/>
        <w:jc w:val="both"/>
      </w:pPr>
      <w:r>
        <w:t>Footnote: Abbreviations: OR, odds ratio; CI, confidence interval; AMSS: Aging Males' Symptoms Scale; BODEx: Body mass index, airflow Obstruction, Dyspnoea and Exacerbation; CAT: COPD Assessment Test;  CCI: Charlson comorbidity Index; HADS: Hospital Anxiety and Depression Scale; IPSS: International Prostate Symptom Score; mMRC: Modified Medical Research Council.</w:t>
      </w:r>
    </w:p>
    <w:p w14:paraId="6A98994E" w14:textId="77777777" w:rsidR="00EC3280" w:rsidRDefault="00EC3280" w:rsidP="00EC3280">
      <w:pPr>
        <w:pStyle w:val="BodyText"/>
        <w:spacing w:before="177"/>
        <w:ind w:right="4"/>
        <w:jc w:val="both"/>
      </w:pPr>
      <w:r>
        <w:t>Data are shown as estimated ORs (95% CIs) of the explanatory variables in the erectile dysfunction group. The OR represents the odds that the presence of erectile dysfunction will occur given exposure of the explanatory variable, compared to the odds of the outcome occurring in the absence of that exposure. The P-values are based on the null hypothesis that all ORs relating to an explanatory variable equal unity (no effect). Factors showing an association in the univariable analyses (p&lt;0.25) were incorporated into the multivariable regression model. Final variable selection was performed using the backward stepwise selection method (likelihood ratio) (Pin&lt;0.05, Pout&gt;0.10). a Hosmer–Lemeshow goodness-of-fit test, P = 0.563. b Area under the ROC curve, AUC = 0.87 (95% CI 0.77 to 0.97 g Variable excluded from the multivariable model due to high correlation (Age with Charlson comorbidity index score; mMRC dyspnea scale with CAT score and BODEx score).</w:t>
      </w:r>
    </w:p>
    <w:p w14:paraId="7B3E22C5" w14:textId="77777777" w:rsidR="00EC3280" w:rsidRDefault="00EC3280" w:rsidP="00EC3280">
      <w:pPr>
        <w:pStyle w:val="BodyText"/>
        <w:spacing w:before="177"/>
        <w:ind w:right="4"/>
        <w:jc w:val="both"/>
      </w:pPr>
    </w:p>
    <w:p w14:paraId="19C8CCD1" w14:textId="77777777" w:rsidR="00EC3280" w:rsidRDefault="00EC3280" w:rsidP="00EC3280">
      <w:pPr>
        <w:pStyle w:val="BodyText"/>
        <w:spacing w:before="177"/>
        <w:ind w:right="4"/>
        <w:jc w:val="both"/>
      </w:pPr>
      <w:r>
        <w:t>Probability of severe erectile dysfunction</w:t>
      </w:r>
    </w:p>
    <w:p w14:paraId="05366366" w14:textId="77777777" w:rsidR="00CD67BF" w:rsidRDefault="00CD67BF" w:rsidP="00EC3280">
      <w:pPr>
        <w:pStyle w:val="BodyText"/>
        <w:spacing w:before="177"/>
        <w:ind w:right="4"/>
        <w:jc w:val="both"/>
      </w:pPr>
    </w:p>
    <w:tbl>
      <w:tblPr>
        <w:tblW w:w="0" w:type="auto"/>
        <w:tblCellMar>
          <w:top w:w="15" w:type="dxa"/>
          <w:left w:w="15" w:type="dxa"/>
          <w:bottom w:w="15" w:type="dxa"/>
          <w:right w:w="15" w:type="dxa"/>
        </w:tblCellMar>
        <w:tblLook w:val="04A0" w:firstRow="1" w:lastRow="0" w:firstColumn="1" w:lastColumn="0" w:noHBand="0" w:noVBand="1"/>
      </w:tblPr>
      <w:tblGrid>
        <w:gridCol w:w="6409"/>
        <w:gridCol w:w="1201"/>
      </w:tblGrid>
      <w:tr w:rsidR="00CD67BF" w:rsidRPr="00CD67BF" w14:paraId="6E909824"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368FE" w14:textId="77777777" w:rsidR="00CD67BF" w:rsidRPr="00CD67BF" w:rsidRDefault="00CD67BF" w:rsidP="00CD67BF">
            <w:pPr>
              <w:pStyle w:val="BodyText"/>
              <w:spacing w:before="177"/>
              <w:ind w:right="4"/>
              <w:rPr>
                <w:lang w:val="es-ES"/>
              </w:rPr>
            </w:pPr>
            <w:r w:rsidRPr="00CD67BF">
              <w:rPr>
                <w:b/>
                <w:bCs/>
                <w:lang w:val="es-ES"/>
              </w:rPr>
              <w:t>Predictors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FC260" w14:textId="77777777" w:rsidR="00CD67BF" w:rsidRPr="00CD67BF" w:rsidRDefault="00CD67BF" w:rsidP="00CD67BF">
            <w:pPr>
              <w:pStyle w:val="BodyText"/>
              <w:spacing w:before="177"/>
              <w:ind w:right="4"/>
              <w:jc w:val="both"/>
              <w:rPr>
                <w:lang w:val="es-ES"/>
              </w:rPr>
            </w:pPr>
            <w:r w:rsidRPr="00CD67BF">
              <w:rPr>
                <w:b/>
                <w:bCs/>
                <w:lang w:val="es-ES"/>
              </w:rPr>
              <w:t>Probability</w:t>
            </w:r>
          </w:p>
        </w:tc>
      </w:tr>
      <w:tr w:rsidR="00CD67BF" w:rsidRPr="00CD67BF" w14:paraId="78FAB22F"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990EB" w14:textId="77777777" w:rsidR="00CD67BF" w:rsidRPr="00CD67BF" w:rsidRDefault="00CD67BF" w:rsidP="00CD67BF">
            <w:pPr>
              <w:pStyle w:val="BodyText"/>
              <w:spacing w:before="177"/>
              <w:ind w:right="4"/>
              <w:rPr>
                <w:lang w:val="es-ES"/>
              </w:rPr>
            </w:pPr>
            <w:r w:rsidRPr="00CD67BF">
              <w:rPr>
                <w:lang w:val="es-ES"/>
              </w:rPr>
              <w:t>None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95A52" w14:textId="77777777" w:rsidR="00CD67BF" w:rsidRPr="00CD67BF" w:rsidRDefault="00CD67BF" w:rsidP="00CD67BF">
            <w:pPr>
              <w:pStyle w:val="BodyText"/>
              <w:spacing w:before="177"/>
              <w:ind w:right="4"/>
              <w:jc w:val="both"/>
              <w:rPr>
                <w:lang w:val="es-ES"/>
              </w:rPr>
            </w:pPr>
            <w:r w:rsidRPr="00CD67BF">
              <w:rPr>
                <w:lang w:val="es-ES"/>
              </w:rPr>
              <w:t>4.8%</w:t>
            </w:r>
          </w:p>
        </w:tc>
      </w:tr>
      <w:tr w:rsidR="00CD67BF" w:rsidRPr="00CD67BF" w14:paraId="31AEDFB5"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2B055" w14:textId="77777777" w:rsidR="00CD67BF" w:rsidRPr="00CD67BF" w:rsidRDefault="00CD67BF" w:rsidP="00CD67BF">
            <w:pPr>
              <w:pStyle w:val="BodyText"/>
              <w:spacing w:before="177"/>
              <w:ind w:right="4"/>
              <w:rPr>
                <w:lang w:val="es-ES"/>
              </w:rPr>
            </w:pPr>
            <w:r w:rsidRPr="00CD67BF">
              <w:rPr>
                <w:lang w:val="es-ES"/>
              </w:rPr>
              <w:t>HADS Score &gt;15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37F13" w14:textId="77777777" w:rsidR="00CD67BF" w:rsidRPr="00CD67BF" w:rsidRDefault="00CD67BF" w:rsidP="00CD67BF">
            <w:pPr>
              <w:pStyle w:val="BodyText"/>
              <w:spacing w:before="177"/>
              <w:ind w:right="4"/>
              <w:jc w:val="both"/>
              <w:rPr>
                <w:lang w:val="es-ES"/>
              </w:rPr>
            </w:pPr>
            <w:r w:rsidRPr="00CD67BF">
              <w:rPr>
                <w:lang w:val="es-ES"/>
              </w:rPr>
              <w:t>11.5%</w:t>
            </w:r>
          </w:p>
        </w:tc>
      </w:tr>
      <w:tr w:rsidR="00CD67BF" w:rsidRPr="00CD67BF" w14:paraId="2FD38348"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8FA7F" w14:textId="77777777" w:rsidR="00CD67BF" w:rsidRPr="00CD67BF" w:rsidRDefault="00CD67BF" w:rsidP="00CD67BF">
            <w:pPr>
              <w:pStyle w:val="BodyText"/>
              <w:spacing w:before="177"/>
              <w:ind w:right="4"/>
              <w:rPr>
                <w:lang w:val="es-ES"/>
              </w:rPr>
            </w:pPr>
            <w:r w:rsidRPr="00CD67BF">
              <w:rPr>
                <w:lang w:val="es-ES"/>
              </w:rPr>
              <w:t>Charlson Comorbidity Index Score &gt;3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EA883" w14:textId="77777777" w:rsidR="00CD67BF" w:rsidRPr="00CD67BF" w:rsidRDefault="00CD67BF" w:rsidP="00CD67BF">
            <w:pPr>
              <w:pStyle w:val="BodyText"/>
              <w:spacing w:before="177"/>
              <w:ind w:right="4"/>
              <w:jc w:val="both"/>
              <w:rPr>
                <w:lang w:val="es-ES"/>
              </w:rPr>
            </w:pPr>
            <w:r w:rsidRPr="00CD67BF">
              <w:rPr>
                <w:lang w:val="es-ES"/>
              </w:rPr>
              <w:t>19.4%</w:t>
            </w:r>
          </w:p>
        </w:tc>
      </w:tr>
      <w:tr w:rsidR="00CD67BF" w:rsidRPr="00CD67BF" w14:paraId="790E1C57"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024E4" w14:textId="77777777" w:rsidR="00CD67BF" w:rsidRPr="00CD67BF" w:rsidRDefault="00CD67BF" w:rsidP="00CD67BF">
            <w:pPr>
              <w:pStyle w:val="BodyText"/>
              <w:spacing w:before="177"/>
              <w:ind w:right="4"/>
              <w:rPr>
                <w:lang w:val="en-GB"/>
              </w:rPr>
            </w:pPr>
            <w:r w:rsidRPr="00CD67BF">
              <w:rPr>
                <w:lang w:val="en-GB"/>
              </w:rPr>
              <w:t>HADS Score &gt;15 + Charlson Comorbidity Index Score &gt;3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42075" w14:textId="77777777" w:rsidR="00CD67BF" w:rsidRPr="00CD67BF" w:rsidRDefault="00CD67BF" w:rsidP="00CD67BF">
            <w:pPr>
              <w:pStyle w:val="BodyText"/>
              <w:spacing w:before="177"/>
              <w:ind w:right="4"/>
              <w:jc w:val="both"/>
              <w:rPr>
                <w:lang w:val="es-ES"/>
              </w:rPr>
            </w:pPr>
            <w:r w:rsidRPr="00CD67BF">
              <w:rPr>
                <w:lang w:val="es-ES"/>
              </w:rPr>
              <w:t>38.3%</w:t>
            </w:r>
          </w:p>
        </w:tc>
      </w:tr>
      <w:tr w:rsidR="00CD67BF" w:rsidRPr="00CD67BF" w14:paraId="2C439D8D"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22EC4" w14:textId="77777777" w:rsidR="00CD67BF" w:rsidRPr="00CD67BF" w:rsidRDefault="00CD67BF" w:rsidP="00CD67BF">
            <w:pPr>
              <w:pStyle w:val="BodyText"/>
              <w:spacing w:before="177"/>
              <w:ind w:right="4"/>
              <w:rPr>
                <w:lang w:val="es-ES"/>
              </w:rPr>
            </w:pPr>
            <w:r w:rsidRPr="00CD67BF">
              <w:rPr>
                <w:lang w:val="es-ES"/>
              </w:rPr>
              <w:t>CAT Score &gt;10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8E41B" w14:textId="77777777" w:rsidR="00CD67BF" w:rsidRPr="00CD67BF" w:rsidRDefault="00CD67BF" w:rsidP="00CD67BF">
            <w:pPr>
              <w:pStyle w:val="BodyText"/>
              <w:spacing w:before="177"/>
              <w:ind w:right="4"/>
              <w:jc w:val="both"/>
              <w:rPr>
                <w:lang w:val="es-ES"/>
              </w:rPr>
            </w:pPr>
            <w:r w:rsidRPr="00CD67BF">
              <w:rPr>
                <w:lang w:val="es-ES"/>
              </w:rPr>
              <w:t>45.5%</w:t>
            </w:r>
          </w:p>
        </w:tc>
      </w:tr>
      <w:tr w:rsidR="00CD67BF" w:rsidRPr="00CD67BF" w14:paraId="13920FCF"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FF779" w14:textId="77777777" w:rsidR="00CD67BF" w:rsidRPr="00CD67BF" w:rsidRDefault="00CD67BF" w:rsidP="00CD67BF">
            <w:pPr>
              <w:pStyle w:val="BodyText"/>
              <w:spacing w:before="177"/>
              <w:ind w:right="4"/>
              <w:rPr>
                <w:lang w:val="es-ES"/>
              </w:rPr>
            </w:pPr>
            <w:r w:rsidRPr="00CD67BF">
              <w:rPr>
                <w:lang w:val="es-ES"/>
              </w:rPr>
              <w:t>HADS Score &gt;15 + CAT Score &gt;10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5C136" w14:textId="77777777" w:rsidR="00CD67BF" w:rsidRPr="00CD67BF" w:rsidRDefault="00CD67BF" w:rsidP="00CD67BF">
            <w:pPr>
              <w:pStyle w:val="BodyText"/>
              <w:spacing w:before="177"/>
              <w:ind w:right="4"/>
              <w:jc w:val="both"/>
              <w:rPr>
                <w:lang w:val="es-ES"/>
              </w:rPr>
            </w:pPr>
            <w:r w:rsidRPr="00CD67BF">
              <w:rPr>
                <w:lang w:val="es-ES"/>
              </w:rPr>
              <w:t>68.4%</w:t>
            </w:r>
          </w:p>
        </w:tc>
      </w:tr>
      <w:tr w:rsidR="00CD67BF" w:rsidRPr="00CD67BF" w14:paraId="751F8F88"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52DD9" w14:textId="77777777" w:rsidR="00CD67BF" w:rsidRPr="00CD67BF" w:rsidRDefault="00CD67BF" w:rsidP="00CD67BF">
            <w:pPr>
              <w:pStyle w:val="BodyText"/>
              <w:spacing w:before="177"/>
              <w:ind w:right="4"/>
              <w:rPr>
                <w:lang w:val="en-GB"/>
              </w:rPr>
            </w:pPr>
            <w:r w:rsidRPr="00CD67BF">
              <w:rPr>
                <w:lang w:val="en-GB"/>
              </w:rPr>
              <w:t>Charlson Comorbidity Index Score &gt;3 + CAT Score &gt;10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CB9C5" w14:textId="77777777" w:rsidR="00CD67BF" w:rsidRPr="00CD67BF" w:rsidRDefault="00CD67BF" w:rsidP="00CD67BF">
            <w:pPr>
              <w:pStyle w:val="BodyText"/>
              <w:spacing w:before="177"/>
              <w:ind w:right="4"/>
              <w:jc w:val="both"/>
              <w:rPr>
                <w:lang w:val="es-ES"/>
              </w:rPr>
            </w:pPr>
            <w:r w:rsidRPr="00CD67BF">
              <w:rPr>
                <w:lang w:val="es-ES"/>
              </w:rPr>
              <w:t>80.1%</w:t>
            </w:r>
          </w:p>
        </w:tc>
      </w:tr>
      <w:tr w:rsidR="00CD67BF" w:rsidRPr="00CD67BF" w14:paraId="2716E453"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253DC" w14:textId="77777777" w:rsidR="00CD67BF" w:rsidRPr="00CD67BF" w:rsidRDefault="00CD67BF" w:rsidP="00CD67BF">
            <w:pPr>
              <w:pStyle w:val="BodyText"/>
              <w:spacing w:before="177"/>
              <w:ind w:right="4"/>
              <w:rPr>
                <w:lang w:val="en-GB"/>
              </w:rPr>
            </w:pPr>
            <w:r w:rsidRPr="00CD67BF">
              <w:rPr>
                <w:lang w:val="en-GB"/>
              </w:rPr>
              <w:t>Charlson Comorbidity Index Score &gt;3 + CAT Score &gt;10 + HADS Score &gt;15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7F7B6" w14:textId="77777777" w:rsidR="00CD67BF" w:rsidRPr="00CD67BF" w:rsidRDefault="00CD67BF" w:rsidP="00CD67BF">
            <w:pPr>
              <w:pStyle w:val="BodyText"/>
              <w:spacing w:before="177"/>
              <w:ind w:right="4"/>
              <w:jc w:val="both"/>
              <w:rPr>
                <w:lang w:val="es-ES"/>
              </w:rPr>
            </w:pPr>
            <w:r w:rsidRPr="00CD67BF">
              <w:rPr>
                <w:lang w:val="es-ES"/>
              </w:rPr>
              <w:t>91.2%</w:t>
            </w:r>
          </w:p>
        </w:tc>
      </w:tr>
    </w:tbl>
    <w:p w14:paraId="35D143EF" w14:textId="0C98B74C" w:rsidR="00EC3280" w:rsidRPr="00EC3280" w:rsidRDefault="00EC3280" w:rsidP="00EC3280">
      <w:pPr>
        <w:pStyle w:val="BodyText"/>
        <w:spacing w:before="177"/>
        <w:ind w:right="4"/>
        <w:jc w:val="both"/>
      </w:pPr>
      <w:r>
        <w:lastRenderedPageBreak/>
        <w:t>Footnote: Predictors from the model were used to calculate the probability of severe erectile dysfunction by the following formula. Exp (β) / (1+Exp(β)), where β = -2.997 + 1.569 (if Charlson Comorbidity Index Score &gt;3) + 2.817 (if CAT Score &gt;10) + 0.952 (if HADS Score &gt;15). Using this model, the probability of erectile dysfunction without any of these risk factors was 5%, being 91% for patients showing the three risk factors.</w:t>
      </w:r>
    </w:p>
    <w:sectPr w:rsidR="00EC3280" w:rsidRPr="00EC3280">
      <w:pgSz w:w="12240" w:h="15840"/>
      <w:pgMar w:top="1820" w:right="1080" w:bottom="840" w:left="1080" w:header="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24D5" w14:textId="77777777" w:rsidR="00B87FD0" w:rsidRDefault="00B87FD0">
      <w:r>
        <w:separator/>
      </w:r>
    </w:p>
  </w:endnote>
  <w:endnote w:type="continuationSeparator" w:id="0">
    <w:p w14:paraId="529405D7" w14:textId="77777777" w:rsidR="00B87FD0" w:rsidRDefault="00B8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014A" w14:textId="77777777" w:rsidR="001B253C" w:rsidRDefault="001B253C">
    <w:pPr>
      <w:pStyle w:val="BodyText"/>
      <w:spacing w:line="14" w:lineRule="auto"/>
    </w:pPr>
    <w:r>
      <w:rPr>
        <w:noProof/>
        <w:lang w:val="ca-ES" w:eastAsia="ca-ES"/>
      </w:rPr>
      <mc:AlternateContent>
        <mc:Choice Requires="wps">
          <w:drawing>
            <wp:anchor distT="0" distB="0" distL="0" distR="0" simplePos="0" relativeHeight="487501824" behindDoc="1" locked="0" layoutInCell="1" allowOverlap="1" wp14:anchorId="225B81A8" wp14:editId="2B89D2B7">
              <wp:simplePos x="0" y="0"/>
              <wp:positionH relativeFrom="page">
                <wp:posOffset>6856018</wp:posOffset>
              </wp:positionH>
              <wp:positionV relativeFrom="page">
                <wp:posOffset>9507205</wp:posOffset>
              </wp:positionV>
              <wp:extent cx="2095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68910"/>
                      </a:xfrm>
                      <a:prstGeom prst="rect">
                        <a:avLst/>
                      </a:prstGeom>
                    </wps:spPr>
                    <wps:txbx>
                      <w:txbxContent>
                        <w:p w14:paraId="6165714C" w14:textId="21BF1792" w:rsidR="001B253C" w:rsidRDefault="001B253C">
                          <w:pPr>
                            <w:spacing w:before="21"/>
                            <w:ind w:left="60"/>
                            <w:rPr>
                              <w:rFonts w:ascii="Arial"/>
                              <w:b/>
                              <w:sz w:val="18"/>
                            </w:rPr>
                          </w:pPr>
                          <w:r>
                            <w:rPr>
                              <w:rFonts w:ascii="Arial"/>
                              <w:b/>
                              <w:spacing w:val="-5"/>
                              <w:sz w:val="18"/>
                            </w:rPr>
                            <w:fldChar w:fldCharType="begin"/>
                          </w:r>
                          <w:r>
                            <w:rPr>
                              <w:rFonts w:ascii="Arial"/>
                              <w:b/>
                              <w:spacing w:val="-5"/>
                              <w:sz w:val="18"/>
                            </w:rPr>
                            <w:instrText xml:space="preserve"> PAGE </w:instrText>
                          </w:r>
                          <w:r>
                            <w:rPr>
                              <w:rFonts w:ascii="Arial"/>
                              <w:b/>
                              <w:spacing w:val="-5"/>
                              <w:sz w:val="18"/>
                            </w:rPr>
                            <w:fldChar w:fldCharType="separate"/>
                          </w:r>
                          <w:r w:rsidR="001C2027">
                            <w:rPr>
                              <w:rFonts w:ascii="Arial"/>
                              <w:b/>
                              <w:noProof/>
                              <w:spacing w:val="-5"/>
                              <w:sz w:val="18"/>
                            </w:rPr>
                            <w:t>12</w:t>
                          </w:r>
                          <w:r>
                            <w:rPr>
                              <w:rFonts w:ascii="Arial"/>
                              <w:b/>
                              <w:spacing w:val="-5"/>
                              <w:sz w:val="18"/>
                            </w:rPr>
                            <w:fldChar w:fldCharType="end"/>
                          </w:r>
                          <w:r>
                            <w:rPr>
                              <w:rFonts w:ascii="Arial"/>
                              <w:b/>
                              <w:spacing w:val="-5"/>
                              <w:sz w:val="18"/>
                            </w:rPr>
                            <w:t>/</w:t>
                          </w:r>
                          <w:hyperlink w:anchor="_bookmark4" w:history="1">
                            <w:r>
                              <w:rPr>
                                <w:rFonts w:ascii="Arial"/>
                                <w:b/>
                                <w:color w:val="0000FF"/>
                                <w:spacing w:val="-5"/>
                                <w:sz w:val="18"/>
                              </w:rPr>
                              <w:fldChar w:fldCharType="begin"/>
                            </w:r>
                            <w:r>
                              <w:rPr>
                                <w:rFonts w:ascii="Arial"/>
                                <w:b/>
                                <w:color w:val="0000FF"/>
                                <w:spacing w:val="-5"/>
                                <w:sz w:val="18"/>
                              </w:rPr>
                              <w:instrText xml:space="preserve"> NUMPAGES </w:instrText>
                            </w:r>
                            <w:r>
                              <w:rPr>
                                <w:rFonts w:ascii="Arial"/>
                                <w:b/>
                                <w:color w:val="0000FF"/>
                                <w:spacing w:val="-5"/>
                                <w:sz w:val="18"/>
                              </w:rPr>
                              <w:fldChar w:fldCharType="separate"/>
                            </w:r>
                            <w:r w:rsidR="001F1AF0">
                              <w:rPr>
                                <w:rFonts w:ascii="Arial"/>
                                <w:b/>
                                <w:noProof/>
                                <w:color w:val="0000FF"/>
                                <w:spacing w:val="-5"/>
                                <w:sz w:val="18"/>
                              </w:rPr>
                              <w:t>7</w:t>
                            </w:r>
                            <w:r>
                              <w:rPr>
                                <w:rFonts w:ascii="Arial"/>
                                <w:b/>
                                <w:color w:val="0000FF"/>
                                <w:spacing w:val="-5"/>
                                <w:sz w:val="18"/>
                              </w:rPr>
                              <w:fldChar w:fldCharType="end"/>
                            </w:r>
                          </w:hyperlink>
                        </w:p>
                      </w:txbxContent>
                    </wps:txbx>
                    <wps:bodyPr wrap="square" lIns="0" tIns="0" rIns="0" bIns="0" rtlCol="0">
                      <a:noAutofit/>
                    </wps:bodyPr>
                  </wps:wsp>
                </a:graphicData>
              </a:graphic>
            </wp:anchor>
          </w:drawing>
        </mc:Choice>
        <mc:Fallback>
          <w:pict>
            <v:shapetype w14:anchorId="225B81A8" id="_x0000_t202" coordsize="21600,21600" o:spt="202" path="m,l,21600r21600,l21600,xe">
              <v:stroke joinstyle="miter"/>
              <v:path gradientshapeok="t" o:connecttype="rect"/>
            </v:shapetype>
            <v:shape id="Textbox 1" o:spid="_x0000_s1026" type="#_x0000_t202" style="position:absolute;margin-left:539.85pt;margin-top:748.6pt;width:16.5pt;height:13.3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" filled="f" stroked="f">
              <v:textbox inset="0,0,0,0">
                <w:txbxContent>
                  <w:p w14:paraId="6165714C" w14:textId="21BF1792" w:rsidR="001B253C" w:rsidRDefault="001B253C">
                    <w:pPr>
                      <w:spacing w:before="21"/>
                      <w:ind w:left="60"/>
                      <w:rPr>
                        <w:rFonts w:ascii="Arial"/>
                        <w:b/>
                        <w:sz w:val="18"/>
                      </w:rPr>
                    </w:pPr>
                    <w:r>
                      <w:rPr>
                        <w:rFonts w:ascii="Arial"/>
                        <w:b/>
                        <w:spacing w:val="-5"/>
                        <w:sz w:val="18"/>
                      </w:rPr>
                      <w:fldChar w:fldCharType="begin"/>
                    </w:r>
                    <w:r>
                      <w:rPr>
                        <w:rFonts w:ascii="Arial"/>
                        <w:b/>
                        <w:spacing w:val="-5"/>
                        <w:sz w:val="18"/>
                      </w:rPr>
                      <w:instrText xml:space="preserve"> PAGE </w:instrText>
                    </w:r>
                    <w:r>
                      <w:rPr>
                        <w:rFonts w:ascii="Arial"/>
                        <w:b/>
                        <w:spacing w:val="-5"/>
                        <w:sz w:val="18"/>
                      </w:rPr>
                      <w:fldChar w:fldCharType="separate"/>
                    </w:r>
                    <w:r w:rsidR="001C2027">
                      <w:rPr>
                        <w:rFonts w:ascii="Arial"/>
                        <w:b/>
                        <w:noProof/>
                        <w:spacing w:val="-5"/>
                        <w:sz w:val="18"/>
                      </w:rPr>
                      <w:t>12</w:t>
                    </w:r>
                    <w:r>
                      <w:rPr>
                        <w:rFonts w:ascii="Arial"/>
                        <w:b/>
                        <w:spacing w:val="-5"/>
                        <w:sz w:val="18"/>
                      </w:rPr>
                      <w:fldChar w:fldCharType="end"/>
                    </w:r>
                    <w:r>
                      <w:rPr>
                        <w:rFonts w:ascii="Arial"/>
                        <w:b/>
                        <w:spacing w:val="-5"/>
                        <w:sz w:val="18"/>
                      </w:rPr>
                      <w:t>/</w:t>
                    </w:r>
                    <w:hyperlink w:anchor="_bookmark4" w:history="1">
                      <w:r>
                        <w:rPr>
                          <w:rFonts w:ascii="Arial"/>
                          <w:b/>
                          <w:color w:val="0000FF"/>
                          <w:spacing w:val="-5"/>
                          <w:sz w:val="18"/>
                        </w:rPr>
                        <w:fldChar w:fldCharType="begin"/>
                      </w:r>
                      <w:r>
                        <w:rPr>
                          <w:rFonts w:ascii="Arial"/>
                          <w:b/>
                          <w:color w:val="0000FF"/>
                          <w:spacing w:val="-5"/>
                          <w:sz w:val="18"/>
                        </w:rPr>
                        <w:instrText xml:space="preserve"> NUMPAGES </w:instrText>
                      </w:r>
                      <w:r>
                        <w:rPr>
                          <w:rFonts w:ascii="Arial"/>
                          <w:b/>
                          <w:color w:val="0000FF"/>
                          <w:spacing w:val="-5"/>
                          <w:sz w:val="18"/>
                        </w:rPr>
                        <w:fldChar w:fldCharType="separate"/>
                      </w:r>
                      <w:r w:rsidR="001F1AF0">
                        <w:rPr>
                          <w:rFonts w:ascii="Arial"/>
                          <w:b/>
                          <w:noProof/>
                          <w:color w:val="0000FF"/>
                          <w:spacing w:val="-5"/>
                          <w:sz w:val="18"/>
                        </w:rPr>
                        <w:t>7</w:t>
                      </w:r>
                      <w:r>
                        <w:rPr>
                          <w:rFonts w:ascii="Arial"/>
                          <w:b/>
                          <w:color w:val="0000FF"/>
                          <w:spacing w:val="-5"/>
                          <w:sz w:val="18"/>
                        </w:rPr>
                        <w:fldChar w:fldCharType="end"/>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B05F" w14:textId="77777777" w:rsidR="00B87FD0" w:rsidRDefault="00B87FD0">
      <w:r>
        <w:separator/>
      </w:r>
    </w:p>
  </w:footnote>
  <w:footnote w:type="continuationSeparator" w:id="0">
    <w:p w14:paraId="525A54F0" w14:textId="77777777" w:rsidR="00B87FD0" w:rsidRDefault="00B8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1A4"/>
    <w:multiLevelType w:val="hybridMultilevel"/>
    <w:tmpl w:val="71FE7942"/>
    <w:lvl w:ilvl="0" w:tplc="644054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AA0C27"/>
    <w:multiLevelType w:val="multilevel"/>
    <w:tmpl w:val="B5C8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E343F"/>
    <w:multiLevelType w:val="hybridMultilevel"/>
    <w:tmpl w:val="1E727F50"/>
    <w:lvl w:ilvl="0" w:tplc="857099AA">
      <w:numFmt w:val="bullet"/>
      <w:lvlText w:val="•"/>
      <w:lvlJc w:val="left"/>
      <w:pPr>
        <w:ind w:left="552" w:hanging="200"/>
      </w:pPr>
      <w:rPr>
        <w:rFonts w:ascii="Arial" w:eastAsia="Arial" w:hAnsi="Arial" w:cs="Arial" w:hint="default"/>
        <w:b w:val="0"/>
        <w:bCs w:val="0"/>
        <w:i/>
        <w:iCs/>
        <w:spacing w:val="0"/>
        <w:w w:val="142"/>
        <w:sz w:val="20"/>
        <w:szCs w:val="20"/>
        <w:lang w:val="en-US" w:eastAsia="en-US" w:bidi="ar-SA"/>
      </w:rPr>
    </w:lvl>
    <w:lvl w:ilvl="1" w:tplc="8DFEABF0">
      <w:numFmt w:val="bullet"/>
      <w:lvlText w:val="•"/>
      <w:lvlJc w:val="left"/>
      <w:pPr>
        <w:ind w:left="1512" w:hanging="200"/>
      </w:pPr>
      <w:rPr>
        <w:rFonts w:hint="default"/>
        <w:lang w:val="en-US" w:eastAsia="en-US" w:bidi="ar-SA"/>
      </w:rPr>
    </w:lvl>
    <w:lvl w:ilvl="2" w:tplc="B1689660">
      <w:numFmt w:val="bullet"/>
      <w:lvlText w:val="•"/>
      <w:lvlJc w:val="left"/>
      <w:pPr>
        <w:ind w:left="2464" w:hanging="200"/>
      </w:pPr>
      <w:rPr>
        <w:rFonts w:hint="default"/>
        <w:lang w:val="en-US" w:eastAsia="en-US" w:bidi="ar-SA"/>
      </w:rPr>
    </w:lvl>
    <w:lvl w:ilvl="3" w:tplc="4F2A7294">
      <w:numFmt w:val="bullet"/>
      <w:lvlText w:val="•"/>
      <w:lvlJc w:val="left"/>
      <w:pPr>
        <w:ind w:left="3416" w:hanging="200"/>
      </w:pPr>
      <w:rPr>
        <w:rFonts w:hint="default"/>
        <w:lang w:val="en-US" w:eastAsia="en-US" w:bidi="ar-SA"/>
      </w:rPr>
    </w:lvl>
    <w:lvl w:ilvl="4" w:tplc="22A0C41A">
      <w:numFmt w:val="bullet"/>
      <w:lvlText w:val="•"/>
      <w:lvlJc w:val="left"/>
      <w:pPr>
        <w:ind w:left="4368" w:hanging="200"/>
      </w:pPr>
      <w:rPr>
        <w:rFonts w:hint="default"/>
        <w:lang w:val="en-US" w:eastAsia="en-US" w:bidi="ar-SA"/>
      </w:rPr>
    </w:lvl>
    <w:lvl w:ilvl="5" w:tplc="9B50EA80">
      <w:numFmt w:val="bullet"/>
      <w:lvlText w:val="•"/>
      <w:lvlJc w:val="left"/>
      <w:pPr>
        <w:ind w:left="5320" w:hanging="200"/>
      </w:pPr>
      <w:rPr>
        <w:rFonts w:hint="default"/>
        <w:lang w:val="en-US" w:eastAsia="en-US" w:bidi="ar-SA"/>
      </w:rPr>
    </w:lvl>
    <w:lvl w:ilvl="6" w:tplc="CB56293A">
      <w:numFmt w:val="bullet"/>
      <w:lvlText w:val="•"/>
      <w:lvlJc w:val="left"/>
      <w:pPr>
        <w:ind w:left="6272" w:hanging="200"/>
      </w:pPr>
      <w:rPr>
        <w:rFonts w:hint="default"/>
        <w:lang w:val="en-US" w:eastAsia="en-US" w:bidi="ar-SA"/>
      </w:rPr>
    </w:lvl>
    <w:lvl w:ilvl="7" w:tplc="E3F27ED2">
      <w:numFmt w:val="bullet"/>
      <w:lvlText w:val="•"/>
      <w:lvlJc w:val="left"/>
      <w:pPr>
        <w:ind w:left="7224" w:hanging="200"/>
      </w:pPr>
      <w:rPr>
        <w:rFonts w:hint="default"/>
        <w:lang w:val="en-US" w:eastAsia="en-US" w:bidi="ar-SA"/>
      </w:rPr>
    </w:lvl>
    <w:lvl w:ilvl="8" w:tplc="B524C4EE">
      <w:numFmt w:val="bullet"/>
      <w:lvlText w:val="•"/>
      <w:lvlJc w:val="left"/>
      <w:pPr>
        <w:ind w:left="8176" w:hanging="200"/>
      </w:pPr>
      <w:rPr>
        <w:rFonts w:hint="default"/>
        <w:lang w:val="en-US" w:eastAsia="en-US" w:bidi="ar-SA"/>
      </w:rPr>
    </w:lvl>
  </w:abstractNum>
  <w:abstractNum w:abstractNumId="3" w15:restartNumberingAfterBreak="0">
    <w:nsid w:val="3E3D5C9A"/>
    <w:multiLevelType w:val="hybridMultilevel"/>
    <w:tmpl w:val="8C3C72B0"/>
    <w:lvl w:ilvl="0" w:tplc="56964174">
      <w:start w:val="1"/>
      <w:numFmt w:val="decimal"/>
      <w:lvlText w:val="%1."/>
      <w:lvlJc w:val="left"/>
      <w:pPr>
        <w:ind w:left="302" w:hanging="250"/>
      </w:pPr>
      <w:rPr>
        <w:rFonts w:ascii="Times New Roman" w:eastAsia="Times New Roman" w:hAnsi="Times New Roman" w:cs="Times New Roman" w:hint="default"/>
        <w:b/>
        <w:bCs/>
        <w:i w:val="0"/>
        <w:iCs w:val="0"/>
        <w:spacing w:val="0"/>
        <w:w w:val="99"/>
        <w:sz w:val="20"/>
        <w:szCs w:val="20"/>
        <w:lang w:val="en-US" w:eastAsia="en-US" w:bidi="ar-SA"/>
      </w:rPr>
    </w:lvl>
    <w:lvl w:ilvl="1" w:tplc="7C089A86">
      <w:numFmt w:val="bullet"/>
      <w:lvlText w:val="•"/>
      <w:lvlJc w:val="left"/>
      <w:pPr>
        <w:ind w:left="1278" w:hanging="250"/>
      </w:pPr>
      <w:rPr>
        <w:rFonts w:hint="default"/>
        <w:lang w:val="en-US" w:eastAsia="en-US" w:bidi="ar-SA"/>
      </w:rPr>
    </w:lvl>
    <w:lvl w:ilvl="2" w:tplc="8B70B678">
      <w:numFmt w:val="bullet"/>
      <w:lvlText w:val="•"/>
      <w:lvlJc w:val="left"/>
      <w:pPr>
        <w:ind w:left="2256" w:hanging="250"/>
      </w:pPr>
      <w:rPr>
        <w:rFonts w:hint="default"/>
        <w:lang w:val="en-US" w:eastAsia="en-US" w:bidi="ar-SA"/>
      </w:rPr>
    </w:lvl>
    <w:lvl w:ilvl="3" w:tplc="B0E260AE">
      <w:numFmt w:val="bullet"/>
      <w:lvlText w:val="•"/>
      <w:lvlJc w:val="left"/>
      <w:pPr>
        <w:ind w:left="3234" w:hanging="250"/>
      </w:pPr>
      <w:rPr>
        <w:rFonts w:hint="default"/>
        <w:lang w:val="en-US" w:eastAsia="en-US" w:bidi="ar-SA"/>
      </w:rPr>
    </w:lvl>
    <w:lvl w:ilvl="4" w:tplc="81980BD4">
      <w:numFmt w:val="bullet"/>
      <w:lvlText w:val="•"/>
      <w:lvlJc w:val="left"/>
      <w:pPr>
        <w:ind w:left="4212" w:hanging="250"/>
      </w:pPr>
      <w:rPr>
        <w:rFonts w:hint="default"/>
        <w:lang w:val="en-US" w:eastAsia="en-US" w:bidi="ar-SA"/>
      </w:rPr>
    </w:lvl>
    <w:lvl w:ilvl="5" w:tplc="20A24278">
      <w:numFmt w:val="bullet"/>
      <w:lvlText w:val="•"/>
      <w:lvlJc w:val="left"/>
      <w:pPr>
        <w:ind w:left="5190" w:hanging="250"/>
      </w:pPr>
      <w:rPr>
        <w:rFonts w:hint="default"/>
        <w:lang w:val="en-US" w:eastAsia="en-US" w:bidi="ar-SA"/>
      </w:rPr>
    </w:lvl>
    <w:lvl w:ilvl="6" w:tplc="81004050">
      <w:numFmt w:val="bullet"/>
      <w:lvlText w:val="•"/>
      <w:lvlJc w:val="left"/>
      <w:pPr>
        <w:ind w:left="6168" w:hanging="250"/>
      </w:pPr>
      <w:rPr>
        <w:rFonts w:hint="default"/>
        <w:lang w:val="en-US" w:eastAsia="en-US" w:bidi="ar-SA"/>
      </w:rPr>
    </w:lvl>
    <w:lvl w:ilvl="7" w:tplc="A9162F32">
      <w:numFmt w:val="bullet"/>
      <w:lvlText w:val="•"/>
      <w:lvlJc w:val="left"/>
      <w:pPr>
        <w:ind w:left="7146" w:hanging="250"/>
      </w:pPr>
      <w:rPr>
        <w:rFonts w:hint="default"/>
        <w:lang w:val="en-US" w:eastAsia="en-US" w:bidi="ar-SA"/>
      </w:rPr>
    </w:lvl>
    <w:lvl w:ilvl="8" w:tplc="211CB270">
      <w:numFmt w:val="bullet"/>
      <w:lvlText w:val="•"/>
      <w:lvlJc w:val="left"/>
      <w:pPr>
        <w:ind w:left="8124" w:hanging="250"/>
      </w:pPr>
      <w:rPr>
        <w:rFonts w:hint="default"/>
        <w:lang w:val="en-US" w:eastAsia="en-US" w:bidi="ar-SA"/>
      </w:rPr>
    </w:lvl>
  </w:abstractNum>
  <w:num w:numId="1" w16cid:durableId="692418530">
    <w:abstractNumId w:val="3"/>
  </w:num>
  <w:num w:numId="2" w16cid:durableId="1496263472">
    <w:abstractNumId w:val="2"/>
  </w:num>
  <w:num w:numId="3" w16cid:durableId="1034503701">
    <w:abstractNumId w:val="0"/>
  </w:num>
  <w:num w:numId="4" w16cid:durableId="137064084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27"/>
    <w:rsid w:val="00014F3F"/>
    <w:rsid w:val="00083D6A"/>
    <w:rsid w:val="000A7AC4"/>
    <w:rsid w:val="00125FE0"/>
    <w:rsid w:val="00157865"/>
    <w:rsid w:val="00183551"/>
    <w:rsid w:val="00187A64"/>
    <w:rsid w:val="001B253C"/>
    <w:rsid w:val="001C1B46"/>
    <w:rsid w:val="001C2027"/>
    <w:rsid w:val="001F1AF0"/>
    <w:rsid w:val="002669E7"/>
    <w:rsid w:val="00287D81"/>
    <w:rsid w:val="002C31D4"/>
    <w:rsid w:val="002D7327"/>
    <w:rsid w:val="00300F16"/>
    <w:rsid w:val="00327227"/>
    <w:rsid w:val="003B44DF"/>
    <w:rsid w:val="003E42C3"/>
    <w:rsid w:val="0040177E"/>
    <w:rsid w:val="00442576"/>
    <w:rsid w:val="004507FA"/>
    <w:rsid w:val="004B7F69"/>
    <w:rsid w:val="004D0255"/>
    <w:rsid w:val="004F255A"/>
    <w:rsid w:val="00556F43"/>
    <w:rsid w:val="005B2867"/>
    <w:rsid w:val="005F2001"/>
    <w:rsid w:val="006265D7"/>
    <w:rsid w:val="006855A5"/>
    <w:rsid w:val="006A1476"/>
    <w:rsid w:val="006E04A3"/>
    <w:rsid w:val="007870E3"/>
    <w:rsid w:val="007B748F"/>
    <w:rsid w:val="0085768C"/>
    <w:rsid w:val="008835F5"/>
    <w:rsid w:val="008B7D4D"/>
    <w:rsid w:val="008E1773"/>
    <w:rsid w:val="00971C4B"/>
    <w:rsid w:val="009D74B1"/>
    <w:rsid w:val="00A4758F"/>
    <w:rsid w:val="00AF0BE0"/>
    <w:rsid w:val="00B7580F"/>
    <w:rsid w:val="00B75DD2"/>
    <w:rsid w:val="00B87FD0"/>
    <w:rsid w:val="00BA50EF"/>
    <w:rsid w:val="00C0286C"/>
    <w:rsid w:val="00C30162"/>
    <w:rsid w:val="00C85BF5"/>
    <w:rsid w:val="00CC482D"/>
    <w:rsid w:val="00CD67BF"/>
    <w:rsid w:val="00D035D7"/>
    <w:rsid w:val="00D14AA9"/>
    <w:rsid w:val="00D25443"/>
    <w:rsid w:val="00D503CC"/>
    <w:rsid w:val="00DE09B4"/>
    <w:rsid w:val="00DF674A"/>
    <w:rsid w:val="00EC3280"/>
    <w:rsid w:val="00F065B8"/>
    <w:rsid w:val="00F71B98"/>
    <w:rsid w:val="00FB6742"/>
    <w:rsid w:val="00FD2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D4E1"/>
  <w15:docId w15:val="{AAF23A00-C0FA-42CE-9685-24148646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
      <w:outlineLvl w:val="0"/>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FD2A6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
    <w:qFormat/>
    <w:pPr>
      <w:spacing w:before="91"/>
      <w:ind w:left="53"/>
    </w:pPr>
    <w:rPr>
      <w:rFonts w:ascii="Arial" w:eastAsia="Arial" w:hAnsi="Arial" w:cs="Arial"/>
      <w:b/>
      <w:bCs/>
      <w:sz w:val="40"/>
      <w:szCs w:val="40"/>
    </w:rPr>
  </w:style>
  <w:style w:type="paragraph" w:styleId="ListParagraph">
    <w:name w:val="List Paragraph"/>
    <w:basedOn w:val="Normal"/>
    <w:uiPriority w:val="1"/>
    <w:qFormat/>
    <w:pPr>
      <w:spacing w:before="90"/>
      <w:ind w:left="550" w:hanging="198"/>
    </w:pPr>
  </w:style>
  <w:style w:type="paragraph" w:customStyle="1" w:styleId="TableParagraph">
    <w:name w:val="Table Paragraph"/>
    <w:basedOn w:val="Normal"/>
    <w:uiPriority w:val="1"/>
    <w:qFormat/>
    <w:pPr>
      <w:spacing w:line="210" w:lineRule="exact"/>
      <w:ind w:left="118"/>
    </w:pPr>
  </w:style>
  <w:style w:type="character" w:styleId="Hyperlink">
    <w:name w:val="Hyperlink"/>
    <w:uiPriority w:val="99"/>
    <w:unhideWhenUsed/>
    <w:rsid w:val="004B7F69"/>
    <w:rPr>
      <w:color w:val="0000FF"/>
      <w:u w:val="single"/>
    </w:rPr>
  </w:style>
  <w:style w:type="paragraph" w:styleId="Header">
    <w:name w:val="header"/>
    <w:basedOn w:val="Normal"/>
    <w:link w:val="HeaderChar"/>
    <w:uiPriority w:val="99"/>
    <w:unhideWhenUsed/>
    <w:rsid w:val="006A1476"/>
    <w:pPr>
      <w:tabs>
        <w:tab w:val="center" w:pos="4252"/>
        <w:tab w:val="right" w:pos="8504"/>
      </w:tabs>
    </w:pPr>
  </w:style>
  <w:style w:type="character" w:customStyle="1" w:styleId="HeaderChar">
    <w:name w:val="Header Char"/>
    <w:basedOn w:val="DefaultParagraphFont"/>
    <w:link w:val="Header"/>
    <w:uiPriority w:val="99"/>
    <w:rsid w:val="006A1476"/>
    <w:rPr>
      <w:rFonts w:ascii="Times New Roman" w:eastAsia="Times New Roman" w:hAnsi="Times New Roman" w:cs="Times New Roman"/>
    </w:rPr>
  </w:style>
  <w:style w:type="paragraph" w:styleId="Footer">
    <w:name w:val="footer"/>
    <w:basedOn w:val="Normal"/>
    <w:link w:val="FooterChar"/>
    <w:uiPriority w:val="99"/>
    <w:unhideWhenUsed/>
    <w:rsid w:val="006A1476"/>
    <w:pPr>
      <w:tabs>
        <w:tab w:val="center" w:pos="4252"/>
        <w:tab w:val="right" w:pos="8504"/>
      </w:tabs>
    </w:pPr>
  </w:style>
  <w:style w:type="character" w:customStyle="1" w:styleId="FooterChar">
    <w:name w:val="Footer Char"/>
    <w:basedOn w:val="DefaultParagraphFont"/>
    <w:link w:val="Footer"/>
    <w:uiPriority w:val="99"/>
    <w:rsid w:val="006A1476"/>
    <w:rPr>
      <w:rFonts w:ascii="Times New Roman" w:eastAsia="Times New Roman" w:hAnsi="Times New Roman" w:cs="Times New Roman"/>
    </w:rPr>
  </w:style>
  <w:style w:type="character" w:customStyle="1" w:styleId="Mencinsinresolver1">
    <w:name w:val="Mención sin resolver1"/>
    <w:basedOn w:val="DefaultParagraphFont"/>
    <w:uiPriority w:val="99"/>
    <w:semiHidden/>
    <w:unhideWhenUsed/>
    <w:rsid w:val="00CC482D"/>
    <w:rPr>
      <w:color w:val="605E5C"/>
      <w:shd w:val="clear" w:color="auto" w:fill="E1DFDD"/>
    </w:rPr>
  </w:style>
  <w:style w:type="character" w:customStyle="1" w:styleId="Heading6Char">
    <w:name w:val="Heading 6 Char"/>
    <w:basedOn w:val="DefaultParagraphFont"/>
    <w:link w:val="Heading6"/>
    <w:uiPriority w:val="9"/>
    <w:rsid w:val="00FD2A67"/>
    <w:rPr>
      <w:rFonts w:asciiTheme="majorHAnsi" w:eastAsiaTheme="majorEastAsia" w:hAnsiTheme="majorHAnsi" w:cstheme="majorBidi"/>
      <w:color w:val="243F60" w:themeColor="accent1" w:themeShade="7F"/>
    </w:rPr>
  </w:style>
  <w:style w:type="character" w:customStyle="1" w:styleId="cf01">
    <w:name w:val="cf01"/>
    <w:basedOn w:val="DefaultParagraphFont"/>
    <w:rsid w:val="00FD2A67"/>
    <w:rPr>
      <w:rFonts w:ascii="Segoe UI" w:hAnsi="Segoe UI" w:cs="Segoe UI" w:hint="default"/>
      <w:sz w:val="18"/>
      <w:szCs w:val="18"/>
    </w:rPr>
  </w:style>
  <w:style w:type="paragraph" w:styleId="NormalWeb">
    <w:name w:val="Normal (Web)"/>
    <w:basedOn w:val="Normal"/>
    <w:uiPriority w:val="99"/>
    <w:semiHidden/>
    <w:unhideWhenUsed/>
    <w:rsid w:val="001B253C"/>
    <w:pPr>
      <w:widowControl/>
      <w:autoSpaceDE/>
      <w:autoSpaceDN/>
      <w:spacing w:before="100" w:beforeAutospacing="1" w:after="100" w:afterAutospacing="1"/>
    </w:pPr>
    <w:rPr>
      <w:sz w:val="24"/>
      <w:szCs w:val="24"/>
      <w:lang w:val="ca-ES" w:eastAsia="ca-ES"/>
    </w:rPr>
  </w:style>
  <w:style w:type="character" w:styleId="UnresolvedMention">
    <w:name w:val="Unresolved Mention"/>
    <w:basedOn w:val="DefaultParagraphFont"/>
    <w:uiPriority w:val="99"/>
    <w:semiHidden/>
    <w:unhideWhenUsed/>
    <w:rsid w:val="00287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837">
      <w:bodyDiv w:val="1"/>
      <w:marLeft w:val="0"/>
      <w:marRight w:val="0"/>
      <w:marTop w:val="0"/>
      <w:marBottom w:val="0"/>
      <w:divBdr>
        <w:top w:val="none" w:sz="0" w:space="0" w:color="auto"/>
        <w:left w:val="none" w:sz="0" w:space="0" w:color="auto"/>
        <w:bottom w:val="none" w:sz="0" w:space="0" w:color="auto"/>
        <w:right w:val="none" w:sz="0" w:space="0" w:color="auto"/>
      </w:divBdr>
      <w:divsChild>
        <w:div w:id="576136365">
          <w:marLeft w:val="-855"/>
          <w:marRight w:val="0"/>
          <w:marTop w:val="0"/>
          <w:marBottom w:val="0"/>
          <w:divBdr>
            <w:top w:val="none" w:sz="0" w:space="0" w:color="auto"/>
            <w:left w:val="none" w:sz="0" w:space="0" w:color="auto"/>
            <w:bottom w:val="none" w:sz="0" w:space="0" w:color="auto"/>
            <w:right w:val="none" w:sz="0" w:space="0" w:color="auto"/>
          </w:divBdr>
        </w:div>
      </w:divsChild>
    </w:div>
    <w:div w:id="175733712">
      <w:bodyDiv w:val="1"/>
      <w:marLeft w:val="0"/>
      <w:marRight w:val="0"/>
      <w:marTop w:val="0"/>
      <w:marBottom w:val="0"/>
      <w:divBdr>
        <w:top w:val="none" w:sz="0" w:space="0" w:color="auto"/>
        <w:left w:val="none" w:sz="0" w:space="0" w:color="auto"/>
        <w:bottom w:val="none" w:sz="0" w:space="0" w:color="auto"/>
        <w:right w:val="none" w:sz="0" w:space="0" w:color="auto"/>
      </w:divBdr>
    </w:div>
    <w:div w:id="360326106">
      <w:bodyDiv w:val="1"/>
      <w:marLeft w:val="0"/>
      <w:marRight w:val="0"/>
      <w:marTop w:val="0"/>
      <w:marBottom w:val="0"/>
      <w:divBdr>
        <w:top w:val="none" w:sz="0" w:space="0" w:color="auto"/>
        <w:left w:val="none" w:sz="0" w:space="0" w:color="auto"/>
        <w:bottom w:val="none" w:sz="0" w:space="0" w:color="auto"/>
        <w:right w:val="none" w:sz="0" w:space="0" w:color="auto"/>
      </w:divBdr>
    </w:div>
    <w:div w:id="950430804">
      <w:bodyDiv w:val="1"/>
      <w:marLeft w:val="0"/>
      <w:marRight w:val="0"/>
      <w:marTop w:val="0"/>
      <w:marBottom w:val="0"/>
      <w:divBdr>
        <w:top w:val="none" w:sz="0" w:space="0" w:color="auto"/>
        <w:left w:val="none" w:sz="0" w:space="0" w:color="auto"/>
        <w:bottom w:val="none" w:sz="0" w:space="0" w:color="auto"/>
        <w:right w:val="none" w:sz="0" w:space="0" w:color="auto"/>
      </w:divBdr>
    </w:div>
    <w:div w:id="1377698701">
      <w:bodyDiv w:val="1"/>
      <w:marLeft w:val="0"/>
      <w:marRight w:val="0"/>
      <w:marTop w:val="0"/>
      <w:marBottom w:val="0"/>
      <w:divBdr>
        <w:top w:val="none" w:sz="0" w:space="0" w:color="auto"/>
        <w:left w:val="none" w:sz="0" w:space="0" w:color="auto"/>
        <w:bottom w:val="none" w:sz="0" w:space="0" w:color="auto"/>
        <w:right w:val="none" w:sz="0" w:space="0" w:color="auto"/>
      </w:divBdr>
      <w:divsChild>
        <w:div w:id="9838786">
          <w:marLeft w:val="-855"/>
          <w:marRight w:val="0"/>
          <w:marTop w:val="0"/>
          <w:marBottom w:val="0"/>
          <w:divBdr>
            <w:top w:val="none" w:sz="0" w:space="0" w:color="auto"/>
            <w:left w:val="none" w:sz="0" w:space="0" w:color="auto"/>
            <w:bottom w:val="none" w:sz="0" w:space="0" w:color="auto"/>
            <w:right w:val="none" w:sz="0" w:space="0" w:color="auto"/>
          </w:divBdr>
        </w:div>
      </w:divsChild>
    </w:div>
    <w:div w:id="196519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Words>
  <Characters>11106</Characters>
  <Application>Microsoft Office Word</Application>
  <DocSecurity>0</DocSecurity>
  <Lines>92</Lines>
  <Paragraphs>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Nawale</dc:creator>
  <cp:lastModifiedBy>Nilesh Nawale</cp:lastModifiedBy>
  <cp:revision>3</cp:revision>
  <dcterms:created xsi:type="dcterms:W3CDTF">2026-05-26T13:45:00Z</dcterms:created>
  <dcterms:modified xsi:type="dcterms:W3CDTF">2026-05-26T13:45:00Z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2020-08-08T00:00:00Z</vt:filetime>
  </property>
  <property fmtid="{D5CDD505-2E9C-101B-9397-08002B2CF9AE}" pid="3" name="Creator">
    <vt:lpwstr>LaTeX with hyperref</vt:lpwstr>
  </property>
  <property fmtid="{D5CDD505-2E9C-101B-9397-08002B2CF9AE}" pid="4" name="LastSaved">
    <vt:filetime>2026-03-28T00:00:00Z</vt:filetime>
  </property>
  <property fmtid="{D5CDD505-2E9C-101B-9397-08002B2CF9AE}" pid="5" name="PTEX.Fullbanner">
    <vt:lpwstr>This is pdfTeX, Version 3.14159265-2.6-1.40.20 (TeX Live 2019) kpathsea version 6.3.1</vt:lpwstr>
  </property>
  <property fmtid="{D5CDD505-2E9C-101B-9397-08002B2CF9AE}" pid="6" name="Producer">
    <vt:lpwstr>pdfTeX-1.40.20</vt:lpwstr>
  </property>
</Properties>
</file>