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E4D" w:rsidRPr="00BF067B" w:rsidRDefault="00BF067B" w:rsidP="00BF067B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  <w:lang w:val="en-US"/>
        </w:rPr>
      </w:pPr>
      <w:r w:rsidRPr="00BF067B">
        <w:rPr>
          <w:b/>
          <w:bCs/>
          <w:sz w:val="22"/>
          <w:szCs w:val="22"/>
          <w:lang w:val="en-US"/>
        </w:rPr>
        <w:t>Supplementary Material</w:t>
      </w:r>
    </w:p>
    <w:p w:rsidR="00C64691" w:rsidRPr="00BF067B" w:rsidRDefault="00C64691" w:rsidP="00BF067B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  <w:lang w:val="en-US"/>
        </w:rPr>
      </w:pPr>
      <w:r w:rsidRPr="00BF067B">
        <w:rPr>
          <w:b/>
          <w:bCs/>
          <w:sz w:val="22"/>
          <w:szCs w:val="22"/>
          <w:lang w:val="en-US"/>
        </w:rPr>
        <w:t>Statistical Formulas for Occupational Injury Indicators</w:t>
      </w: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C64691" w:rsidRPr="00BF067B" w:rsidRDefault="00C64691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>This document provides the detailed mathematical expressions used to calculate the epidemiological indicators for disabling occupational injuries among female workers in Ecuador.</w:t>
      </w: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B61784" w:rsidRPr="00BF067B" w:rsidRDefault="00C64691" w:rsidP="00BF067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2"/>
          <w:szCs w:val="22"/>
          <w:lang w:val="en-US"/>
        </w:rPr>
      </w:pPr>
      <w:r w:rsidRPr="00BF067B">
        <w:rPr>
          <w:b/>
          <w:bCs/>
          <w:sz w:val="22"/>
          <w:szCs w:val="22"/>
          <w:lang w:val="en-US"/>
        </w:rPr>
        <w:t>(1) Age-Standardized Incidence Rate (</w:t>
      </w:r>
      <w:r w:rsidRPr="00BF067B">
        <w:rPr>
          <w:b/>
          <w:bCs/>
          <w:i/>
          <w:iCs/>
          <w:sz w:val="22"/>
          <w:szCs w:val="22"/>
          <w:lang w:val="en-US"/>
        </w:rPr>
        <w:t>ASIR</w:t>
      </w:r>
      <w:r w:rsidRPr="00BF067B">
        <w:rPr>
          <w:b/>
          <w:bCs/>
          <w:sz w:val="22"/>
          <w:szCs w:val="22"/>
          <w:lang w:val="en-US"/>
        </w:rPr>
        <w:t>)</w:t>
      </w:r>
    </w:p>
    <w:p w:rsidR="00B4733F" w:rsidRPr="00BF067B" w:rsidRDefault="00C64691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>The ASIR was calculated using the direct standardization method to adjust for differences in the age structure of the female workforce across sectors</w:t>
      </w:r>
      <w:r w:rsidR="00BA7E4D" w:rsidRPr="00BF067B">
        <w:rPr>
          <w:sz w:val="22"/>
          <w:szCs w:val="22"/>
          <w:lang w:val="en-US"/>
        </w:rPr>
        <w:t>:</w:t>
      </w:r>
    </w:p>
    <w:p w:rsidR="00C64691" w:rsidRPr="00BF067B" w:rsidRDefault="00C64691" w:rsidP="00BF067B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  <w:lang w:val="en-US"/>
        </w:rPr>
      </w:pPr>
    </w:p>
    <w:p w:rsidR="004B255A" w:rsidRPr="00BF067B" w:rsidRDefault="00C64691" w:rsidP="00BF067B">
      <w:pPr>
        <w:pStyle w:val="Textoindependiente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2"/>
              <w:szCs w:val="22"/>
            </w:rPr>
            <m:t>ASIR</m:t>
          </m:r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×</m:t>
                      </m:r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 xml:space="preserve"> 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std,i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)</m:t>
                  </m:r>
                </m:e>
              </m:nary>
              <m:r>
                <w:rPr>
                  <w:rFonts w:ascii="Cambria Math" w:hAnsi="Cambria Math" w:cs="Times New Roman"/>
                  <w:sz w:val="22"/>
                  <w:szCs w:val="22"/>
                </w:rPr>
                <m:t> </m:t>
              </m:r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std,i</m:t>
                      </m:r>
                    </m:sub>
                  </m:sSub>
                </m:e>
              </m:nary>
            </m:den>
          </m:f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×</m:t>
          </m:r>
          <m:r>
            <w:rPr>
              <w:rFonts w:ascii="Cambria Math" w:hAnsi="Cambria Math" w:cs="Times New Roman"/>
              <w:sz w:val="22"/>
              <w:szCs w:val="22"/>
            </w:rPr>
            <m:t>100</m:t>
          </m:r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,</m:t>
          </m:r>
          <m:r>
            <w:rPr>
              <w:rFonts w:ascii="Cambria Math" w:hAnsi="Cambria Math" w:cs="Times New Roman"/>
              <w:sz w:val="22"/>
              <w:szCs w:val="22"/>
            </w:rPr>
            <m:t>000</m:t>
          </m:r>
        </m:oMath>
      </m:oMathPara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BA7E4D" w:rsidRPr="00BF067B" w:rsidRDefault="00133857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 xml:space="preserve">Where </w:t>
      </w:r>
      <w:r w:rsidRPr="00BF067B">
        <w:rPr>
          <w:i/>
          <w:iCs/>
          <w:sz w:val="22"/>
          <w:szCs w:val="22"/>
          <w:lang w:val="en-US"/>
        </w:rPr>
        <w:t>r</w:t>
      </w:r>
      <w:r w:rsidRPr="00BF067B">
        <w:rPr>
          <w:i/>
          <w:iCs/>
          <w:sz w:val="22"/>
          <w:szCs w:val="22"/>
          <w:vertAlign w:val="subscript"/>
          <w:lang w:val="en-US"/>
        </w:rPr>
        <w:t>i</w:t>
      </w:r>
      <w:r w:rsidRPr="00BF067B">
        <w:rPr>
          <w:sz w:val="22"/>
          <w:szCs w:val="22"/>
          <w:lang w:val="en-US"/>
        </w:rPr>
        <w:t xml:space="preserve"> represents the age-specific incidence rate for each age group </w:t>
      </w:r>
      <w:r w:rsidRPr="00BF067B">
        <w:rPr>
          <w:i/>
          <w:iCs/>
          <w:sz w:val="22"/>
          <w:szCs w:val="22"/>
          <w:lang w:val="en-US"/>
        </w:rPr>
        <w:t>i</w:t>
      </w:r>
      <w:r w:rsidRPr="00BF067B">
        <w:rPr>
          <w:sz w:val="22"/>
          <w:szCs w:val="22"/>
          <w:lang w:val="en-US"/>
        </w:rPr>
        <w:t xml:space="preserve"> (15-24, 25-34, 35-44, 45-64, and 65+ years), and </w:t>
      </w:r>
      <w:r w:rsidRPr="00BF067B">
        <w:rPr>
          <w:i/>
          <w:iCs/>
          <w:sz w:val="22"/>
          <w:szCs w:val="22"/>
          <w:lang w:val="en-US"/>
        </w:rPr>
        <w:t>P</w:t>
      </w:r>
      <w:r w:rsidRPr="00BF067B">
        <w:rPr>
          <w:i/>
          <w:iCs/>
          <w:sz w:val="22"/>
          <w:szCs w:val="22"/>
          <w:vertAlign w:val="subscript"/>
          <w:lang w:val="en-US"/>
        </w:rPr>
        <w:t>std,i</w:t>
      </w:r>
      <w:r w:rsidRPr="00BF067B">
        <w:rPr>
          <w:sz w:val="22"/>
          <w:szCs w:val="22"/>
          <w:lang w:val="en-US"/>
        </w:rPr>
        <w:t xml:space="preserve"> </w:t>
      </w:r>
      <w:r w:rsidR="00D22F82" w:rsidRPr="00BF067B">
        <w:rPr>
          <w:sz w:val="22"/>
          <w:szCs w:val="22"/>
          <w:lang w:val="en-US"/>
        </w:rPr>
        <w:t>is the number of individuals in the corresponding age group of the standard population used as the reference for that specific year.</w:t>
      </w: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54FC8" w:rsidRPr="00BF067B" w:rsidRDefault="00554FC8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2"/>
          <w:szCs w:val="22"/>
          <w:lang w:val="en-US"/>
        </w:rPr>
      </w:pPr>
      <w:r w:rsidRPr="00BF067B">
        <w:rPr>
          <w:b/>
          <w:bCs/>
          <w:sz w:val="22"/>
          <w:szCs w:val="22"/>
          <w:lang w:val="en-US"/>
        </w:rPr>
        <w:t>(2) Relative Percentage Change (</w:t>
      </w:r>
      <w:r w:rsidRPr="00BF067B">
        <w:rPr>
          <w:b/>
          <w:bCs/>
          <w:i/>
          <w:iCs/>
          <w:sz w:val="22"/>
          <w:szCs w:val="22"/>
          <w:lang w:val="en-US"/>
        </w:rPr>
        <w:t>PC</w:t>
      </w:r>
      <w:r w:rsidRPr="00BF067B">
        <w:rPr>
          <w:b/>
          <w:bCs/>
          <w:sz w:val="22"/>
          <w:szCs w:val="22"/>
          <w:lang w:val="en-US"/>
        </w:rPr>
        <w:t>)</w:t>
      </w: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>To quantify the variation in injury rates between the initial (</w:t>
      </w:r>
      <w:r w:rsidRPr="00BF067B">
        <w:rPr>
          <w:i/>
          <w:iCs/>
          <w:sz w:val="22"/>
          <w:szCs w:val="22"/>
          <w:lang w:val="en-US"/>
        </w:rPr>
        <w:t>t</w:t>
      </w:r>
      <w:r w:rsidRPr="00BF067B">
        <w:rPr>
          <w:i/>
          <w:iCs/>
          <w:sz w:val="22"/>
          <w:szCs w:val="22"/>
          <w:vertAlign w:val="subscript"/>
          <w:lang w:val="en-US"/>
        </w:rPr>
        <w:t>0</w:t>
      </w:r>
      <w:r w:rsidRPr="00BF067B">
        <w:rPr>
          <w:sz w:val="22"/>
          <w:szCs w:val="22"/>
          <w:lang w:val="en-US"/>
        </w:rPr>
        <w:t xml:space="preserve"> and </w:t>
      </w:r>
      <w:r w:rsidRPr="00BF067B">
        <w:rPr>
          <w:i/>
          <w:iCs/>
          <w:sz w:val="22"/>
          <w:szCs w:val="22"/>
          <w:lang w:val="en-US"/>
        </w:rPr>
        <w:t>t</w:t>
      </w:r>
      <w:r w:rsidRPr="00BF067B">
        <w:rPr>
          <w:i/>
          <w:iCs/>
          <w:sz w:val="22"/>
          <w:szCs w:val="22"/>
          <w:vertAlign w:val="subscript"/>
          <w:lang w:val="en-US"/>
        </w:rPr>
        <w:t>1</w:t>
      </w:r>
      <w:r w:rsidRPr="00BF067B">
        <w:rPr>
          <w:sz w:val="22"/>
          <w:szCs w:val="22"/>
          <w:lang w:val="en-US"/>
        </w:rPr>
        <w:t>) years of each analyzed period:</w:t>
      </w: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BA7E4D" w:rsidRPr="00BF067B" w:rsidRDefault="00BA7E4D" w:rsidP="00BF067B">
      <w:pPr>
        <w:pStyle w:val="Textoindependiente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2"/>
              <w:szCs w:val="22"/>
            </w:rPr>
            <m:t>PC</m:t>
          </m:r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ASIR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ASIR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ASIR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×</m:t>
          </m:r>
          <m:r>
            <w:rPr>
              <w:rFonts w:ascii="Cambria Math" w:hAnsi="Cambria Math" w:cs="Times New Roman"/>
              <w:sz w:val="22"/>
              <w:szCs w:val="22"/>
            </w:rPr>
            <m:t>100</m:t>
          </m:r>
        </m:oMath>
      </m:oMathPara>
    </w:p>
    <w:p w:rsidR="004B255A" w:rsidRPr="00BF067B" w:rsidRDefault="004B255A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BA7E4D" w:rsidRPr="00BF067B" w:rsidRDefault="00763F5D" w:rsidP="00BF067B">
      <w:pPr>
        <w:pStyle w:val="NormalWeb"/>
        <w:spacing w:before="0" w:beforeAutospacing="0" w:after="0" w:afterAutospacing="0" w:line="276" w:lineRule="auto"/>
        <w:jc w:val="both"/>
        <w:rPr>
          <w:rFonts w:eastAsiaTheme="minorEastAsia"/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>Where</w:t>
      </w:r>
      <w:r w:rsidR="00BA4A9F" w:rsidRPr="00BF067B">
        <w:rPr>
          <w:sz w:val="22"/>
          <w:szCs w:val="22"/>
          <w:lang w:val="en-US"/>
        </w:rPr>
        <w:t xml:space="preserve"> </w:t>
      </w:r>
      <w:r w:rsidRPr="00BF067B">
        <w:rPr>
          <w:i/>
          <w:iCs/>
          <w:sz w:val="22"/>
          <w:szCs w:val="22"/>
          <w:lang w:val="en-US"/>
        </w:rPr>
        <w:t>t</w:t>
      </w:r>
      <w:r w:rsidRPr="00BF067B">
        <w:rPr>
          <w:sz w:val="22"/>
          <w:szCs w:val="22"/>
          <w:lang w:val="en-US"/>
        </w:rPr>
        <w:t xml:space="preserve">0 and </w:t>
      </w:r>
      <w:r w:rsidRPr="00BF067B">
        <w:rPr>
          <w:i/>
          <w:iCs/>
          <w:sz w:val="22"/>
          <w:szCs w:val="22"/>
          <w:lang w:val="en-US"/>
        </w:rPr>
        <w:t>t</w:t>
      </w:r>
      <w:r w:rsidRPr="00BF067B">
        <w:rPr>
          <w:sz w:val="22"/>
          <w:szCs w:val="22"/>
          <w:lang w:val="en-US"/>
        </w:rPr>
        <w:t>1 represent the initial and final years of each analyzed period, respectively.</w:t>
      </w: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rFonts w:eastAsiaTheme="minorEastAsia"/>
          <w:sz w:val="22"/>
          <w:szCs w:val="22"/>
          <w:lang w:val="en-US"/>
        </w:rPr>
      </w:pPr>
    </w:p>
    <w:p w:rsidR="00554FC8" w:rsidRPr="00BF067B" w:rsidRDefault="00554FC8" w:rsidP="00BF067B">
      <w:pPr>
        <w:pStyle w:val="NormalWeb"/>
        <w:spacing w:before="0" w:beforeAutospacing="0" w:after="0" w:afterAutospacing="0" w:line="276" w:lineRule="auto"/>
        <w:jc w:val="both"/>
        <w:rPr>
          <w:rFonts w:eastAsiaTheme="minorEastAsia"/>
          <w:sz w:val="22"/>
          <w:szCs w:val="22"/>
          <w:lang w:val="en-US"/>
        </w:rPr>
      </w:pP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rFonts w:eastAsiaTheme="minorEastAsia"/>
          <w:sz w:val="22"/>
          <w:szCs w:val="22"/>
          <w:lang w:val="en-US"/>
        </w:rPr>
      </w:pPr>
      <w:r w:rsidRPr="00BF067B">
        <w:rPr>
          <w:b/>
          <w:bCs/>
          <w:sz w:val="22"/>
          <w:szCs w:val="22"/>
          <w:lang w:val="en-US"/>
        </w:rPr>
        <w:t xml:space="preserve">(3) 95% Confidence Interval for the </w:t>
      </w:r>
      <w:r w:rsidRPr="00BF067B">
        <w:rPr>
          <w:b/>
          <w:bCs/>
          <w:i/>
          <w:iCs/>
          <w:sz w:val="22"/>
          <w:szCs w:val="22"/>
          <w:lang w:val="en-US"/>
        </w:rPr>
        <w:t>PC</w:t>
      </w:r>
    </w:p>
    <w:p w:rsidR="00D45262" w:rsidRPr="00BF067B" w:rsidRDefault="00D45262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 xml:space="preserve">To determine the statistical significance of the </w:t>
      </w:r>
      <w:r w:rsidRPr="00BF067B">
        <w:rPr>
          <w:i/>
          <w:iCs/>
          <w:sz w:val="22"/>
          <w:szCs w:val="22"/>
          <w:lang w:val="en-US"/>
        </w:rPr>
        <w:t>PC</w:t>
      </w:r>
      <w:r w:rsidRPr="00BF067B">
        <w:rPr>
          <w:sz w:val="22"/>
          <w:szCs w:val="22"/>
          <w:lang w:val="en-US"/>
        </w:rPr>
        <w:t xml:space="preserve">, 95% confidence intervals (95% CI) were calculated. Since the </w:t>
      </w:r>
      <w:r w:rsidRPr="00BF067B">
        <w:rPr>
          <w:i/>
          <w:iCs/>
          <w:sz w:val="22"/>
          <w:szCs w:val="22"/>
          <w:lang w:val="en-US"/>
        </w:rPr>
        <w:t>PC</w:t>
      </w:r>
      <w:r w:rsidRPr="00BF067B">
        <w:rPr>
          <w:sz w:val="22"/>
          <w:szCs w:val="22"/>
          <w:lang w:val="en-US"/>
        </w:rPr>
        <w:t xml:space="preserve"> is derived from the ratio of two independent rates (ASIR</w:t>
      </w:r>
      <w:r w:rsidRPr="00BF067B">
        <w:rPr>
          <w:i/>
          <w:iCs/>
          <w:sz w:val="22"/>
          <w:szCs w:val="22"/>
          <w:vertAlign w:val="subscript"/>
          <w:lang w:val="en-US"/>
        </w:rPr>
        <w:t>t</w:t>
      </w:r>
      <w:r w:rsidRPr="00BF067B">
        <w:rPr>
          <w:sz w:val="22"/>
          <w:szCs w:val="22"/>
          <w:vertAlign w:val="subscript"/>
          <w:lang w:val="en-US"/>
        </w:rPr>
        <w:t xml:space="preserve"> 1</w:t>
      </w:r>
      <w:r w:rsidRPr="00BF067B">
        <w:rPr>
          <w:sz w:val="22"/>
          <w:szCs w:val="22"/>
          <w:lang w:val="en-US"/>
        </w:rPr>
        <w:t xml:space="preserve"> /</w:t>
      </w:r>
      <w:r w:rsidRPr="00BF067B">
        <w:rPr>
          <w:i/>
          <w:iCs/>
          <w:sz w:val="22"/>
          <w:szCs w:val="22"/>
          <w:lang w:val="en-US"/>
        </w:rPr>
        <w:t xml:space="preserve"> </w:t>
      </w:r>
      <w:r w:rsidRPr="00BF067B">
        <w:rPr>
          <w:sz w:val="22"/>
          <w:szCs w:val="22"/>
          <w:lang w:val="en-US"/>
        </w:rPr>
        <w:t>ASIR</w:t>
      </w:r>
      <w:r w:rsidRPr="00BF067B">
        <w:rPr>
          <w:i/>
          <w:iCs/>
          <w:sz w:val="22"/>
          <w:szCs w:val="22"/>
          <w:vertAlign w:val="subscript"/>
          <w:lang w:val="en-US"/>
        </w:rPr>
        <w:t>t</w:t>
      </w:r>
      <w:r w:rsidRPr="00BF067B">
        <w:rPr>
          <w:sz w:val="22"/>
          <w:szCs w:val="22"/>
          <w:vertAlign w:val="subscript"/>
          <w:lang w:val="en-US"/>
        </w:rPr>
        <w:t xml:space="preserve"> 0</w:t>
      </w:r>
      <w:r w:rsidRPr="00BF067B">
        <w:rPr>
          <w:sz w:val="22"/>
          <w:szCs w:val="22"/>
          <w:lang w:val="en-US"/>
        </w:rPr>
        <w:t>), the confidence limits were estimated using the following formula based on the error of the natural logarithm of the ASIR:</w:t>
      </w: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6537C" w:rsidRPr="00BF067B" w:rsidRDefault="0056537C" w:rsidP="00BF067B">
      <w:pPr>
        <w:pStyle w:val="Textoindependiente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2"/>
              <w:szCs w:val="22"/>
            </w:rPr>
            <m:t>95</m:t>
          </m:r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%</m:t>
          </m:r>
          <m:r>
            <w:rPr>
              <w:rFonts w:ascii="Cambria Math" w:hAnsi="Cambria Math" w:cs="Times New Roman"/>
              <w:sz w:val="22"/>
              <w:szCs w:val="22"/>
            </w:rPr>
            <m:t> </m:t>
          </m:r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CI=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exp</m:t>
              </m:r>
              <m:d>
                <m:d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ln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2"/>
                                </w:rPr>
                                <m:t>ASIR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2"/>
                                </w:rPr>
                                <m:t>ASIR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0</m:t>
                                  </m:r>
                                </m:sub>
                              </m:sSub>
                            </m:sub>
                          </m:sSub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±</m:t>
                  </m:r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1.96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2"/>
                                </w:rPr>
                                <m:t>d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2"/>
                                </w:rPr>
                                <m:t>d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0</m:t>
                                  </m:r>
                                </m:sub>
                              </m:sSub>
                            </m:sub>
                          </m:sSub>
                        </m:den>
                      </m:f>
                    </m:e>
                  </m:ra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r>
                <w:rPr>
                  <w:rFonts w:ascii="Cambria Math" w:hAnsi="Cambria Math" w:cs="Times New Roman"/>
                  <w:sz w:val="22"/>
                  <w:szCs w:val="22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×</m:t>
          </m:r>
          <m:r>
            <w:rPr>
              <w:rFonts w:ascii="Cambria Math" w:hAnsi="Cambria Math" w:cs="Times New Roman"/>
              <w:sz w:val="22"/>
              <w:szCs w:val="22"/>
            </w:rPr>
            <m:t>100</m:t>
          </m:r>
        </m:oMath>
      </m:oMathPara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 xml:space="preserve">Where </w:t>
      </w:r>
      <w:r w:rsidRPr="00BF067B">
        <w:rPr>
          <w:i/>
          <w:iCs/>
          <w:sz w:val="22"/>
          <w:szCs w:val="22"/>
          <w:lang w:val="en-US"/>
        </w:rPr>
        <w:t>d</w:t>
      </w:r>
      <w:r w:rsidRPr="00BF067B">
        <w:rPr>
          <w:i/>
          <w:iCs/>
          <w:sz w:val="22"/>
          <w:szCs w:val="22"/>
          <w:vertAlign w:val="subscript"/>
          <w:lang w:val="en-US"/>
        </w:rPr>
        <w:t>t1</w:t>
      </w:r>
      <w:r w:rsidRPr="00BF067B">
        <w:rPr>
          <w:sz w:val="22"/>
          <w:szCs w:val="22"/>
          <w:lang w:val="en-US"/>
        </w:rPr>
        <w:t xml:space="preserve"> and </w:t>
      </w:r>
      <w:r w:rsidRPr="00BF067B">
        <w:rPr>
          <w:i/>
          <w:iCs/>
          <w:sz w:val="22"/>
          <w:szCs w:val="22"/>
          <w:lang w:val="en-US"/>
        </w:rPr>
        <w:t>d</w:t>
      </w:r>
      <w:r w:rsidRPr="00BF067B">
        <w:rPr>
          <w:i/>
          <w:iCs/>
          <w:sz w:val="22"/>
          <w:szCs w:val="22"/>
          <w:vertAlign w:val="subscript"/>
          <w:lang w:val="en-US"/>
        </w:rPr>
        <w:t>t0</w:t>
      </w:r>
      <w:r w:rsidRPr="00BF067B">
        <w:rPr>
          <w:sz w:val="22"/>
          <w:szCs w:val="22"/>
          <w:lang w:val="en-US"/>
        </w:rPr>
        <w:t xml:space="preserve"> represent the number of observed disabling injury cases in the final and initial years of each period, respectively.</w:t>
      </w: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54FC8" w:rsidRPr="00BF067B" w:rsidRDefault="00554FC8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2"/>
          <w:szCs w:val="22"/>
          <w:lang w:val="en-US"/>
        </w:rPr>
      </w:pPr>
      <w:r w:rsidRPr="00BF067B">
        <w:rPr>
          <w:b/>
          <w:bCs/>
          <w:sz w:val="22"/>
          <w:szCs w:val="22"/>
          <w:lang w:val="en-US"/>
        </w:rPr>
        <w:t>(4) Z-test for Statistical Significance</w:t>
      </w: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>To evaluate the statistical significance of the observed variations across the analyzed periods:</w:t>
      </w:r>
    </w:p>
    <w:p w:rsidR="00BA7E4D" w:rsidRPr="00BF067B" w:rsidRDefault="00BA7E4D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center"/>
        <w:rPr>
          <w:sz w:val="22"/>
          <w:szCs w:val="22"/>
          <w:lang w:val="en-US"/>
        </w:rPr>
      </w:pPr>
      <w:r w:rsidRPr="00BF067B">
        <w:rPr>
          <w:noProof/>
          <w:sz w:val="22"/>
          <w:szCs w:val="22"/>
          <w:lang w:val="en-US"/>
          <w14:ligatures w14:val="standardContextual"/>
        </w:rPr>
        <w:lastRenderedPageBreak/>
        <w:drawing>
          <wp:inline distT="0" distB="0" distL="0" distR="0">
            <wp:extent cx="1509975" cy="568461"/>
            <wp:effectExtent l="0" t="0" r="1905" b="3175"/>
            <wp:docPr id="122103399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33990" name="Imagen 12210339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64" cy="59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 xml:space="preserve">A </w:t>
      </w:r>
      <w:r w:rsidRPr="00BF067B">
        <w:rPr>
          <w:i/>
          <w:iCs/>
          <w:sz w:val="22"/>
          <w:szCs w:val="22"/>
          <w:lang w:val="en-US"/>
        </w:rPr>
        <w:t>p</w:t>
      </w:r>
      <w:r w:rsidRPr="00BF067B">
        <w:rPr>
          <w:sz w:val="22"/>
          <w:szCs w:val="22"/>
          <w:lang w:val="en-US"/>
        </w:rPr>
        <w:t>-value &lt; 0.05 derived from the standard normal distribution was considered significant.</w:t>
      </w: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54FC8" w:rsidRPr="00BF067B" w:rsidRDefault="00554FC8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54FC8" w:rsidRPr="00BF067B" w:rsidRDefault="00554FC8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b/>
          <w:bCs/>
          <w:sz w:val="22"/>
          <w:szCs w:val="22"/>
          <w:lang w:val="en-US"/>
        </w:rPr>
        <w:t>(5) Incidence Rate Ratio (</w:t>
      </w:r>
      <w:r w:rsidRPr="00BF067B">
        <w:rPr>
          <w:b/>
          <w:bCs/>
          <w:i/>
          <w:iCs/>
          <w:sz w:val="22"/>
          <w:szCs w:val="22"/>
          <w:lang w:val="en-US"/>
        </w:rPr>
        <w:t>IRR</w:t>
      </w:r>
      <w:r w:rsidRPr="00BF067B">
        <w:rPr>
          <w:b/>
          <w:bCs/>
          <w:sz w:val="22"/>
          <w:szCs w:val="22"/>
          <w:lang w:val="en-US"/>
        </w:rPr>
        <w:t>)</w:t>
      </w: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  <w:r w:rsidRPr="00BF067B">
        <w:rPr>
          <w:sz w:val="22"/>
          <w:szCs w:val="22"/>
          <w:lang w:val="en-US"/>
        </w:rPr>
        <w:t>Used to assess the relative risk between economic sectors, with Manufacturing as the reference group (IRR=1.0):</w:t>
      </w:r>
    </w:p>
    <w:p w:rsidR="0056537C" w:rsidRPr="00BF067B" w:rsidRDefault="0056537C" w:rsidP="00BF067B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56537C" w:rsidRPr="00BF067B" w:rsidRDefault="00000000" w:rsidP="00BF067B">
      <w:pPr>
        <w:pStyle w:val="Textoindependiente"/>
        <w:spacing w:before="0"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IRR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ASIR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ASIR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ref</m:t>
                  </m:r>
                </m:sub>
              </m:sSub>
            </m:den>
          </m:f>
        </m:oMath>
      </m:oMathPara>
    </w:p>
    <w:p w:rsidR="0056537C" w:rsidRPr="00BF067B" w:rsidRDefault="0056537C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56537C" w:rsidRPr="00BF067B" w:rsidRDefault="0056537C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067B">
        <w:rPr>
          <w:rFonts w:ascii="Times New Roman" w:hAnsi="Times New Roman" w:cs="Times New Roman"/>
          <w:i/>
          <w:iCs/>
          <w:sz w:val="22"/>
          <w:szCs w:val="22"/>
        </w:rPr>
        <w:t>ASIR</w:t>
      </w:r>
      <w:r w:rsidRPr="00BF067B">
        <w:rPr>
          <w:rFonts w:ascii="Times New Roman" w:hAnsi="Times New Roman" w:cs="Times New Roman"/>
          <w:i/>
          <w:iCs/>
          <w:sz w:val="22"/>
          <w:szCs w:val="22"/>
          <w:vertAlign w:val="subscript"/>
        </w:rPr>
        <w:t>i</w:t>
      </w:r>
      <w:r w:rsidRPr="00BF067B">
        <w:rPr>
          <w:rFonts w:ascii="Times New Roman" w:hAnsi="Times New Roman" w:cs="Times New Roman"/>
          <w:sz w:val="22"/>
          <w:szCs w:val="22"/>
        </w:rPr>
        <w:t xml:space="preserve">: Age-standardized rate of the comparison sector (Agriculture or Construction). </w:t>
      </w:r>
      <w:r w:rsidRPr="00BF067B">
        <w:rPr>
          <w:rFonts w:ascii="Times New Roman" w:hAnsi="Times New Roman" w:cs="Times New Roman"/>
          <w:i/>
          <w:iCs/>
          <w:sz w:val="22"/>
          <w:szCs w:val="22"/>
        </w:rPr>
        <w:t>ASIR</w:t>
      </w:r>
      <w:r w:rsidRPr="00BF067B">
        <w:rPr>
          <w:rFonts w:ascii="Times New Roman" w:hAnsi="Times New Roman" w:cs="Times New Roman"/>
          <w:i/>
          <w:iCs/>
          <w:sz w:val="22"/>
          <w:szCs w:val="22"/>
          <w:vertAlign w:val="subscript"/>
        </w:rPr>
        <w:t>ref</w:t>
      </w:r>
      <w:r w:rsidR="006C6638" w:rsidRPr="00BF067B">
        <w:rPr>
          <w:rFonts w:ascii="Times New Roman" w:hAnsi="Times New Roman" w:cs="Times New Roman"/>
          <w:sz w:val="22"/>
          <w:szCs w:val="22"/>
        </w:rPr>
        <w:t xml:space="preserve">: </w:t>
      </w:r>
      <w:r w:rsidRPr="00BF067B">
        <w:rPr>
          <w:rFonts w:ascii="Times New Roman" w:hAnsi="Times New Roman" w:cs="Times New Roman"/>
          <w:sz w:val="22"/>
          <w:szCs w:val="22"/>
        </w:rPr>
        <w:t>Age-standardized rate of the reference sector (Manufacturing).</w:t>
      </w:r>
    </w:p>
    <w:p w:rsidR="0056537C" w:rsidRPr="00BF067B" w:rsidRDefault="0056537C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54FC8" w:rsidRPr="00BF067B" w:rsidRDefault="00554FC8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6537C" w:rsidRPr="00BF067B" w:rsidRDefault="0056537C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067B">
        <w:rPr>
          <w:rFonts w:ascii="Times New Roman" w:hAnsi="Times New Roman" w:cs="Times New Roman"/>
          <w:sz w:val="22"/>
          <w:szCs w:val="22"/>
        </w:rPr>
        <w:t>(</w:t>
      </w:r>
      <w:r w:rsidRPr="00BF067B">
        <w:rPr>
          <w:rFonts w:ascii="Times New Roman" w:hAnsi="Times New Roman" w:cs="Times New Roman"/>
          <w:b/>
          <w:bCs/>
          <w:sz w:val="22"/>
          <w:szCs w:val="22"/>
        </w:rPr>
        <w:t xml:space="preserve">6) 95% Confidence Interval for the </w:t>
      </w:r>
      <w:r w:rsidRPr="00BF067B">
        <w:rPr>
          <w:rFonts w:ascii="Times New Roman" w:hAnsi="Times New Roman" w:cs="Times New Roman"/>
          <w:b/>
          <w:bCs/>
          <w:i/>
          <w:iCs/>
          <w:sz w:val="22"/>
          <w:szCs w:val="22"/>
        </w:rPr>
        <w:t>IRR</w:t>
      </w:r>
    </w:p>
    <w:p w:rsidR="0056537C" w:rsidRPr="00BF067B" w:rsidRDefault="0056537C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067B">
        <w:rPr>
          <w:rFonts w:ascii="Times New Roman" w:hAnsi="Times New Roman" w:cs="Times New Roman"/>
          <w:sz w:val="22"/>
          <w:szCs w:val="22"/>
        </w:rPr>
        <w:t xml:space="preserve">Estimated based on the standard error of the log-transformed </w:t>
      </w:r>
      <w:r w:rsidRPr="00BF067B">
        <w:rPr>
          <w:rFonts w:ascii="Times New Roman" w:hAnsi="Times New Roman" w:cs="Times New Roman"/>
          <w:i/>
          <w:iCs/>
          <w:sz w:val="22"/>
          <w:szCs w:val="22"/>
        </w:rPr>
        <w:t>IRR</w:t>
      </w:r>
      <w:r w:rsidRPr="00BF067B">
        <w:rPr>
          <w:rFonts w:ascii="Times New Roman" w:hAnsi="Times New Roman" w:cs="Times New Roman"/>
          <w:sz w:val="22"/>
          <w:szCs w:val="22"/>
        </w:rPr>
        <w:t xml:space="preserve"> to ensure a robust comparison of the risk burden:</w:t>
      </w:r>
    </w:p>
    <w:p w:rsidR="00891099" w:rsidRPr="00BF067B" w:rsidRDefault="00891099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6537C" w:rsidRPr="00BF067B" w:rsidRDefault="00891099" w:rsidP="00BF067B">
      <w:pPr>
        <w:pStyle w:val="Textoindependiente"/>
        <w:spacing w:before="0"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067B"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w:drawing>
          <wp:inline distT="0" distB="0" distL="0" distR="0">
            <wp:extent cx="2785865" cy="476650"/>
            <wp:effectExtent l="0" t="0" r="0" b="6350"/>
            <wp:docPr id="27992231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22310" name="Imagen 2799223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010" cy="50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7C" w:rsidRPr="00BF067B" w:rsidRDefault="0056537C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3E785B" w:rsidRPr="00BF067B" w:rsidRDefault="0056537C" w:rsidP="00BF067B">
      <w:pPr>
        <w:pStyle w:val="Textoindependiente"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067B">
        <w:rPr>
          <w:rFonts w:ascii="Times New Roman" w:hAnsi="Times New Roman" w:cs="Times New Roman"/>
          <w:sz w:val="22"/>
          <w:szCs w:val="22"/>
        </w:rPr>
        <w:t>Where</w:t>
      </w:r>
      <w:r w:rsidR="00891099" w:rsidRPr="00BF067B">
        <w:rPr>
          <w:rFonts w:ascii="Times New Roman" w:hAnsi="Times New Roman" w:cs="Times New Roman"/>
          <w:sz w:val="22"/>
          <w:szCs w:val="22"/>
        </w:rPr>
        <w:t xml:space="preserve">, </w:t>
      </w:r>
      <w:r w:rsidRPr="00BF067B">
        <w:rPr>
          <w:rFonts w:ascii="Times New Roman" w:hAnsi="Times New Roman" w:cs="Times New Roman"/>
          <w:i/>
          <w:iCs/>
          <w:sz w:val="22"/>
          <w:szCs w:val="22"/>
        </w:rPr>
        <w:t>d</w:t>
      </w:r>
      <w:r w:rsidR="00891099" w:rsidRPr="00BF067B">
        <w:rPr>
          <w:rFonts w:ascii="Times New Roman" w:hAnsi="Times New Roman" w:cs="Times New Roman"/>
          <w:i/>
          <w:iCs/>
          <w:sz w:val="22"/>
          <w:szCs w:val="22"/>
          <w:vertAlign w:val="subscript"/>
        </w:rPr>
        <w:t>i</w:t>
      </w:r>
      <w:r w:rsidR="00891099" w:rsidRPr="00BF067B">
        <w:rPr>
          <w:rFonts w:ascii="Times New Roman" w:hAnsi="Times New Roman" w:cs="Times New Roman"/>
          <w:sz w:val="22"/>
          <w:szCs w:val="22"/>
        </w:rPr>
        <w:t xml:space="preserve"> </w:t>
      </w:r>
      <w:r w:rsidRPr="00BF067B">
        <w:rPr>
          <w:rFonts w:ascii="Times New Roman" w:hAnsi="Times New Roman" w:cs="Times New Roman"/>
          <w:sz w:val="22"/>
          <w:szCs w:val="22"/>
        </w:rPr>
        <w:t xml:space="preserve">and </w:t>
      </w:r>
      <w:r w:rsidRPr="00BF067B">
        <w:rPr>
          <w:rFonts w:ascii="Times New Roman" w:hAnsi="Times New Roman" w:cs="Times New Roman"/>
          <w:i/>
          <w:iCs/>
          <w:sz w:val="22"/>
          <w:szCs w:val="22"/>
        </w:rPr>
        <w:t>d</w:t>
      </w:r>
      <w:r w:rsidRPr="00BF067B">
        <w:rPr>
          <w:rFonts w:ascii="Times New Roman" w:hAnsi="Times New Roman" w:cs="Times New Roman"/>
          <w:i/>
          <w:iCs/>
          <w:sz w:val="22"/>
          <w:szCs w:val="22"/>
          <w:vertAlign w:val="subscript"/>
        </w:rPr>
        <w:t>ref</w:t>
      </w:r>
      <w:r w:rsidR="00891099" w:rsidRPr="00BF067B">
        <w:rPr>
          <w:rFonts w:ascii="Times New Roman" w:hAnsi="Times New Roman" w:cs="Times New Roman"/>
          <w:i/>
          <w:iCs/>
          <w:sz w:val="22"/>
          <w:szCs w:val="22"/>
          <w:vertAlign w:val="subscript"/>
        </w:rPr>
        <w:t xml:space="preserve"> </w:t>
      </w:r>
      <w:r w:rsidR="00891099" w:rsidRPr="00BF067B">
        <w:rPr>
          <w:rFonts w:ascii="Times New Roman" w:hAnsi="Times New Roman" w:cs="Times New Roman"/>
          <w:sz w:val="22"/>
          <w:szCs w:val="22"/>
        </w:rPr>
        <w:t xml:space="preserve"> is the</w:t>
      </w:r>
      <w:r w:rsidRPr="00BF067B">
        <w:rPr>
          <w:rFonts w:ascii="Times New Roman" w:hAnsi="Times New Roman" w:cs="Times New Roman"/>
          <w:sz w:val="22"/>
          <w:szCs w:val="22"/>
        </w:rPr>
        <w:t xml:space="preserve"> </w:t>
      </w:r>
      <w:r w:rsidR="00891099" w:rsidRPr="00BF067B">
        <w:rPr>
          <w:rFonts w:ascii="Times New Roman" w:hAnsi="Times New Roman" w:cs="Times New Roman"/>
          <w:sz w:val="22"/>
          <w:szCs w:val="22"/>
        </w:rPr>
        <w:t>n</w:t>
      </w:r>
      <w:r w:rsidRPr="00BF067B">
        <w:rPr>
          <w:rFonts w:ascii="Times New Roman" w:hAnsi="Times New Roman" w:cs="Times New Roman"/>
          <w:sz w:val="22"/>
          <w:szCs w:val="22"/>
        </w:rPr>
        <w:t>umber of observed disabling injury cases in the comparison sector and the reference sector, respectively</w:t>
      </w:r>
      <w:r w:rsidR="00891099" w:rsidRPr="00BF067B">
        <w:rPr>
          <w:rFonts w:ascii="Times New Roman" w:hAnsi="Times New Roman" w:cs="Times New Roman"/>
          <w:sz w:val="22"/>
          <w:szCs w:val="22"/>
        </w:rPr>
        <w:t>.</w:t>
      </w:r>
    </w:p>
    <w:p w:rsidR="00A103A7" w:rsidRPr="00BF067B" w:rsidRDefault="00A103A7" w:rsidP="00BF067B">
      <w:pPr>
        <w:spacing w:line="276" w:lineRule="auto"/>
        <w:rPr>
          <w:color w:val="4472C4" w:themeColor="accent1"/>
          <w:sz w:val="22"/>
          <w:szCs w:val="22"/>
          <w:lang w:val="en-US"/>
        </w:rPr>
      </w:pPr>
    </w:p>
    <w:sectPr w:rsidR="00A103A7" w:rsidRPr="00BF06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A6"/>
    <w:rsid w:val="00042279"/>
    <w:rsid w:val="00046CB2"/>
    <w:rsid w:val="0004750C"/>
    <w:rsid w:val="00052A43"/>
    <w:rsid w:val="00062BD3"/>
    <w:rsid w:val="00066D7D"/>
    <w:rsid w:val="000756A0"/>
    <w:rsid w:val="00093CE6"/>
    <w:rsid w:val="000A6DCB"/>
    <w:rsid w:val="000B0C4E"/>
    <w:rsid w:val="000E4D32"/>
    <w:rsid w:val="00102997"/>
    <w:rsid w:val="00123104"/>
    <w:rsid w:val="00124261"/>
    <w:rsid w:val="00131A62"/>
    <w:rsid w:val="00133857"/>
    <w:rsid w:val="0014722E"/>
    <w:rsid w:val="0015421E"/>
    <w:rsid w:val="00157C49"/>
    <w:rsid w:val="001A435A"/>
    <w:rsid w:val="001D39FF"/>
    <w:rsid w:val="001D629B"/>
    <w:rsid w:val="001E2D6E"/>
    <w:rsid w:val="001F5943"/>
    <w:rsid w:val="00200526"/>
    <w:rsid w:val="00205900"/>
    <w:rsid w:val="00225F15"/>
    <w:rsid w:val="00243EA0"/>
    <w:rsid w:val="00245D02"/>
    <w:rsid w:val="00252E32"/>
    <w:rsid w:val="002751C4"/>
    <w:rsid w:val="002B605F"/>
    <w:rsid w:val="002E28B8"/>
    <w:rsid w:val="002E7747"/>
    <w:rsid w:val="003066E1"/>
    <w:rsid w:val="00324965"/>
    <w:rsid w:val="0037313F"/>
    <w:rsid w:val="003A4B1C"/>
    <w:rsid w:val="003B05B5"/>
    <w:rsid w:val="003C50C6"/>
    <w:rsid w:val="003D316C"/>
    <w:rsid w:val="003E5BB4"/>
    <w:rsid w:val="003E785B"/>
    <w:rsid w:val="004321AA"/>
    <w:rsid w:val="00487BEA"/>
    <w:rsid w:val="00496AAF"/>
    <w:rsid w:val="004A4988"/>
    <w:rsid w:val="004B255A"/>
    <w:rsid w:val="005174AB"/>
    <w:rsid w:val="00554FC8"/>
    <w:rsid w:val="00557D0F"/>
    <w:rsid w:val="005644E6"/>
    <w:rsid w:val="0056537C"/>
    <w:rsid w:val="005811B8"/>
    <w:rsid w:val="0058162E"/>
    <w:rsid w:val="005904E2"/>
    <w:rsid w:val="00591825"/>
    <w:rsid w:val="005C0CE8"/>
    <w:rsid w:val="005D1E5C"/>
    <w:rsid w:val="005E31C3"/>
    <w:rsid w:val="00624CBC"/>
    <w:rsid w:val="006264E5"/>
    <w:rsid w:val="00636CB1"/>
    <w:rsid w:val="006565E3"/>
    <w:rsid w:val="00677873"/>
    <w:rsid w:val="00683E51"/>
    <w:rsid w:val="006A144D"/>
    <w:rsid w:val="006C275B"/>
    <w:rsid w:val="006C6638"/>
    <w:rsid w:val="006D1823"/>
    <w:rsid w:val="006E75F4"/>
    <w:rsid w:val="00724202"/>
    <w:rsid w:val="007255C3"/>
    <w:rsid w:val="00735551"/>
    <w:rsid w:val="00762642"/>
    <w:rsid w:val="00763F5D"/>
    <w:rsid w:val="007731EC"/>
    <w:rsid w:val="00792917"/>
    <w:rsid w:val="007A6D03"/>
    <w:rsid w:val="007B2436"/>
    <w:rsid w:val="007D46F4"/>
    <w:rsid w:val="00807875"/>
    <w:rsid w:val="00825DEC"/>
    <w:rsid w:val="008277A9"/>
    <w:rsid w:val="008344A6"/>
    <w:rsid w:val="00842946"/>
    <w:rsid w:val="00844C37"/>
    <w:rsid w:val="00877F0D"/>
    <w:rsid w:val="00881F8B"/>
    <w:rsid w:val="00885BFF"/>
    <w:rsid w:val="00891099"/>
    <w:rsid w:val="008A5A7F"/>
    <w:rsid w:val="008B628A"/>
    <w:rsid w:val="00902B4D"/>
    <w:rsid w:val="00905EED"/>
    <w:rsid w:val="00910EBE"/>
    <w:rsid w:val="00924EDC"/>
    <w:rsid w:val="00947E2C"/>
    <w:rsid w:val="00963A65"/>
    <w:rsid w:val="00965922"/>
    <w:rsid w:val="009870E6"/>
    <w:rsid w:val="009A0DF1"/>
    <w:rsid w:val="009A2F84"/>
    <w:rsid w:val="009C10A0"/>
    <w:rsid w:val="009D0AB5"/>
    <w:rsid w:val="009D3B4E"/>
    <w:rsid w:val="009D5CA0"/>
    <w:rsid w:val="00A103A7"/>
    <w:rsid w:val="00A11161"/>
    <w:rsid w:val="00A218E9"/>
    <w:rsid w:val="00A24FDD"/>
    <w:rsid w:val="00A77501"/>
    <w:rsid w:val="00A842AF"/>
    <w:rsid w:val="00AE7C87"/>
    <w:rsid w:val="00AF6710"/>
    <w:rsid w:val="00B030B4"/>
    <w:rsid w:val="00B4733F"/>
    <w:rsid w:val="00B56625"/>
    <w:rsid w:val="00B61784"/>
    <w:rsid w:val="00B678EC"/>
    <w:rsid w:val="00BA380A"/>
    <w:rsid w:val="00BA4A9F"/>
    <w:rsid w:val="00BA7E4D"/>
    <w:rsid w:val="00BB3C75"/>
    <w:rsid w:val="00BC000E"/>
    <w:rsid w:val="00BC0A94"/>
    <w:rsid w:val="00BC76D7"/>
    <w:rsid w:val="00BD06CC"/>
    <w:rsid w:val="00BF067B"/>
    <w:rsid w:val="00C64691"/>
    <w:rsid w:val="00C64767"/>
    <w:rsid w:val="00CB51B7"/>
    <w:rsid w:val="00CE69C6"/>
    <w:rsid w:val="00CF2704"/>
    <w:rsid w:val="00CF37E3"/>
    <w:rsid w:val="00CF3D65"/>
    <w:rsid w:val="00CF6BC5"/>
    <w:rsid w:val="00CF71F6"/>
    <w:rsid w:val="00D00148"/>
    <w:rsid w:val="00D22F82"/>
    <w:rsid w:val="00D2341E"/>
    <w:rsid w:val="00D32B48"/>
    <w:rsid w:val="00D4255F"/>
    <w:rsid w:val="00D45262"/>
    <w:rsid w:val="00D61818"/>
    <w:rsid w:val="00D93475"/>
    <w:rsid w:val="00D97013"/>
    <w:rsid w:val="00DA790B"/>
    <w:rsid w:val="00DB48FA"/>
    <w:rsid w:val="00DF2E65"/>
    <w:rsid w:val="00DF4846"/>
    <w:rsid w:val="00E017B7"/>
    <w:rsid w:val="00E37943"/>
    <w:rsid w:val="00E47883"/>
    <w:rsid w:val="00E53946"/>
    <w:rsid w:val="00E57AE9"/>
    <w:rsid w:val="00E7154B"/>
    <w:rsid w:val="00EB0DAB"/>
    <w:rsid w:val="00EC44FB"/>
    <w:rsid w:val="00EE01D9"/>
    <w:rsid w:val="00EE4930"/>
    <w:rsid w:val="00EF2431"/>
    <w:rsid w:val="00F14F9E"/>
    <w:rsid w:val="00F24DC0"/>
    <w:rsid w:val="00F31E4D"/>
    <w:rsid w:val="00F32A39"/>
    <w:rsid w:val="00F36BE3"/>
    <w:rsid w:val="00F41A2A"/>
    <w:rsid w:val="00F95CE9"/>
    <w:rsid w:val="00FB5A98"/>
    <w:rsid w:val="00FD2A1B"/>
    <w:rsid w:val="00FE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3287F9"/>
  <w15:chartTrackingRefBased/>
  <w15:docId w15:val="{CA1B54C7-E690-A34B-8322-3D7C3D6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A62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BC76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25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8344A6"/>
    <w:rPr>
      <w:i/>
      <w:iCs/>
    </w:rPr>
  </w:style>
  <w:style w:type="character" w:customStyle="1" w:styleId="apple-converted-space">
    <w:name w:val="apple-converted-space"/>
    <w:basedOn w:val="Fuentedeprrafopredeter"/>
    <w:rsid w:val="008344A6"/>
  </w:style>
  <w:style w:type="paragraph" w:styleId="NormalWeb">
    <w:name w:val="Normal (Web)"/>
    <w:basedOn w:val="Normal"/>
    <w:uiPriority w:val="99"/>
    <w:unhideWhenUsed/>
    <w:rsid w:val="00046CB2"/>
    <w:pPr>
      <w:spacing w:before="100" w:beforeAutospacing="1" w:after="100" w:afterAutospacing="1"/>
    </w:pPr>
  </w:style>
  <w:style w:type="character" w:customStyle="1" w:styleId="mord">
    <w:name w:val="mord"/>
    <w:basedOn w:val="Fuentedeprrafopredeter"/>
    <w:rsid w:val="00763F5D"/>
  </w:style>
  <w:style w:type="character" w:customStyle="1" w:styleId="vlist-s">
    <w:name w:val="vlist-s"/>
    <w:basedOn w:val="Fuentedeprrafopredeter"/>
    <w:rsid w:val="00763F5D"/>
  </w:style>
  <w:style w:type="character" w:customStyle="1" w:styleId="mrel">
    <w:name w:val="mrel"/>
    <w:basedOn w:val="Fuentedeprrafopredeter"/>
    <w:rsid w:val="00A842AF"/>
  </w:style>
  <w:style w:type="character" w:customStyle="1" w:styleId="Ttulo1Car">
    <w:name w:val="Título 1 Car"/>
    <w:basedOn w:val="Fuentedeprrafopredeter"/>
    <w:link w:val="Ttulo1"/>
    <w:uiPriority w:val="9"/>
    <w:rsid w:val="00BC76D7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  <w14:ligatures w14:val="none"/>
    </w:rPr>
  </w:style>
  <w:style w:type="character" w:customStyle="1" w:styleId="title-text">
    <w:name w:val="title-text"/>
    <w:basedOn w:val="Fuentedeprrafopredeter"/>
    <w:rsid w:val="00BC76D7"/>
  </w:style>
  <w:style w:type="character" w:styleId="Hipervnculo">
    <w:name w:val="Hyperlink"/>
    <w:basedOn w:val="Fuentedeprrafopredeter"/>
    <w:uiPriority w:val="99"/>
    <w:unhideWhenUsed/>
    <w:rsid w:val="00BC76D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5A98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3C50C6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CF3D65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52A43"/>
    <w:rPr>
      <w:color w:val="666666"/>
    </w:rPr>
  </w:style>
  <w:style w:type="character" w:customStyle="1" w:styleId="citation-128">
    <w:name w:val="citation-128"/>
    <w:basedOn w:val="Fuentedeprrafopredeter"/>
    <w:rsid w:val="005174AB"/>
  </w:style>
  <w:style w:type="character" w:customStyle="1" w:styleId="citation-127">
    <w:name w:val="citation-127"/>
    <w:basedOn w:val="Fuentedeprrafopredeter"/>
    <w:rsid w:val="005174AB"/>
  </w:style>
  <w:style w:type="paragraph" w:styleId="Textoindependiente">
    <w:name w:val="Body Text"/>
    <w:basedOn w:val="Normal"/>
    <w:link w:val="TextoindependienteCar"/>
    <w:qFormat/>
    <w:rsid w:val="004B255A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B255A"/>
    <w:rPr>
      <w:rFonts w:eastAsiaTheme="minorHAnsi"/>
      <w:kern w:val="0"/>
      <w:lang w:val="en-U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255A"/>
    <w:rPr>
      <w:rFonts w:asciiTheme="majorHAnsi" w:eastAsiaTheme="majorEastAsia" w:hAnsiTheme="majorHAnsi" w:cstheme="majorBidi"/>
      <w:color w:val="1F3763" w:themeColor="accent1" w:themeShade="7F"/>
      <w:kern w:val="0"/>
      <w:lang w:eastAsia="es-ES_tradnl"/>
      <w14:ligatures w14:val="none"/>
    </w:rPr>
  </w:style>
  <w:style w:type="paragraph" w:customStyle="1" w:styleId="FirstParagraph">
    <w:name w:val="First Paragraph"/>
    <w:basedOn w:val="Textoindependiente"/>
    <w:next w:val="Textoindependiente"/>
    <w:qFormat/>
    <w:rsid w:val="004B2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8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2026-04-06T15:01:00Z</dcterms:created>
  <dcterms:modified xsi:type="dcterms:W3CDTF">2026-04-09T09:46:00Z</dcterms:modified>
</cp:coreProperties>
</file>