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33AC1">
      <w:pPr>
        <w:pStyle w:val="3"/>
        <w:ind w:left="4209" w:right="3649"/>
        <w:jc w:val="center"/>
      </w:pPr>
      <w:r>
        <w:t>MOOSE</w:t>
      </w:r>
      <w:r>
        <w:rPr>
          <w:spacing w:val="-4"/>
        </w:rPr>
        <w:t xml:space="preserve"> </w:t>
      </w:r>
      <w:r>
        <w:rPr>
          <w:spacing w:val="-2"/>
        </w:rPr>
        <w:t>Checklist</w:t>
      </w:r>
    </w:p>
    <w:p w14:paraId="1311DF13">
      <w:pPr>
        <w:pStyle w:val="4"/>
        <w:spacing w:before="10"/>
        <w:rPr>
          <w:b/>
          <w:sz w:val="20"/>
        </w:rPr>
      </w:pPr>
    </w:p>
    <w:p w14:paraId="2FA79107">
      <w:pPr>
        <w:pStyle w:val="4"/>
        <w:spacing w:before="3" w:after="1"/>
        <w:jc w:val="center"/>
        <w:rPr>
          <w:rFonts w:eastAsiaTheme="minorEastAsia"/>
          <w:lang w:eastAsia="zh-CN"/>
        </w:rPr>
      </w:pPr>
      <w:r>
        <w:t>Prognostic value of preoperative plasma fibrinogen and albumin ratio in urological carcinomas: a systematic review and meta-analysis</w:t>
      </w:r>
    </w:p>
    <w:p w14:paraId="4A738B11">
      <w:pPr>
        <w:pStyle w:val="4"/>
        <w:spacing w:before="3" w:after="1"/>
        <w:jc w:val="center"/>
        <w:rPr>
          <w:rFonts w:eastAsiaTheme="minorEastAsia"/>
          <w:lang w:eastAsia="zh-CN"/>
        </w:rPr>
      </w:pPr>
    </w:p>
    <w:p w14:paraId="482A5B9C">
      <w:pPr>
        <w:spacing w:before="240"/>
        <w:rPr>
          <w:sz w:val="24"/>
          <w:szCs w:val="24"/>
        </w:rPr>
      </w:pPr>
      <w:r>
        <w:rPr>
          <w:sz w:val="24"/>
          <w:szCs w:val="24"/>
        </w:rPr>
        <w:t>Zhengqing Bao</w:t>
      </w:r>
      <w:bookmarkStart w:id="0" w:name="_Hlk153477078"/>
      <w:r>
        <w:rPr>
          <w:sz w:val="24"/>
          <w:szCs w:val="24"/>
          <w:vertAlign w:val="superscript"/>
        </w:rPr>
        <w:t>1</w:t>
      </w:r>
      <w:bookmarkStart w:id="1" w:name="_Hlk153477012"/>
      <w:r>
        <w:rPr>
          <w:sz w:val="24"/>
          <w:szCs w:val="24"/>
          <w:vertAlign w:val="superscript"/>
        </w:rPr>
        <w:t>^</w:t>
      </w:r>
      <w:bookmarkEnd w:id="0"/>
      <w:bookmarkEnd w:id="1"/>
      <w:r>
        <w:rPr>
          <w:sz w:val="24"/>
          <w:szCs w:val="24"/>
          <w:vertAlign w:val="superscript"/>
        </w:rPr>
        <w:t>#</w:t>
      </w:r>
      <w:r>
        <w:rPr>
          <w:sz w:val="24"/>
          <w:szCs w:val="24"/>
        </w:rPr>
        <w:t xml:space="preserve">, </w:t>
      </w:r>
      <w:r>
        <w:rPr>
          <w:rFonts w:hint="eastAsia"/>
          <w:sz w:val="24"/>
          <w:szCs w:val="24"/>
        </w:rPr>
        <w:t>Jiaqi An</w:t>
      </w:r>
      <w:r>
        <w:rPr>
          <w:sz w:val="24"/>
          <w:szCs w:val="24"/>
          <w:vertAlign w:val="superscript"/>
        </w:rPr>
        <w:t>2^</w:t>
      </w:r>
      <w:r>
        <w:rPr>
          <w:sz w:val="24"/>
          <w:szCs w:val="24"/>
        </w:rPr>
        <w:t>, G</w:t>
      </w:r>
      <w:r>
        <w:rPr>
          <w:rFonts w:hint="eastAsia"/>
          <w:sz w:val="24"/>
          <w:szCs w:val="24"/>
        </w:rPr>
        <w:t>uizhong</w:t>
      </w:r>
      <w:r>
        <w:rPr>
          <w:sz w:val="24"/>
          <w:szCs w:val="24"/>
        </w:rPr>
        <w:t xml:space="preserve"> L</w:t>
      </w:r>
      <w:r>
        <w:rPr>
          <w:rFonts w:hint="eastAsia"/>
          <w:sz w:val="24"/>
          <w:szCs w:val="24"/>
        </w:rPr>
        <w:t>i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bookmarkStart w:id="2" w:name="OLE_LINK4"/>
      <w:r>
        <w:rPr>
          <w:sz w:val="24"/>
          <w:szCs w:val="24"/>
        </w:rPr>
        <w:t>Jianwei Wang</w:t>
      </w:r>
      <w:bookmarkEnd w:id="2"/>
      <w:r>
        <w:rPr>
          <w:sz w:val="24"/>
          <w:szCs w:val="24"/>
          <w:vertAlign w:val="superscript"/>
        </w:rPr>
        <w:t>1</w:t>
      </w:r>
    </w:p>
    <w:p w14:paraId="1C094CA9">
      <w:pPr>
        <w:rPr>
          <w:sz w:val="24"/>
          <w:szCs w:val="24"/>
        </w:rPr>
      </w:pPr>
      <w:r>
        <w:rPr>
          <w:sz w:val="24"/>
          <w:szCs w:val="24"/>
        </w:rPr>
        <w:t>^These authors contribute equally.</w:t>
      </w:r>
    </w:p>
    <w:p w14:paraId="2BCEB2D5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bookmarkStart w:id="3" w:name="OLE_LINK6"/>
      <w:r>
        <w:rPr>
          <w:sz w:val="24"/>
          <w:szCs w:val="24"/>
        </w:rPr>
        <w:t>Department of Urology Surgery, Beijing Jishuitan Hospital, Capital Medical University</w:t>
      </w:r>
      <w:bookmarkEnd w:id="3"/>
      <w:r>
        <w:rPr>
          <w:sz w:val="24"/>
          <w:szCs w:val="24"/>
        </w:rPr>
        <w:t>, Beijing, 100069, China.</w:t>
      </w:r>
    </w:p>
    <w:p w14:paraId="33AF5B23">
      <w:pPr>
        <w:rPr>
          <w:sz w:val="24"/>
          <w:szCs w:val="24"/>
        </w:rPr>
      </w:pPr>
      <w:bookmarkStart w:id="4" w:name="_Hlk153477932"/>
      <w:r>
        <w:rPr>
          <w:rFonts w:hint="eastAsia"/>
          <w:sz w:val="24"/>
          <w:szCs w:val="24"/>
        </w:rPr>
        <w:t>E</w:t>
      </w:r>
      <w:r>
        <w:rPr>
          <w:sz w:val="24"/>
          <w:szCs w:val="24"/>
        </w:rPr>
        <w:t>-mail:</w:t>
      </w:r>
      <w:bookmarkEnd w:id="4"/>
      <w:r>
        <w:rPr>
          <w:sz w:val="24"/>
          <w:szCs w:val="24"/>
        </w:rPr>
        <w:t xml:space="preserve"> </w:t>
      </w:r>
      <w:bookmarkStart w:id="5" w:name="_Hlk153807195"/>
      <w:r>
        <w:rPr>
          <w:sz w:val="24"/>
          <w:szCs w:val="24"/>
        </w:rPr>
        <w:t>baozq1101@bjmu.edu.cn</w:t>
      </w:r>
      <w:bookmarkEnd w:id="5"/>
      <w:r>
        <w:rPr>
          <w:sz w:val="24"/>
          <w:szCs w:val="24"/>
        </w:rPr>
        <w:t xml:space="preserve"> (Z.B.); </w:t>
      </w:r>
      <w:bookmarkStart w:id="6" w:name="OLE_LINK10"/>
      <w:r>
        <w:rPr>
          <w:rFonts w:hint="eastAsia"/>
          <w:sz w:val="24"/>
          <w:szCs w:val="24"/>
        </w:rPr>
        <w:t>anjiaqi0709@mail.ccmu.edu.cn</w:t>
      </w:r>
      <w:bookmarkEnd w:id="6"/>
      <w:r>
        <w:rPr>
          <w:rFonts w:hint="eastAsia"/>
          <w:sz w:val="24"/>
          <w:szCs w:val="24"/>
        </w:rPr>
        <w:t xml:space="preserve"> (J.A.)</w:t>
      </w:r>
      <w:r>
        <w:rPr>
          <w:sz w:val="24"/>
          <w:szCs w:val="24"/>
        </w:rPr>
        <w:t>; lee_gz99@sohu.com (G.L.); wangjianwei77@126.com (J.W.)</w:t>
      </w:r>
    </w:p>
    <w:p w14:paraId="69482BAC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#</w:t>
      </w:r>
      <w:r>
        <w:rPr>
          <w:sz w:val="24"/>
          <w:szCs w:val="24"/>
        </w:rPr>
        <w:t>Correspondence:</w:t>
      </w:r>
    </w:p>
    <w:p w14:paraId="10C05D26">
      <w:pPr>
        <w:rPr>
          <w:sz w:val="24"/>
          <w:szCs w:val="24"/>
        </w:rPr>
      </w:pPr>
      <w:r>
        <w:rPr>
          <w:sz w:val="24"/>
          <w:szCs w:val="24"/>
        </w:rPr>
        <w:t>Zhengqing Bao</w:t>
      </w:r>
    </w:p>
    <w:p w14:paraId="3EC2315A">
      <w:pPr>
        <w:rPr>
          <w:sz w:val="24"/>
          <w:szCs w:val="24"/>
        </w:rPr>
      </w:pPr>
      <w:r>
        <w:rPr>
          <w:sz w:val="24"/>
          <w:szCs w:val="24"/>
        </w:rPr>
        <w:t>Department of Urology Surgery, Beijing Jishuitan Hospital, Capital Medical University, Beijing, 100069, People's Republic of China.</w:t>
      </w:r>
    </w:p>
    <w:p w14:paraId="3AEC2C87">
      <w:pPr>
        <w:rPr>
          <w:sz w:val="24"/>
          <w:szCs w:val="24"/>
        </w:rPr>
      </w:pPr>
      <w:r>
        <w:rPr>
          <w:sz w:val="24"/>
          <w:szCs w:val="24"/>
        </w:rPr>
        <w:t xml:space="preserve">Tel: </w:t>
      </w:r>
      <w:bookmarkStart w:id="7" w:name="_Hlk182312859"/>
      <w:r>
        <w:rPr>
          <w:sz w:val="24"/>
          <w:szCs w:val="24"/>
        </w:rPr>
        <w:t>+86-10-58398207</w:t>
      </w:r>
      <w:bookmarkEnd w:id="7"/>
    </w:p>
    <w:p w14:paraId="117500ED">
      <w:pPr>
        <w:rPr>
          <w:sz w:val="24"/>
          <w:szCs w:val="24"/>
        </w:rPr>
      </w:pPr>
      <w:r>
        <w:rPr>
          <w:sz w:val="24"/>
          <w:szCs w:val="24"/>
        </w:rPr>
        <w:t>E-mail: baozq1101@bjmu.edu.cn</w:t>
      </w:r>
    </w:p>
    <w:p w14:paraId="5EFB444C">
      <w:pPr>
        <w:pStyle w:val="4"/>
        <w:spacing w:before="3" w:after="1"/>
        <w:rPr>
          <w:rFonts w:eastAsiaTheme="minorEastAsia"/>
          <w:lang w:eastAsia="zh-CN"/>
        </w:rPr>
      </w:pPr>
    </w:p>
    <w:p w14:paraId="6877FC03">
      <w:pPr>
        <w:pStyle w:val="4"/>
        <w:spacing w:before="3" w:after="1"/>
        <w:rPr>
          <w:rFonts w:eastAsiaTheme="minorEastAsia"/>
          <w:lang w:eastAsia="zh-CN"/>
        </w:rPr>
      </w:pPr>
    </w:p>
    <w:tbl>
      <w:tblPr>
        <w:tblStyle w:val="10"/>
        <w:tblW w:w="0" w:type="auto"/>
        <w:tblInd w:w="1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3252"/>
        <w:gridCol w:w="5820"/>
      </w:tblGrid>
      <w:tr w14:paraId="4BF7F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20" w:type="dxa"/>
            <w:gridSpan w:val="2"/>
            <w:shd w:val="clear" w:color="auto" w:fill="D9D9D9"/>
          </w:tcPr>
          <w:p w14:paraId="5E0BE836">
            <w:pPr>
              <w:pStyle w:val="12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</w:t>
            </w:r>
          </w:p>
        </w:tc>
        <w:tc>
          <w:tcPr>
            <w:tcW w:w="5820" w:type="dxa"/>
            <w:shd w:val="clear" w:color="auto" w:fill="D9D9D9"/>
          </w:tcPr>
          <w:p w14:paraId="09D859C1">
            <w:pPr>
              <w:pStyle w:val="12"/>
              <w:spacing w:line="276" w:lineRule="exact"/>
              <w:ind w:left="108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Brief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description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how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criteria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were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handled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 the meta-analysis</w:t>
            </w:r>
          </w:p>
        </w:tc>
      </w:tr>
      <w:tr w14:paraId="32E3E2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20" w:type="dxa"/>
            <w:gridSpan w:val="2"/>
          </w:tcPr>
          <w:p w14:paraId="02DC519E">
            <w:pPr>
              <w:pStyle w:val="12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background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should </w:t>
            </w:r>
            <w:r>
              <w:rPr>
                <w:b/>
                <w:spacing w:val="-2"/>
                <w:sz w:val="24"/>
              </w:rPr>
              <w:t>include</w:t>
            </w:r>
          </w:p>
        </w:tc>
        <w:tc>
          <w:tcPr>
            <w:tcW w:w="5820" w:type="dxa"/>
          </w:tcPr>
          <w:p w14:paraId="5933CA47">
            <w:pPr>
              <w:pStyle w:val="12"/>
              <w:ind w:left="0"/>
              <w:rPr>
                <w:sz w:val="24"/>
              </w:rPr>
            </w:pPr>
          </w:p>
        </w:tc>
      </w:tr>
      <w:tr w14:paraId="3BCCCC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68" w:type="dxa"/>
          </w:tcPr>
          <w:p w14:paraId="6B6BCDFF">
            <w:pPr>
              <w:pStyle w:val="12"/>
              <w:spacing w:line="293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21CAAF8B">
            <w:pPr>
              <w:pStyle w:val="12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Problem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definition</w:t>
            </w:r>
          </w:p>
        </w:tc>
        <w:tc>
          <w:tcPr>
            <w:tcW w:w="5820" w:type="dxa"/>
          </w:tcPr>
          <w:p w14:paraId="77BD1D5E">
            <w:pPr>
              <w:pStyle w:val="12"/>
              <w:ind w:left="108" w:right="107"/>
              <w:rPr>
                <w:sz w:val="24"/>
              </w:rPr>
            </w:pPr>
            <w:r>
              <w:rPr>
                <w:sz w:val="24"/>
              </w:rPr>
              <w:t>Growing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suggests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pretreatment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fibrinogen and albumin ratio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can serve as a prognostic marker in various malignancies.</w:t>
            </w:r>
          </w:p>
          <w:p w14:paraId="2D1C8FFE">
            <w:pPr>
              <w:pStyle w:val="12"/>
              <w:spacing w:line="270" w:lineRule="atLeast"/>
              <w:ind w:left="108" w:right="107"/>
              <w:rPr>
                <w:sz w:val="24"/>
              </w:rPr>
            </w:pPr>
            <w:r>
              <w:rPr>
                <w:sz w:val="24"/>
              </w:rPr>
              <w:t>However, the prognostic role of plasma fibrinogen and albumin ratio in urological carcinomas remains to be evaluated quantitatively.</w:t>
            </w:r>
          </w:p>
        </w:tc>
      </w:tr>
      <w:tr w14:paraId="626BAE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8" w:type="dxa"/>
          </w:tcPr>
          <w:p w14:paraId="3ABC10B2">
            <w:pPr>
              <w:pStyle w:val="12"/>
              <w:spacing w:line="294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5BD94292">
            <w:pPr>
              <w:pStyle w:val="12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Hypothesis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statement</w:t>
            </w:r>
          </w:p>
        </w:tc>
        <w:tc>
          <w:tcPr>
            <w:tcW w:w="5820" w:type="dxa"/>
          </w:tcPr>
          <w:p w14:paraId="38DBC6F0">
            <w:pPr>
              <w:pStyle w:val="12"/>
              <w:spacing w:line="276" w:lineRule="exact"/>
              <w:ind w:left="108" w:right="286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sz w:val="24"/>
              </w:rPr>
              <w:t>Elevated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preoperative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plasma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fibrinogen and albumin ratio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predict worse survival outcomes in urological carcinomas</w:t>
            </w:r>
            <w:r>
              <w:rPr>
                <w:rFonts w:hint="eastAsia" w:eastAsiaTheme="minorEastAsia"/>
                <w:sz w:val="24"/>
                <w:lang w:eastAsia="zh-CN"/>
              </w:rPr>
              <w:t>.</w:t>
            </w:r>
          </w:p>
        </w:tc>
      </w:tr>
      <w:tr w14:paraId="13CAA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468" w:type="dxa"/>
          </w:tcPr>
          <w:p w14:paraId="58085E2F">
            <w:pPr>
              <w:pStyle w:val="12"/>
              <w:spacing w:line="274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54120CDC">
            <w:pPr>
              <w:pStyle w:val="12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Description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2"/>
                <w:sz w:val="24"/>
              </w:rPr>
              <w:t xml:space="preserve"> outcomes</w:t>
            </w:r>
          </w:p>
        </w:tc>
        <w:tc>
          <w:tcPr>
            <w:tcW w:w="5820" w:type="dxa"/>
          </w:tcPr>
          <w:p w14:paraId="53844151">
            <w:pPr>
              <w:pStyle w:val="12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overall survival (OS), cancer-specific survival (CSS), and </w:t>
            </w:r>
            <w:r>
              <w:rPr>
                <w:rFonts w:hint="eastAsia" w:eastAsiaTheme="minorEastAsia"/>
                <w:sz w:val="24"/>
                <w:lang w:eastAsia="zh-CN"/>
              </w:rPr>
              <w:t>disease-</w:t>
            </w:r>
            <w:r>
              <w:rPr>
                <w:sz w:val="24"/>
              </w:rPr>
              <w:t>free survival (</w:t>
            </w:r>
            <w:r>
              <w:rPr>
                <w:rFonts w:hint="eastAsia" w:eastAsiaTheme="minorEastAsia"/>
                <w:sz w:val="24"/>
                <w:lang w:eastAsia="zh-CN"/>
              </w:rPr>
              <w:t>D</w:t>
            </w:r>
            <w:r>
              <w:rPr>
                <w:sz w:val="24"/>
              </w:rPr>
              <w:t>FS)</w:t>
            </w:r>
          </w:p>
        </w:tc>
      </w:tr>
      <w:tr w14:paraId="2E21BD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468" w:type="dxa"/>
          </w:tcPr>
          <w:p w14:paraId="5FAC6771">
            <w:pPr>
              <w:pStyle w:val="12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74093D54">
            <w:pPr>
              <w:pStyle w:val="12"/>
              <w:ind w:right="180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exposure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 intervention used</w:t>
            </w:r>
          </w:p>
        </w:tc>
        <w:tc>
          <w:tcPr>
            <w:tcW w:w="5820" w:type="dxa"/>
          </w:tcPr>
          <w:p w14:paraId="2182B335">
            <w:pPr>
              <w:pStyle w:val="12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Preoperative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plasma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fibrinogen and albumin ratio</w:t>
            </w:r>
          </w:p>
        </w:tc>
      </w:tr>
      <w:tr w14:paraId="348CEC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468" w:type="dxa"/>
          </w:tcPr>
          <w:p w14:paraId="5F60D89A">
            <w:pPr>
              <w:pStyle w:val="12"/>
              <w:spacing w:line="274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21626856">
            <w:pPr>
              <w:pStyle w:val="12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designs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used</w:t>
            </w:r>
          </w:p>
        </w:tc>
        <w:tc>
          <w:tcPr>
            <w:tcW w:w="5820" w:type="dxa"/>
          </w:tcPr>
          <w:p w14:paraId="57495D4B">
            <w:pPr>
              <w:pStyle w:val="12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Cohort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studies</w:t>
            </w:r>
          </w:p>
        </w:tc>
      </w:tr>
      <w:tr w14:paraId="4750C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468" w:type="dxa"/>
          </w:tcPr>
          <w:p w14:paraId="1D6BE76C">
            <w:pPr>
              <w:pStyle w:val="12"/>
              <w:spacing w:before="1" w:line="274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4F99E157">
            <w:pPr>
              <w:pStyle w:val="12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Study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population</w:t>
            </w:r>
          </w:p>
        </w:tc>
        <w:tc>
          <w:tcPr>
            <w:tcW w:w="5820" w:type="dxa"/>
          </w:tcPr>
          <w:p w14:paraId="5D66AEE7">
            <w:pPr>
              <w:pStyle w:val="12"/>
              <w:spacing w:line="274" w:lineRule="exact"/>
              <w:ind w:left="108"/>
              <w:rPr>
                <w:rFonts w:eastAsiaTheme="minorEastAsia"/>
                <w:sz w:val="24"/>
                <w:lang w:eastAsia="zh-CN"/>
              </w:rPr>
            </w:pPr>
            <w:r>
              <w:rPr>
                <w:rFonts w:eastAsiaTheme="minorEastAsia"/>
                <w:sz w:val="24"/>
                <w:lang w:eastAsia="zh-CN"/>
              </w:rPr>
              <w:t>P</w:t>
            </w:r>
            <w:r>
              <w:rPr>
                <w:rFonts w:hint="eastAsia" w:eastAsiaTheme="minorEastAsia"/>
                <w:sz w:val="24"/>
                <w:lang w:eastAsia="zh-CN"/>
              </w:rPr>
              <w:t xml:space="preserve">atients with </w:t>
            </w:r>
            <w:r>
              <w:rPr>
                <w:rFonts w:eastAsiaTheme="minorEastAsia"/>
                <w:sz w:val="24"/>
                <w:lang w:eastAsia="zh-CN"/>
              </w:rPr>
              <w:t>urological carcinomas</w:t>
            </w:r>
          </w:p>
        </w:tc>
      </w:tr>
      <w:tr w14:paraId="222D87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20" w:type="dxa"/>
            <w:gridSpan w:val="2"/>
          </w:tcPr>
          <w:p w14:paraId="02008549">
            <w:pPr>
              <w:pStyle w:val="12"/>
              <w:spacing w:line="276" w:lineRule="exact"/>
              <w:ind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search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strategy should include</w:t>
            </w:r>
          </w:p>
        </w:tc>
        <w:tc>
          <w:tcPr>
            <w:tcW w:w="5820" w:type="dxa"/>
          </w:tcPr>
          <w:p w14:paraId="6905E4F5">
            <w:pPr>
              <w:pStyle w:val="12"/>
              <w:ind w:left="0"/>
              <w:rPr>
                <w:sz w:val="24"/>
              </w:rPr>
            </w:pPr>
          </w:p>
        </w:tc>
      </w:tr>
      <w:tr w14:paraId="507BC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8" w:type="dxa"/>
          </w:tcPr>
          <w:p w14:paraId="47C6BE7D">
            <w:pPr>
              <w:pStyle w:val="12"/>
              <w:spacing w:line="294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2E86A97D">
            <w:pPr>
              <w:pStyle w:val="12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Qualifications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searchers</w:t>
            </w:r>
          </w:p>
        </w:tc>
        <w:tc>
          <w:tcPr>
            <w:tcW w:w="5820" w:type="dxa"/>
          </w:tcPr>
          <w:p w14:paraId="2B25495A">
            <w:pPr>
              <w:pStyle w:val="12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investigators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Zhengqing Bao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Jiaqi An</w:t>
            </w:r>
            <w:r>
              <w:rPr>
                <w:rFonts w:hint="eastAsia" w:eastAsiaTheme="minorEastAsia"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trained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systematic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searching.</w:t>
            </w:r>
          </w:p>
        </w:tc>
      </w:tr>
      <w:tr w14:paraId="5126D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468" w:type="dxa"/>
          </w:tcPr>
          <w:p w14:paraId="381285EE">
            <w:pPr>
              <w:pStyle w:val="12"/>
              <w:spacing w:line="274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39A8C15F">
            <w:pPr>
              <w:pStyle w:val="12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Search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strategy,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5820" w:type="dxa"/>
          </w:tcPr>
          <w:p w14:paraId="1A0F1F0C">
            <w:pPr>
              <w:pStyle w:val="12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detailed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supplement.</w:t>
            </w:r>
          </w:p>
        </w:tc>
      </w:tr>
    </w:tbl>
    <w:p w14:paraId="5A49382B">
      <w:pPr>
        <w:spacing w:line="273" w:lineRule="exact"/>
        <w:rPr>
          <w:sz w:val="24"/>
        </w:rPr>
        <w:sectPr>
          <w:footerReference r:id="rId3" w:type="default"/>
          <w:type w:val="continuous"/>
          <w:pgSz w:w="11910" w:h="16840"/>
          <w:pgMar w:top="1580" w:right="1340" w:bottom="1260" w:left="780" w:header="0" w:footer="1061" w:gutter="0"/>
          <w:pgNumType w:start="1"/>
          <w:cols w:space="720" w:num="1"/>
        </w:sectPr>
      </w:pPr>
    </w:p>
    <w:tbl>
      <w:tblPr>
        <w:tblStyle w:val="10"/>
        <w:tblW w:w="0" w:type="auto"/>
        <w:tblInd w:w="1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3252"/>
        <w:gridCol w:w="5820"/>
      </w:tblGrid>
      <w:tr w14:paraId="2BD2C2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8" w:type="dxa"/>
          </w:tcPr>
          <w:p w14:paraId="45FCA569">
            <w:pPr>
              <w:pStyle w:val="12"/>
              <w:ind w:left="0"/>
            </w:pPr>
          </w:p>
        </w:tc>
        <w:tc>
          <w:tcPr>
            <w:tcW w:w="3252" w:type="dxa"/>
          </w:tcPr>
          <w:p w14:paraId="0862742E">
            <w:pPr>
              <w:pStyle w:val="12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period included in the synthesis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keywords</w:t>
            </w:r>
          </w:p>
        </w:tc>
        <w:tc>
          <w:tcPr>
            <w:tcW w:w="5820" w:type="dxa"/>
          </w:tcPr>
          <w:p w14:paraId="440FC3AE">
            <w:pPr>
              <w:pStyle w:val="12"/>
              <w:ind w:left="0"/>
            </w:pPr>
          </w:p>
        </w:tc>
      </w:tr>
      <w:tr w14:paraId="334E78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8" w:type="dxa"/>
          </w:tcPr>
          <w:p w14:paraId="4F701BA1">
            <w:pPr>
              <w:pStyle w:val="12"/>
              <w:spacing w:line="294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1AE0BCD1">
            <w:pPr>
              <w:pStyle w:val="12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Databases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registries</w:t>
            </w:r>
          </w:p>
          <w:p w14:paraId="3AB862C9">
            <w:pPr>
              <w:pStyle w:val="12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searched</w:t>
            </w:r>
          </w:p>
        </w:tc>
        <w:tc>
          <w:tcPr>
            <w:tcW w:w="5820" w:type="dxa"/>
          </w:tcPr>
          <w:p w14:paraId="4EB29016">
            <w:pPr>
              <w:pStyle w:val="12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Web of Science, Embase, and PubMed</w:t>
            </w:r>
          </w:p>
        </w:tc>
      </w:tr>
      <w:tr w14:paraId="1347CF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8" w:type="dxa"/>
          </w:tcPr>
          <w:p w14:paraId="646CF9A7">
            <w:pPr>
              <w:pStyle w:val="12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43B26265">
            <w:pPr>
              <w:pStyle w:val="12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Search software used, name 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version,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special </w:t>
            </w:r>
            <w:r>
              <w:rPr>
                <w:spacing w:val="-2"/>
                <w:sz w:val="24"/>
              </w:rPr>
              <w:t>features</w:t>
            </w:r>
          </w:p>
        </w:tc>
        <w:tc>
          <w:tcPr>
            <w:tcW w:w="5820" w:type="dxa"/>
          </w:tcPr>
          <w:p w14:paraId="2D7597A8">
            <w:pPr>
              <w:pStyle w:val="12"/>
              <w:ind w:left="108" w:right="107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sz w:val="24"/>
              </w:rPr>
              <w:t>We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employ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software.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EndNote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used to merge retrieved citations and eliminate duplications</w:t>
            </w:r>
            <w:r>
              <w:rPr>
                <w:rFonts w:hint="eastAsia" w:eastAsiaTheme="minorEastAsia"/>
                <w:sz w:val="24"/>
                <w:lang w:eastAsia="zh-CN"/>
              </w:rPr>
              <w:t>.</w:t>
            </w:r>
          </w:p>
        </w:tc>
      </w:tr>
      <w:tr w14:paraId="64321C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68" w:type="dxa"/>
          </w:tcPr>
          <w:p w14:paraId="44E25A04">
            <w:pPr>
              <w:pStyle w:val="12"/>
              <w:spacing w:before="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3AA41F4C">
            <w:pPr>
              <w:pStyle w:val="12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searching</w:t>
            </w:r>
          </w:p>
        </w:tc>
        <w:tc>
          <w:tcPr>
            <w:tcW w:w="5820" w:type="dxa"/>
          </w:tcPr>
          <w:p w14:paraId="45518A44">
            <w:pPr>
              <w:pStyle w:val="12"/>
              <w:spacing w:line="276" w:lineRule="exact"/>
              <w:ind w:left="108" w:right="107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hand-searched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bibliographies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retrieved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papers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 additional references</w:t>
            </w:r>
            <w:r>
              <w:rPr>
                <w:rFonts w:hint="eastAsia" w:eastAsiaTheme="minorEastAsia"/>
                <w:sz w:val="24"/>
                <w:lang w:eastAsia="zh-CN"/>
              </w:rPr>
              <w:t>.</w:t>
            </w:r>
          </w:p>
        </w:tc>
      </w:tr>
      <w:tr w14:paraId="71A57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68" w:type="dxa"/>
          </w:tcPr>
          <w:p w14:paraId="717C7DD7">
            <w:pPr>
              <w:pStyle w:val="12"/>
              <w:spacing w:before="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4FF4A068">
            <w:pPr>
              <w:pStyle w:val="12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citations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located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and those excluded, including </w:t>
            </w:r>
            <w:r>
              <w:rPr>
                <w:spacing w:val="-2"/>
                <w:sz w:val="24"/>
              </w:rPr>
              <w:t>justifications</w:t>
            </w:r>
          </w:p>
        </w:tc>
        <w:tc>
          <w:tcPr>
            <w:tcW w:w="5820" w:type="dxa"/>
          </w:tcPr>
          <w:p w14:paraId="76BAA6FF">
            <w:pPr>
              <w:pStyle w:val="12"/>
              <w:ind w:left="108" w:right="107"/>
              <w:rPr>
                <w:sz w:val="24"/>
              </w:rPr>
            </w:pPr>
            <w:r>
              <w:rPr>
                <w:sz w:val="24"/>
              </w:rPr>
              <w:t>Details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literature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outlined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flow chart.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 citation list is available upon request.</w:t>
            </w:r>
          </w:p>
        </w:tc>
      </w:tr>
      <w:tr w14:paraId="782124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8" w:type="dxa"/>
          </w:tcPr>
          <w:p w14:paraId="72C9C1BF">
            <w:pPr>
              <w:pStyle w:val="12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411AC0C9">
            <w:pPr>
              <w:pStyle w:val="12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Method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addressing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articles published in languages other than English</w:t>
            </w:r>
          </w:p>
        </w:tc>
        <w:tc>
          <w:tcPr>
            <w:tcW w:w="5820" w:type="dxa"/>
          </w:tcPr>
          <w:p w14:paraId="3A62B75C">
            <w:pPr>
              <w:pStyle w:val="12"/>
              <w:spacing w:line="273" w:lineRule="exact"/>
              <w:ind w:left="108"/>
              <w:rPr>
                <w:sz w:val="24"/>
              </w:rPr>
            </w:pPr>
            <w:r>
              <w:rPr>
                <w:rFonts w:hint="eastAsia" w:eastAsia="等线" w:cs="Times New Roman"/>
                <w:kern w:val="2"/>
                <w:sz w:val="24"/>
                <w:szCs w:val="24"/>
                <w:lang w:val="en-US" w:eastAsia="zh-CN" w:bidi="ar"/>
              </w:rPr>
              <w:t>N</w:t>
            </w:r>
            <w:bookmarkStart w:id="8" w:name="_GoBack"/>
            <w:bookmarkEnd w:id="8"/>
            <w:r>
              <w:rPr>
                <w:rFonts w:hint="default" w:ascii="Times New Roman" w:hAnsi="Times New Roman" w:eastAsia="等线" w:cs="Times New Roman"/>
                <w:kern w:val="2"/>
                <w:sz w:val="24"/>
                <w:szCs w:val="24"/>
                <w:lang w:val="en-US" w:eastAsia="zh-CN" w:bidi="ar"/>
              </w:rPr>
              <w:t>o language restrictions applied</w:t>
            </w:r>
          </w:p>
        </w:tc>
      </w:tr>
      <w:tr w14:paraId="3253D8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68" w:type="dxa"/>
          </w:tcPr>
          <w:p w14:paraId="2A75D7CC">
            <w:pPr>
              <w:pStyle w:val="12"/>
              <w:spacing w:line="294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05E473EC">
            <w:pPr>
              <w:pStyle w:val="12"/>
              <w:ind w:right="180"/>
              <w:rPr>
                <w:sz w:val="24"/>
              </w:rPr>
            </w:pPr>
            <w:r>
              <w:rPr>
                <w:sz w:val="24"/>
              </w:rPr>
              <w:t>Method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abstracts and unpublished studies</w:t>
            </w:r>
          </w:p>
        </w:tc>
        <w:tc>
          <w:tcPr>
            <w:tcW w:w="5820" w:type="dxa"/>
          </w:tcPr>
          <w:p w14:paraId="283FCACD">
            <w:pPr>
              <w:pStyle w:val="12"/>
              <w:ind w:left="108" w:right="286"/>
              <w:rPr>
                <w:sz w:val="24"/>
              </w:rPr>
            </w:pPr>
            <w:r>
              <w:rPr>
                <w:sz w:val="24"/>
              </w:rPr>
              <w:t>We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proceedings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papers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assessed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for eligibility according to our inclusion and exclusion </w:t>
            </w:r>
            <w:r>
              <w:rPr>
                <w:spacing w:val="-2"/>
                <w:sz w:val="24"/>
              </w:rPr>
              <w:t>criteria.</w:t>
            </w:r>
          </w:p>
        </w:tc>
      </w:tr>
      <w:tr w14:paraId="0E71FE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8" w:type="dxa"/>
          </w:tcPr>
          <w:p w14:paraId="55A322D8">
            <w:pPr>
              <w:pStyle w:val="12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6E7C905B">
            <w:pPr>
              <w:pStyle w:val="12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Description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with </w:t>
            </w:r>
            <w:r>
              <w:rPr>
                <w:spacing w:val="-2"/>
                <w:sz w:val="24"/>
              </w:rPr>
              <w:t>authors</w:t>
            </w:r>
          </w:p>
        </w:tc>
        <w:tc>
          <w:tcPr>
            <w:tcW w:w="5820" w:type="dxa"/>
          </w:tcPr>
          <w:p w14:paraId="3BBAF5BC">
            <w:pPr>
              <w:pStyle w:val="12"/>
              <w:spacing w:line="276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full-text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original article, so the authors were not contacted.</w:t>
            </w:r>
          </w:p>
        </w:tc>
      </w:tr>
      <w:tr w14:paraId="4870A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20" w:type="dxa"/>
            <w:gridSpan w:val="2"/>
          </w:tcPr>
          <w:p w14:paraId="4646A9DF">
            <w:pPr>
              <w:pStyle w:val="12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methods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should </w:t>
            </w:r>
            <w:r>
              <w:rPr>
                <w:b/>
                <w:spacing w:val="-2"/>
                <w:sz w:val="24"/>
              </w:rPr>
              <w:t>include</w:t>
            </w:r>
          </w:p>
        </w:tc>
        <w:tc>
          <w:tcPr>
            <w:tcW w:w="5820" w:type="dxa"/>
          </w:tcPr>
          <w:p w14:paraId="1FEFAA9A">
            <w:pPr>
              <w:pStyle w:val="12"/>
              <w:ind w:left="0"/>
            </w:pPr>
          </w:p>
        </w:tc>
      </w:tr>
      <w:tr w14:paraId="494D40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68" w:type="dxa"/>
          </w:tcPr>
          <w:p w14:paraId="23CCFDF2">
            <w:pPr>
              <w:pStyle w:val="12"/>
              <w:spacing w:line="293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0A36FEE4">
            <w:pPr>
              <w:pStyle w:val="12"/>
              <w:rPr>
                <w:sz w:val="24"/>
              </w:rPr>
            </w:pPr>
            <w:r>
              <w:rPr>
                <w:sz w:val="24"/>
              </w:rPr>
              <w:t>Description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relevance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 appropriateness of studies assembled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assessing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7ADD195C">
            <w:pPr>
              <w:pStyle w:val="12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hypothesis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tested</w:t>
            </w:r>
          </w:p>
        </w:tc>
        <w:tc>
          <w:tcPr>
            <w:tcW w:w="5820" w:type="dxa"/>
          </w:tcPr>
          <w:p w14:paraId="0F22E8E5">
            <w:pPr>
              <w:pStyle w:val="12"/>
              <w:ind w:left="108" w:right="286"/>
              <w:rPr>
                <w:sz w:val="24"/>
              </w:rPr>
            </w:pPr>
            <w:r>
              <w:rPr>
                <w:sz w:val="24"/>
              </w:rPr>
              <w:t>Detailed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exclusion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criteria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described in the methods section.</w:t>
            </w:r>
          </w:p>
        </w:tc>
      </w:tr>
      <w:tr w14:paraId="02579B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68" w:type="dxa"/>
          </w:tcPr>
          <w:p w14:paraId="33A02385">
            <w:pPr>
              <w:pStyle w:val="12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217F8082">
            <w:pPr>
              <w:pStyle w:val="12"/>
              <w:rPr>
                <w:sz w:val="24"/>
              </w:rPr>
            </w:pPr>
            <w:r>
              <w:rPr>
                <w:sz w:val="24"/>
              </w:rPr>
              <w:t>Rationale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 coding of data</w:t>
            </w:r>
          </w:p>
        </w:tc>
        <w:tc>
          <w:tcPr>
            <w:tcW w:w="5820" w:type="dxa"/>
          </w:tcPr>
          <w:p w14:paraId="3371B0E0">
            <w:pPr>
              <w:pStyle w:val="12"/>
              <w:ind w:left="108" w:right="168"/>
              <w:rPr>
                <w:sz w:val="24"/>
              </w:rPr>
            </w:pPr>
            <w:r>
              <w:rPr>
                <w:sz w:val="24"/>
              </w:rPr>
              <w:t>Two reviewers independently extracted data from all eligible studies using a predesigned data-abstraction sheet. Data extracted from studies included the name of the first author, year of publication, country, tumor site, sample size, age, gender, cut-off value, follow- up duration,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outcome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(HRs,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95%CI)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2B9B5D50">
            <w:pPr>
              <w:pStyle w:val="12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survival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(univariate/multivariate)</w:t>
            </w:r>
          </w:p>
        </w:tc>
      </w:tr>
      <w:tr w14:paraId="38327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468" w:type="dxa"/>
          </w:tcPr>
          <w:p w14:paraId="75E35AFE">
            <w:pPr>
              <w:pStyle w:val="12"/>
              <w:spacing w:line="274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2E26C15B">
            <w:pPr>
              <w:pStyle w:val="12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Assessment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confounding</w:t>
            </w:r>
          </w:p>
        </w:tc>
        <w:tc>
          <w:tcPr>
            <w:tcW w:w="5820" w:type="dxa"/>
          </w:tcPr>
          <w:p w14:paraId="1FD48D03">
            <w:pPr>
              <w:pStyle w:val="12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</w:t>
            </w:r>
          </w:p>
        </w:tc>
      </w:tr>
      <w:tr w14:paraId="12A04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468" w:type="dxa"/>
          </w:tcPr>
          <w:p w14:paraId="02AB0B45">
            <w:pPr>
              <w:pStyle w:val="12"/>
              <w:spacing w:before="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76DC0A37">
            <w:pPr>
              <w:pStyle w:val="12"/>
              <w:ind w:right="180"/>
              <w:rPr>
                <w:sz w:val="24"/>
              </w:rPr>
            </w:pPr>
            <w:r>
              <w:rPr>
                <w:sz w:val="24"/>
              </w:rPr>
              <w:t>Assessment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quality, including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blinding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quality assessors; stratification or regression on possible predictors of study results</w:t>
            </w:r>
          </w:p>
        </w:tc>
        <w:tc>
          <w:tcPr>
            <w:tcW w:w="5820" w:type="dxa"/>
          </w:tcPr>
          <w:p w14:paraId="7280CA01">
            <w:pPr>
              <w:pStyle w:val="12"/>
              <w:ind w:left="108" w:right="333"/>
              <w:rPr>
                <w:sz w:val="24"/>
              </w:rPr>
            </w:pPr>
            <w:r>
              <w:rPr>
                <w:sz w:val="24"/>
              </w:rPr>
              <w:t>The quality of studies was assessed according to the "Newcastle-Ottawa Scale (NOS)" for cohort studies. Studies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deemed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good quality. Quality assessment were applied independently by two investigators (Zhengqing Bao and Jiaqi An), disagreements were solved by the</w:t>
            </w:r>
          </w:p>
          <w:p w14:paraId="51D27A07">
            <w:pPr>
              <w:pStyle w:val="12"/>
              <w:spacing w:line="276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>intervention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reviewer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(Guizhong Li)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discussion in the group.</w:t>
            </w:r>
          </w:p>
        </w:tc>
      </w:tr>
      <w:tr w14:paraId="3A59D3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68" w:type="dxa"/>
          </w:tcPr>
          <w:p w14:paraId="2ACA74CE">
            <w:pPr>
              <w:pStyle w:val="12"/>
              <w:spacing w:before="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33EFD0FD">
            <w:pPr>
              <w:pStyle w:val="12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Assessment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heterogeneity</w:t>
            </w:r>
          </w:p>
        </w:tc>
        <w:tc>
          <w:tcPr>
            <w:tcW w:w="5820" w:type="dxa"/>
          </w:tcPr>
          <w:p w14:paraId="12313EB3">
            <w:pPr>
              <w:pStyle w:val="12"/>
              <w:ind w:left="108" w:right="107"/>
              <w:rPr>
                <w:sz w:val="24"/>
              </w:rPr>
            </w:pPr>
            <w:r>
              <w:rPr>
                <w:sz w:val="24"/>
              </w:rPr>
              <w:t>Cochran's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Q-test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Higgins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statistics(I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carried out to evaluate the heterogeneity of included studies.</w:t>
            </w:r>
          </w:p>
          <w:p w14:paraId="063F02C4">
            <w:pPr>
              <w:pStyle w:val="12"/>
              <w:spacing w:line="276" w:lineRule="exact"/>
              <w:ind w:left="108" w:right="286"/>
              <w:rPr>
                <w:sz w:val="24"/>
              </w:rPr>
            </w:pPr>
            <w:r>
              <w:rPr>
                <w:sz w:val="24"/>
              </w:rPr>
              <w:t>Statistical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heterogeneity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existed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 I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&gt;50% or P&lt;0.05.</w:t>
            </w:r>
          </w:p>
        </w:tc>
      </w:tr>
      <w:tr w14:paraId="6FA94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468" w:type="dxa"/>
          </w:tcPr>
          <w:p w14:paraId="230DD560">
            <w:pPr>
              <w:pStyle w:val="12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64BF87C2">
            <w:pPr>
              <w:pStyle w:val="12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Description of statistical methods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sufficient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 be replicated</w:t>
            </w:r>
          </w:p>
        </w:tc>
        <w:tc>
          <w:tcPr>
            <w:tcW w:w="5820" w:type="dxa"/>
          </w:tcPr>
          <w:p w14:paraId="22C80D0C">
            <w:pPr>
              <w:pStyle w:val="12"/>
              <w:spacing w:line="276" w:lineRule="exact"/>
              <w:ind w:left="108" w:right="286"/>
              <w:rPr>
                <w:sz w:val="24"/>
              </w:rPr>
            </w:pPr>
            <w:r>
              <w:rPr>
                <w:sz w:val="24"/>
              </w:rPr>
              <w:t>Description of methods of meta-analyses, subgroup analyses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publication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detailed in the methods.</w:t>
            </w:r>
          </w:p>
        </w:tc>
      </w:tr>
    </w:tbl>
    <w:p w14:paraId="4C9F7CC3">
      <w:pPr>
        <w:spacing w:line="276" w:lineRule="exact"/>
        <w:rPr>
          <w:sz w:val="24"/>
        </w:rPr>
        <w:sectPr>
          <w:type w:val="continuous"/>
          <w:pgSz w:w="11910" w:h="16840"/>
          <w:pgMar w:top="1420" w:right="1340" w:bottom="1260" w:left="780" w:header="0" w:footer="1061" w:gutter="0"/>
          <w:cols w:space="720" w:num="1"/>
        </w:sectPr>
      </w:pPr>
    </w:p>
    <w:tbl>
      <w:tblPr>
        <w:tblStyle w:val="10"/>
        <w:tblW w:w="0" w:type="auto"/>
        <w:tblInd w:w="1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3252"/>
        <w:gridCol w:w="5820"/>
      </w:tblGrid>
      <w:tr w14:paraId="042EFC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8" w:type="dxa"/>
          </w:tcPr>
          <w:p w14:paraId="1D823310">
            <w:pPr>
              <w:pStyle w:val="12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26EDA7B5">
            <w:pPr>
              <w:pStyle w:val="12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tables and graphics</w:t>
            </w:r>
          </w:p>
        </w:tc>
        <w:tc>
          <w:tcPr>
            <w:tcW w:w="5820" w:type="dxa"/>
          </w:tcPr>
          <w:p w14:paraId="06479BC1">
            <w:pPr>
              <w:pStyle w:val="12"/>
              <w:spacing w:line="276" w:lineRule="exact"/>
              <w:ind w:left="108" w:right="144"/>
              <w:rPr>
                <w:sz w:val="24"/>
              </w:rPr>
            </w:pPr>
            <w:r>
              <w:rPr>
                <w:sz w:val="24"/>
              </w:rPr>
              <w:t xml:space="preserve">We included </w:t>
            </w:r>
            <w:r>
              <w:rPr>
                <w:rFonts w:hint="eastAsia" w:eastAsiaTheme="minorEastAsia"/>
                <w:sz w:val="24"/>
                <w:lang w:eastAsia="zh-CN"/>
              </w:rPr>
              <w:t>3</w:t>
            </w:r>
            <w:r>
              <w:rPr>
                <w:sz w:val="24"/>
              </w:rPr>
              <w:t xml:space="preserve"> tables and </w:t>
            </w:r>
            <w:r>
              <w:rPr>
                <w:rFonts w:hint="eastAsia" w:eastAsiaTheme="minorEastAsia"/>
                <w:sz w:val="24"/>
                <w:lang w:eastAsia="zh-CN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figures.</w:t>
            </w:r>
          </w:p>
        </w:tc>
      </w:tr>
      <w:tr w14:paraId="24E791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20" w:type="dxa"/>
            <w:gridSpan w:val="2"/>
          </w:tcPr>
          <w:p w14:paraId="198C311F">
            <w:pPr>
              <w:pStyle w:val="12"/>
              <w:spacing w:line="276" w:lineRule="exact"/>
              <w:ind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results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should </w:t>
            </w:r>
            <w:r>
              <w:rPr>
                <w:b/>
                <w:spacing w:val="-2"/>
                <w:sz w:val="24"/>
              </w:rPr>
              <w:t>include</w:t>
            </w:r>
          </w:p>
        </w:tc>
        <w:tc>
          <w:tcPr>
            <w:tcW w:w="5820" w:type="dxa"/>
          </w:tcPr>
          <w:p w14:paraId="32453AA5">
            <w:pPr>
              <w:pStyle w:val="12"/>
              <w:ind w:left="0"/>
              <w:rPr>
                <w:sz w:val="24"/>
              </w:rPr>
            </w:pPr>
          </w:p>
        </w:tc>
      </w:tr>
      <w:tr w14:paraId="1E0BB2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68" w:type="dxa"/>
          </w:tcPr>
          <w:p w14:paraId="62BC1EC3">
            <w:pPr>
              <w:pStyle w:val="12"/>
              <w:spacing w:line="293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65F508DD">
            <w:pPr>
              <w:pStyle w:val="12"/>
              <w:rPr>
                <w:sz w:val="24"/>
              </w:rPr>
            </w:pPr>
            <w:r>
              <w:rPr>
                <w:sz w:val="24"/>
              </w:rPr>
              <w:t>Graph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summarizing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individual study estimates and overall</w:t>
            </w:r>
          </w:p>
          <w:p w14:paraId="0461E0F4">
            <w:pPr>
              <w:pStyle w:val="12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estimate</w:t>
            </w:r>
          </w:p>
        </w:tc>
        <w:tc>
          <w:tcPr>
            <w:tcW w:w="5820" w:type="dxa"/>
          </w:tcPr>
          <w:p w14:paraId="39FF9BE0">
            <w:pPr>
              <w:pStyle w:val="12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Figure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2A</w:t>
            </w:r>
          </w:p>
        </w:tc>
      </w:tr>
      <w:tr w14:paraId="53D0B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8" w:type="dxa"/>
          </w:tcPr>
          <w:p w14:paraId="41D70E75">
            <w:pPr>
              <w:pStyle w:val="12"/>
              <w:spacing w:before="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725269E1">
            <w:pPr>
              <w:pStyle w:val="12"/>
              <w:rPr>
                <w:sz w:val="24"/>
              </w:rPr>
            </w:pPr>
            <w:r>
              <w:rPr>
                <w:sz w:val="24"/>
              </w:rPr>
              <w:t>Table giving descriptive information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</w:p>
          <w:p w14:paraId="5EB4D299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included</w:t>
            </w:r>
          </w:p>
        </w:tc>
        <w:tc>
          <w:tcPr>
            <w:tcW w:w="5820" w:type="dxa"/>
          </w:tcPr>
          <w:p w14:paraId="5A002D25">
            <w:pPr>
              <w:pStyle w:val="12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Table </w:t>
            </w:r>
            <w:r>
              <w:rPr>
                <w:spacing w:val="-10"/>
                <w:sz w:val="24"/>
              </w:rPr>
              <w:t>1</w:t>
            </w:r>
          </w:p>
        </w:tc>
      </w:tr>
      <w:tr w14:paraId="236C1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68" w:type="dxa"/>
          </w:tcPr>
          <w:p w14:paraId="0A180238">
            <w:pPr>
              <w:pStyle w:val="12"/>
              <w:spacing w:before="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5619DDBB">
            <w:pPr>
              <w:pStyle w:val="12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Results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sensitivity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testing</w:t>
            </w:r>
          </w:p>
        </w:tc>
        <w:tc>
          <w:tcPr>
            <w:tcW w:w="5820" w:type="dxa"/>
          </w:tcPr>
          <w:p w14:paraId="395C4266">
            <w:pPr>
              <w:pStyle w:val="12"/>
              <w:spacing w:line="276" w:lineRule="exact"/>
              <w:ind w:left="108" w:right="114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sz w:val="24"/>
              </w:rPr>
              <w:t>The results of sensitivity analysis for OS</w:t>
            </w:r>
            <w:r>
              <w:rPr>
                <w:rFonts w:hint="eastAsia" w:eastAsiaTheme="minorEastAsia"/>
                <w:sz w:val="24"/>
                <w:lang w:eastAsia="zh-CN"/>
              </w:rPr>
              <w:t xml:space="preserve"> and D</w:t>
            </w:r>
            <w:r>
              <w:rPr>
                <w:sz w:val="24"/>
              </w:rPr>
              <w:t>FS</w:t>
            </w:r>
            <w:r>
              <w:rPr>
                <w:rFonts w:hint="eastAsia" w:eastAsiaTheme="minorEastAsia"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>outcomes demonstrated that the conclusions for OS</w:t>
            </w:r>
            <w:r>
              <w:rPr>
                <w:rFonts w:hint="eastAsia" w:eastAsiaTheme="minorEastAsia"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rFonts w:hint="eastAsia" w:eastAsiaTheme="minorEastAsia"/>
                <w:sz w:val="24"/>
                <w:lang w:eastAsia="zh-CN"/>
              </w:rPr>
              <w:t>D</w:t>
            </w:r>
            <w:r>
              <w:rPr>
                <w:sz w:val="24"/>
              </w:rPr>
              <w:t>FS were stable. Because the pooled HRs were not signiﬁcantly influenced by any exclusion of one study</w:t>
            </w:r>
            <w:r>
              <w:rPr>
                <w:rFonts w:hint="eastAsia" w:eastAsiaTheme="minorEastAsia"/>
                <w:sz w:val="24"/>
                <w:lang w:eastAsia="zh-CN"/>
              </w:rPr>
              <w:t>.</w:t>
            </w:r>
          </w:p>
        </w:tc>
      </w:tr>
      <w:tr w14:paraId="5AD07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8" w:type="dxa"/>
          </w:tcPr>
          <w:p w14:paraId="051634F2">
            <w:pPr>
              <w:pStyle w:val="12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3FF9DCD0">
            <w:pPr>
              <w:pStyle w:val="12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Indication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statistical uncertainty of</w:t>
            </w:r>
            <w:r>
              <w:rPr>
                <w:spacing w:val="-2"/>
                <w:sz w:val="24"/>
              </w:rPr>
              <w:t xml:space="preserve"> findings</w:t>
            </w:r>
          </w:p>
        </w:tc>
        <w:tc>
          <w:tcPr>
            <w:tcW w:w="5820" w:type="dxa"/>
          </w:tcPr>
          <w:p w14:paraId="6F98FA8A">
            <w:pPr>
              <w:pStyle w:val="12"/>
              <w:spacing w:line="276" w:lineRule="exact"/>
              <w:ind w:left="108" w:right="286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sz w:val="24"/>
              </w:rPr>
              <w:t>95%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confidence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intervals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presented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 summary estimates</w:t>
            </w:r>
            <w:r>
              <w:rPr>
                <w:rFonts w:hint="eastAsia" w:eastAsiaTheme="minorEastAsia"/>
                <w:sz w:val="24"/>
                <w:lang w:eastAsia="zh-CN"/>
              </w:rPr>
              <w:t>.</w:t>
            </w:r>
          </w:p>
        </w:tc>
      </w:tr>
      <w:tr w14:paraId="765877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20" w:type="dxa"/>
            <w:gridSpan w:val="2"/>
          </w:tcPr>
          <w:p w14:paraId="0B8A9869">
            <w:pPr>
              <w:pStyle w:val="12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discussion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should </w:t>
            </w:r>
            <w:r>
              <w:rPr>
                <w:b/>
                <w:spacing w:val="-2"/>
                <w:sz w:val="24"/>
              </w:rPr>
              <w:t>include</w:t>
            </w:r>
          </w:p>
        </w:tc>
        <w:tc>
          <w:tcPr>
            <w:tcW w:w="5820" w:type="dxa"/>
          </w:tcPr>
          <w:p w14:paraId="5F05A359">
            <w:pPr>
              <w:pStyle w:val="12"/>
              <w:ind w:left="0"/>
              <w:rPr>
                <w:sz w:val="24"/>
              </w:rPr>
            </w:pPr>
          </w:p>
        </w:tc>
      </w:tr>
      <w:tr w14:paraId="6D938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8" w:type="dxa"/>
          </w:tcPr>
          <w:p w14:paraId="3AF8F7F2">
            <w:pPr>
              <w:pStyle w:val="12"/>
              <w:spacing w:line="293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7C4CDE25">
            <w:pPr>
              <w:pStyle w:val="12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Quantitative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bias</w:t>
            </w:r>
          </w:p>
        </w:tc>
        <w:tc>
          <w:tcPr>
            <w:tcW w:w="5820" w:type="dxa"/>
          </w:tcPr>
          <w:p w14:paraId="2BF32C7A">
            <w:pPr>
              <w:pStyle w:val="12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observed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when</w:t>
            </w:r>
          </w:p>
          <w:p w14:paraId="2AFE01B0">
            <w:pPr>
              <w:pStyle w:val="12"/>
              <w:spacing w:line="259" w:lineRule="exact"/>
              <w:ind w:left="108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sz w:val="24"/>
              </w:rPr>
              <w:t>assessed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Begg’s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Egger’s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tests</w:t>
            </w:r>
            <w:r>
              <w:rPr>
                <w:rFonts w:hint="eastAsia" w:eastAsiaTheme="minorEastAsia"/>
                <w:spacing w:val="-2"/>
                <w:sz w:val="24"/>
                <w:lang w:eastAsia="zh-CN"/>
              </w:rPr>
              <w:t>.</w:t>
            </w:r>
          </w:p>
        </w:tc>
      </w:tr>
      <w:tr w14:paraId="281D1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8" w:type="dxa"/>
          </w:tcPr>
          <w:p w14:paraId="50B0519D">
            <w:pPr>
              <w:pStyle w:val="12"/>
              <w:spacing w:after="24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1737CD6D">
            <w:pPr>
              <w:pStyle w:val="12"/>
              <w:spacing w:after="240" w:line="273" w:lineRule="exact"/>
              <w:rPr>
                <w:sz w:val="24"/>
              </w:rPr>
            </w:pPr>
            <w:r>
              <w:rPr>
                <w:sz w:val="24"/>
              </w:rPr>
              <w:t>Justification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exclusion</w:t>
            </w:r>
          </w:p>
        </w:tc>
        <w:tc>
          <w:tcPr>
            <w:tcW w:w="5820" w:type="dxa"/>
          </w:tcPr>
          <w:p w14:paraId="52D09CD2">
            <w:pPr>
              <w:pStyle w:val="12"/>
              <w:spacing w:after="240" w:line="276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>Papers were excluded on the basis of exclusion criteria listed.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14:paraId="41D72B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8" w:type="dxa"/>
          </w:tcPr>
          <w:p w14:paraId="7EF15FC1">
            <w:pPr>
              <w:pStyle w:val="12"/>
              <w:spacing w:line="294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0CF3765D">
            <w:pPr>
              <w:pStyle w:val="12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Assessment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14:paraId="73107C03">
            <w:pPr>
              <w:pStyle w:val="12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included</w:t>
            </w:r>
            <w:r>
              <w:rPr>
                <w:spacing w:val="-2"/>
                <w:sz w:val="24"/>
              </w:rPr>
              <w:t xml:space="preserve"> studies</w:t>
            </w:r>
          </w:p>
        </w:tc>
        <w:tc>
          <w:tcPr>
            <w:tcW w:w="5820" w:type="dxa"/>
          </w:tcPr>
          <w:p w14:paraId="5A728210">
            <w:pPr>
              <w:pStyle w:val="12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eastAsia" w:eastAsiaTheme="minorEastAsia"/>
                <w:sz w:val="24"/>
                <w:lang w:eastAsia="zh-CN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eligible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good</w:t>
            </w:r>
          </w:p>
          <w:p w14:paraId="75F48D21">
            <w:pPr>
              <w:pStyle w:val="12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quality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assessed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system.</w:t>
            </w:r>
          </w:p>
        </w:tc>
      </w:tr>
      <w:tr w14:paraId="122560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20" w:type="dxa"/>
            <w:gridSpan w:val="2"/>
          </w:tcPr>
          <w:p w14:paraId="76B4E7B7">
            <w:pPr>
              <w:pStyle w:val="12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conclusions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should </w:t>
            </w:r>
            <w:r>
              <w:rPr>
                <w:b/>
                <w:spacing w:val="-2"/>
                <w:sz w:val="24"/>
              </w:rPr>
              <w:t>include</w:t>
            </w:r>
          </w:p>
        </w:tc>
        <w:tc>
          <w:tcPr>
            <w:tcW w:w="5820" w:type="dxa"/>
          </w:tcPr>
          <w:p w14:paraId="152A4853">
            <w:pPr>
              <w:pStyle w:val="12"/>
              <w:ind w:left="0"/>
              <w:rPr>
                <w:sz w:val="24"/>
              </w:rPr>
            </w:pPr>
          </w:p>
        </w:tc>
      </w:tr>
      <w:tr w14:paraId="2943C0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68" w:type="dxa"/>
          </w:tcPr>
          <w:p w14:paraId="3F038C6F">
            <w:pPr>
              <w:pStyle w:val="12"/>
              <w:spacing w:line="294" w:lineRule="exac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062F443C">
            <w:pPr>
              <w:pStyle w:val="12"/>
              <w:ind w:right="180"/>
              <w:rPr>
                <w:sz w:val="24"/>
              </w:rPr>
            </w:pPr>
            <w:r>
              <w:rPr>
                <w:sz w:val="24"/>
              </w:rPr>
              <w:t>Consideration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alternative explanations for observed </w:t>
            </w:r>
            <w:r>
              <w:rPr>
                <w:spacing w:val="-2"/>
                <w:sz w:val="24"/>
              </w:rPr>
              <w:t>results</w:t>
            </w:r>
          </w:p>
        </w:tc>
        <w:tc>
          <w:tcPr>
            <w:tcW w:w="5820" w:type="dxa"/>
          </w:tcPr>
          <w:p w14:paraId="5E597754">
            <w:pPr>
              <w:pStyle w:val="12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Fibrinogen and albumin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regulate the proliferation and angiogenesis of cancer cells and facilitate tumor</w:t>
            </w:r>
            <w:r>
              <w:rPr>
                <w:rFonts w:hint="eastAsia" w:eastAsiaTheme="minorEastAsia"/>
                <w:sz w:val="24"/>
                <w:lang w:eastAsia="zh-CN"/>
              </w:rPr>
              <w:t xml:space="preserve"> </w:t>
            </w:r>
            <w:r>
              <w:rPr>
                <w:spacing w:val="-2"/>
                <w:sz w:val="24"/>
              </w:rPr>
              <w:t>metastasis.</w:t>
            </w:r>
          </w:p>
        </w:tc>
      </w:tr>
      <w:tr w14:paraId="20571B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68" w:type="dxa"/>
          </w:tcPr>
          <w:p w14:paraId="274D6E7D">
            <w:pPr>
              <w:pStyle w:val="12"/>
              <w:spacing w:before="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609466D5">
            <w:pPr>
              <w:pStyle w:val="12"/>
              <w:ind w:right="180"/>
              <w:rPr>
                <w:sz w:val="24"/>
              </w:rPr>
            </w:pPr>
            <w:r>
              <w:rPr>
                <w:sz w:val="24"/>
              </w:rPr>
              <w:t>Generalization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conclusions</w:t>
            </w:r>
          </w:p>
        </w:tc>
        <w:tc>
          <w:tcPr>
            <w:tcW w:w="5820" w:type="dxa"/>
          </w:tcPr>
          <w:p w14:paraId="3839E6C6">
            <w:pPr>
              <w:pStyle w:val="12"/>
              <w:spacing w:line="276" w:lineRule="exact"/>
              <w:ind w:left="108" w:right="107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 w:eastAsiaTheme="minorEastAsia"/>
                <w:sz w:val="24"/>
                <w:lang w:eastAsia="zh-CN"/>
              </w:rPr>
              <w:t>A</w:t>
            </w:r>
            <w:r>
              <w:rPr>
                <w:sz w:val="24"/>
              </w:rPr>
              <w:t xml:space="preserve"> high preoperative FAR or a low preoperative AFR predicts poor prognosis in</w:t>
            </w:r>
            <w:r>
              <w:rPr>
                <w:rFonts w:hint="eastAsia" w:eastAsiaTheme="minorEastAsia"/>
                <w:sz w:val="24"/>
                <w:lang w:eastAsia="zh-CN"/>
              </w:rPr>
              <w:t xml:space="preserve"> </w:t>
            </w:r>
            <w:r>
              <w:rPr>
                <w:rFonts w:eastAsiaTheme="minorEastAsia"/>
                <w:sz w:val="24"/>
                <w:lang w:eastAsia="zh-CN"/>
              </w:rPr>
              <w:t>urological carcinomas</w:t>
            </w:r>
            <w:r>
              <w:rPr>
                <w:rFonts w:hint="eastAsia" w:eastAsiaTheme="minorEastAsia"/>
                <w:sz w:val="24"/>
                <w:lang w:eastAsia="zh-CN"/>
              </w:rPr>
              <w:t>.</w:t>
            </w:r>
          </w:p>
        </w:tc>
      </w:tr>
      <w:tr w14:paraId="7A53D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68" w:type="dxa"/>
          </w:tcPr>
          <w:p w14:paraId="48BDB14E">
            <w:pPr>
              <w:pStyle w:val="12"/>
              <w:spacing w:before="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3047E09E">
            <w:pPr>
              <w:pStyle w:val="12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Guidelines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research</w:t>
            </w:r>
          </w:p>
        </w:tc>
        <w:tc>
          <w:tcPr>
            <w:tcW w:w="5820" w:type="dxa"/>
          </w:tcPr>
          <w:p w14:paraId="5080DAB9">
            <w:pPr>
              <w:pStyle w:val="12"/>
              <w:spacing w:line="276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this </w:t>
            </w:r>
            <w:r>
              <w:rPr>
                <w:spacing w:val="-2"/>
                <w:sz w:val="24"/>
              </w:rPr>
              <w:t>relationship.</w:t>
            </w:r>
          </w:p>
        </w:tc>
      </w:tr>
      <w:tr w14:paraId="58D2E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468" w:type="dxa"/>
          </w:tcPr>
          <w:p w14:paraId="7D561106">
            <w:pPr>
              <w:pStyle w:val="12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</w:t>
            </w:r>
          </w:p>
        </w:tc>
        <w:tc>
          <w:tcPr>
            <w:tcW w:w="3252" w:type="dxa"/>
          </w:tcPr>
          <w:p w14:paraId="69D81614">
            <w:pPr>
              <w:pStyle w:val="12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Disclosure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source</w:t>
            </w:r>
          </w:p>
        </w:tc>
        <w:tc>
          <w:tcPr>
            <w:tcW w:w="5820" w:type="dxa"/>
          </w:tcPr>
          <w:p w14:paraId="21D3E3B2">
            <w:pPr>
              <w:pStyle w:val="12"/>
              <w:spacing w:before="197"/>
              <w:rPr>
                <w:sz w:val="24"/>
              </w:rPr>
            </w:pPr>
            <w:r>
              <w:rPr>
                <w:sz w:val="24"/>
              </w:rPr>
              <w:t>This study was supported by an intramural grant from our hospital</w:t>
            </w:r>
            <w:r>
              <w:rPr>
                <w:rFonts w:hint="eastAsia" w:eastAsiaTheme="minorEastAsia"/>
                <w:sz w:val="24"/>
                <w:lang w:eastAsia="zh-CN"/>
              </w:rPr>
              <w:t xml:space="preserve"> (YGQ-202504)</w:t>
            </w:r>
            <w:r>
              <w:rPr>
                <w:sz w:val="24"/>
              </w:rPr>
              <w:t>.</w:t>
            </w:r>
          </w:p>
        </w:tc>
      </w:tr>
    </w:tbl>
    <w:p w14:paraId="2D51DDB5">
      <w:pPr>
        <w:pStyle w:val="4"/>
        <w:ind w:right="17"/>
      </w:pPr>
    </w:p>
    <w:p w14:paraId="38B32931">
      <w:pPr>
        <w:pStyle w:val="4"/>
        <w:ind w:right="17"/>
      </w:pPr>
    </w:p>
    <w:p w14:paraId="4C401EBB">
      <w:pPr>
        <w:pStyle w:val="4"/>
        <w:ind w:right="17"/>
      </w:pPr>
    </w:p>
    <w:p w14:paraId="52E7D548">
      <w:pPr>
        <w:pStyle w:val="4"/>
        <w:ind w:right="17"/>
      </w:pPr>
    </w:p>
    <w:p w14:paraId="22EE13D5">
      <w:pPr>
        <w:pStyle w:val="4"/>
        <w:ind w:right="17"/>
      </w:pPr>
    </w:p>
    <w:p w14:paraId="227BA2B4">
      <w:pPr>
        <w:pStyle w:val="4"/>
        <w:ind w:right="17"/>
      </w:pPr>
    </w:p>
    <w:p w14:paraId="7C1DA270">
      <w:pPr>
        <w:pStyle w:val="4"/>
        <w:ind w:right="17"/>
      </w:pPr>
    </w:p>
    <w:p w14:paraId="17ED94BB">
      <w:pPr>
        <w:pStyle w:val="4"/>
        <w:ind w:right="17"/>
      </w:pPr>
    </w:p>
    <w:p w14:paraId="106F8F18">
      <w:pPr>
        <w:pStyle w:val="4"/>
        <w:ind w:right="17"/>
      </w:pPr>
    </w:p>
    <w:p w14:paraId="22D1584C">
      <w:pPr>
        <w:pStyle w:val="4"/>
        <w:ind w:right="17"/>
      </w:pPr>
    </w:p>
    <w:p w14:paraId="54352783">
      <w:pPr>
        <w:jc w:val="center"/>
        <w:rPr>
          <w:sz w:val="24"/>
          <w:szCs w:val="24"/>
        </w:rPr>
      </w:pPr>
      <w:r>
        <w:rPr>
          <w:sz w:val="24"/>
          <w:szCs w:val="24"/>
        </w:rPr>
        <w:t>Search Strategy</w:t>
      </w:r>
    </w:p>
    <w:p w14:paraId="1639A682">
      <w:pPr>
        <w:rPr>
          <w:sz w:val="24"/>
          <w:szCs w:val="24"/>
        </w:rPr>
      </w:pPr>
      <w:r>
        <w:rPr>
          <w:sz w:val="24"/>
          <w:szCs w:val="24"/>
        </w:rPr>
        <w:t>Pubmed</w:t>
      </w:r>
    </w:p>
    <w:p w14:paraId="3CB57B81">
      <w:pPr>
        <w:rPr>
          <w:sz w:val="24"/>
          <w:szCs w:val="24"/>
        </w:rPr>
      </w:pPr>
    </w:p>
    <w:p w14:paraId="194FD922">
      <w:pPr>
        <w:pStyle w:val="4"/>
        <w:ind w:right="17"/>
        <w:jc w:val="both"/>
      </w:pPr>
      <w:r>
        <w:rPr>
          <w:rFonts w:hint="eastAsia"/>
        </w:rPr>
        <w:t>((upper tract urothelial carcinoma) OR (bladder cancer) OR (renal cell carcinoma) OR (prostate cancer) OR (urological cancer)) AND ((fibrinogen to albumin) OR (fibrinogen</w:t>
      </w:r>
      <w:r>
        <w:rPr>
          <w:rFonts w:hint="eastAsia" w:eastAsia="宋体"/>
          <w:lang w:eastAsia="zh-CN"/>
        </w:rPr>
        <w:t xml:space="preserve"> and </w:t>
      </w:r>
      <w:r>
        <w:rPr>
          <w:rFonts w:hint="eastAsia"/>
        </w:rPr>
        <w:t>albumin))</w:t>
      </w:r>
    </w:p>
    <w:p w14:paraId="2749BBF4">
      <w:pPr>
        <w:pStyle w:val="4"/>
        <w:ind w:right="17"/>
        <w:jc w:val="both"/>
      </w:pPr>
    </w:p>
    <w:p w14:paraId="52BC47DF">
      <w:pPr>
        <w:pStyle w:val="4"/>
        <w:ind w:right="17"/>
        <w:jc w:val="both"/>
      </w:pPr>
      <w:r>
        <w:rPr>
          <w:rFonts w:hint="eastAsia"/>
        </w:rPr>
        <w:t>Web of science</w:t>
      </w:r>
    </w:p>
    <w:p w14:paraId="1C1E13C0">
      <w:pPr>
        <w:pStyle w:val="4"/>
        <w:ind w:right="17"/>
        <w:jc w:val="both"/>
      </w:pPr>
    </w:p>
    <w:p w14:paraId="48E86924">
      <w:pPr>
        <w:pStyle w:val="4"/>
        <w:ind w:right="17"/>
        <w:jc w:val="both"/>
      </w:pPr>
      <w:r>
        <w:rPr>
          <w:rFonts w:hint="eastAsia"/>
        </w:rPr>
        <w:t xml:space="preserve">((((((TS=(upper tract urothelial carcinoma)) OR TS=(bladder cancer)) OR TS=(renal cell carcinoma)) OR TS=(prostate cancer)) OR TS=(urological cancer)) AND (TS=(fibrinogen to albumin) OR TS=(albumin </w:t>
      </w:r>
      <w:r>
        <w:rPr>
          <w:rFonts w:hint="eastAsia" w:eastAsia="宋体"/>
          <w:lang w:eastAsia="zh-CN"/>
        </w:rPr>
        <w:t>and</w:t>
      </w:r>
      <w:r>
        <w:rPr>
          <w:rFonts w:hint="eastAsia"/>
        </w:rPr>
        <w:t xml:space="preserve"> fibrinogen))</w:t>
      </w:r>
    </w:p>
    <w:p w14:paraId="1716735B">
      <w:pPr>
        <w:pStyle w:val="4"/>
        <w:ind w:right="17"/>
        <w:jc w:val="both"/>
      </w:pPr>
    </w:p>
    <w:p w14:paraId="53542567">
      <w:pPr>
        <w:pStyle w:val="4"/>
        <w:ind w:right="17"/>
        <w:jc w:val="both"/>
      </w:pPr>
      <w:r>
        <w:rPr>
          <w:rFonts w:hint="eastAsia"/>
        </w:rPr>
        <w:t>Embase</w:t>
      </w:r>
    </w:p>
    <w:p w14:paraId="5E2BB4DC">
      <w:pPr>
        <w:pStyle w:val="4"/>
        <w:ind w:right="17"/>
        <w:jc w:val="both"/>
      </w:pPr>
    </w:p>
    <w:p w14:paraId="4DC650F6">
      <w:pPr>
        <w:pStyle w:val="4"/>
        <w:ind w:right="17"/>
        <w:jc w:val="both"/>
      </w:pPr>
      <w:r>
        <w:rPr>
          <w:rFonts w:hint="eastAsia"/>
        </w:rPr>
        <w:t>('upper tract urothelial carcinoma'/exp OR 'upper tract urothelial carcinoma' OR 'bladder cancer'/exp OR 'bladder cancer' OR 'renal cell carcinoma'/exp OR  'renal cell carcinoma' OR 'prostate cancer'/exp OR 'prostate cancer' OR 'urological cancer'/exp) OR 'urological cancer') AND ('fibrinogen to albumin'/exp OR 'fibrinogen to albumin' OR 'albumin and fibrinogen'/exp OR 'albumin and fibrinogen')</w:t>
      </w:r>
    </w:p>
    <w:p w14:paraId="4C1CBC91">
      <w:pPr>
        <w:pStyle w:val="4"/>
        <w:ind w:right="17"/>
      </w:pPr>
    </w:p>
    <w:sectPr>
      <w:pgSz w:w="11910" w:h="16840"/>
      <w:pgMar w:top="1580" w:right="1340" w:bottom="1260" w:left="780" w:header="0" w:footer="106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4A35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9879330</wp:posOffset>
              </wp:positionV>
              <wp:extent cx="153035" cy="153670"/>
              <wp:effectExtent l="0" t="0" r="0" b="0"/>
              <wp:wrapNone/>
              <wp:docPr id="713244300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ADE7D5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docshape1" o:spid="_x0000_s1026" o:spt="202" type="#_x0000_t202" style="position:absolute;left:0pt;margin-left:292pt;margin-top:777.9pt;height:12.1pt;width:12.05pt;mso-position-horizontal-relative:page;mso-position-vertical-relative:page;z-index:-251657216;mso-width-relative:page;mso-height-relative:page;" filled="f" stroked="f" coordsize="21600,21600" o:gfxdata="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hYGQTZAAAADQEAAA8AAAAAAAAAAQAgAAAAIgAAAGRycy9k&#10;b3ducmV2LnhtbFBLAQIUABQAAAAIAIdO4kAeGvo8AQIAAAoEAAAOAAAAAAAAAAEAIAAAACg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FADE7D5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0"/>
  <w:displayVerticalDrawingGridEvery w:val="2"/>
  <w:characterSpacingControl w:val="doNotCompress"/>
  <w:compat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B5"/>
    <w:rsid w:val="000C171C"/>
    <w:rsid w:val="001176F2"/>
    <w:rsid w:val="001828B5"/>
    <w:rsid w:val="003C09D6"/>
    <w:rsid w:val="003F340F"/>
    <w:rsid w:val="00417A63"/>
    <w:rsid w:val="00477854"/>
    <w:rsid w:val="004A7C9F"/>
    <w:rsid w:val="004F217D"/>
    <w:rsid w:val="00557DD9"/>
    <w:rsid w:val="005623DE"/>
    <w:rsid w:val="006558A5"/>
    <w:rsid w:val="006D6231"/>
    <w:rsid w:val="00785330"/>
    <w:rsid w:val="007B15B1"/>
    <w:rsid w:val="007F199E"/>
    <w:rsid w:val="00961F5C"/>
    <w:rsid w:val="00967A81"/>
    <w:rsid w:val="009F19F8"/>
    <w:rsid w:val="00A1307B"/>
    <w:rsid w:val="00C46D7F"/>
    <w:rsid w:val="00CF25D3"/>
    <w:rsid w:val="00D11534"/>
    <w:rsid w:val="00D14CA4"/>
    <w:rsid w:val="00DC63E8"/>
    <w:rsid w:val="00E80798"/>
    <w:rsid w:val="00E86006"/>
    <w:rsid w:val="00EA6351"/>
    <w:rsid w:val="00EF0D8B"/>
    <w:rsid w:val="00F924B4"/>
    <w:rsid w:val="00FB2F67"/>
    <w:rsid w:val="3EDA0E08"/>
    <w:rsid w:val="4B426781"/>
    <w:rsid w:val="532D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60"/>
      <w:ind w:left="660"/>
      <w:outlineLvl w:val="0"/>
    </w:pPr>
    <w:rPr>
      <w:b/>
      <w:bCs/>
      <w:sz w:val="28"/>
      <w:szCs w:val="28"/>
    </w:rPr>
  </w:style>
  <w:style w:type="paragraph" w:styleId="3">
    <w:name w:val="heading 2"/>
    <w:basedOn w:val="1"/>
    <w:unhideWhenUsed/>
    <w:qFormat/>
    <w:uiPriority w:val="9"/>
    <w:pPr>
      <w:ind w:left="660"/>
      <w:outlineLvl w:val="1"/>
    </w:pPr>
    <w:rPr>
      <w:b/>
      <w:bCs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  <w:pPr>
      <w:ind w:left="107"/>
    </w:pPr>
  </w:style>
  <w:style w:type="character" w:customStyle="1" w:styleId="13">
    <w:name w:val="页眉 字符"/>
    <w:basedOn w:val="8"/>
    <w:link w:val="6"/>
    <w:uiPriority w:val="99"/>
    <w:rPr>
      <w:rFonts w:ascii="Times New Roman" w:hAnsi="Times New Roman" w:eastAsia="Times New Roman" w:cs="Times New Roman"/>
      <w:sz w:val="18"/>
      <w:szCs w:val="18"/>
    </w:rPr>
  </w:style>
  <w:style w:type="character" w:customStyle="1" w:styleId="14">
    <w:name w:val="页脚 字符"/>
    <w:basedOn w:val="8"/>
    <w:link w:val="5"/>
    <w:qFormat/>
    <w:uiPriority w:val="99"/>
    <w:rPr>
      <w:rFonts w:ascii="Times New Roman" w:hAnsi="Times New Roman" w:eastAsia="Times New Roman" w:cs="Times New Roman"/>
      <w:sz w:val="18"/>
      <w:szCs w:val="18"/>
    </w:rPr>
  </w:style>
  <w:style w:type="character" w:customStyle="1" w:styleId="15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962</Words>
  <Characters>5938</Characters>
  <Lines>49</Lines>
  <Paragraphs>13</Paragraphs>
  <TotalTime>17</TotalTime>
  <ScaleCrop>false</ScaleCrop>
  <LinksUpToDate>false</LinksUpToDate>
  <CharactersWithSpaces>6765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2024-08-15T22:27:00Z</dcterms:created>
  <dc:creator>ivy</dc:creator>
  <cp:lastModifiedBy>Ashley</cp:lastModifiedBy>
  <dcterms:modified xsi:type="dcterms:W3CDTF">2026-04-09T04:45:53Z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2023-12-23T00:00:00Z</vt:filetime>
  </property>
  <property fmtid="{D5CDD505-2E9C-101B-9397-08002B2CF9AE}" pid="5" name="KSOTemplateDocerSaveRecord">
    <vt:lpwstr>eyJoZGlkIjoiODg2OTMwMmRmYzhmMzBlMGRiYzFkNDJlYTYzMTU5NmQiLCJ1c2VySWQiOiIyODA5MDM5MzEifQ==</vt:lpwstr>
  </property>
  <property fmtid="{D5CDD505-2E9C-101B-9397-08002B2CF9AE}" pid="6" name="KSOProductBuildVer">
    <vt:lpwstr>2052-12.1.0.25225</vt:lpwstr>
  </property>
  <property fmtid="{D5CDD505-2E9C-101B-9397-08002B2CF9AE}" pid="7" name="ICV">
    <vt:lpwstr>08908A24C0514ED89AC300F9FCA6E574_12</vt:lpwstr>
  </property>
</Properties>
</file>