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0E9" w:rsidRPr="00A600E9" w:rsidRDefault="00A600E9" w:rsidP="00A600E9">
      <w:pPr>
        <w:widowControl/>
        <w:spacing w:before="100" w:beforeAutospacing="1" w:after="100" w:afterAutospacing="1"/>
        <w:outlineLvl w:val="0"/>
        <w:rPr>
          <w:rFonts w:ascii="Times New Roman" w:eastAsia="新細明體" w:hAnsi="Times New Roman" w:cs="Times New Roman"/>
          <w:b/>
          <w:bCs/>
          <w:kern w:val="36"/>
          <w:sz w:val="28"/>
          <w:szCs w:val="28"/>
        </w:rPr>
      </w:pPr>
      <w:r w:rsidRPr="00A600E9">
        <w:rPr>
          <w:rFonts w:ascii="Times New Roman" w:eastAsia="新細明體" w:hAnsi="Times New Roman" w:cs="Times New Roman"/>
          <w:b/>
          <w:bCs/>
          <w:kern w:val="36"/>
          <w:sz w:val="28"/>
          <w:szCs w:val="28"/>
        </w:rPr>
        <w:t>Highlights</w:t>
      </w:r>
    </w:p>
    <w:p w:rsidR="00A600E9" w:rsidRPr="00A600E9" w:rsidRDefault="00A600E9" w:rsidP="00A600E9">
      <w:pPr>
        <w:pStyle w:val="a3"/>
        <w:widowControl/>
        <w:numPr>
          <w:ilvl w:val="0"/>
          <w:numId w:val="2"/>
        </w:numPr>
        <w:spacing w:line="360" w:lineRule="auto"/>
        <w:ind w:leftChars="0" w:left="284" w:hanging="284"/>
        <w:outlineLvl w:val="0"/>
        <w:rPr>
          <w:rFonts w:ascii="Times New Roman" w:eastAsia="新細明體" w:hAnsi="Times New Roman" w:cs="Times New Roman"/>
          <w:kern w:val="0"/>
          <w:szCs w:val="24"/>
        </w:rPr>
      </w:pPr>
      <w:r w:rsidRPr="00A600E9">
        <w:rPr>
          <w:rFonts w:ascii="Times New Roman" w:eastAsia="新細明體" w:hAnsi="Times New Roman" w:cs="Times New Roman"/>
          <w:kern w:val="0"/>
          <w:szCs w:val="24"/>
        </w:rPr>
        <w:t>Hydrodynamic transport controls FPV fire-derived pollutant dispersion</w:t>
      </w:r>
      <w:r>
        <w:rPr>
          <w:rFonts w:ascii="Times New Roman" w:eastAsia="新細明體" w:hAnsi="Times New Roman" w:cs="Times New Roman"/>
          <w:kern w:val="0"/>
          <w:szCs w:val="24"/>
        </w:rPr>
        <w:t>.</w:t>
      </w:r>
      <w:bookmarkStart w:id="0" w:name="_GoBack"/>
      <w:bookmarkEnd w:id="0"/>
      <w:r w:rsidRPr="00A600E9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:rsidR="00A600E9" w:rsidRPr="00A600E9" w:rsidRDefault="00A600E9" w:rsidP="00A600E9">
      <w:pPr>
        <w:pStyle w:val="a3"/>
        <w:widowControl/>
        <w:numPr>
          <w:ilvl w:val="0"/>
          <w:numId w:val="2"/>
        </w:numPr>
        <w:spacing w:line="360" w:lineRule="auto"/>
        <w:ind w:leftChars="0" w:left="284" w:hanging="284"/>
        <w:rPr>
          <w:rFonts w:ascii="Times New Roman" w:eastAsia="新細明體" w:hAnsi="Times New Roman" w:cs="Times New Roman"/>
          <w:kern w:val="0"/>
          <w:szCs w:val="24"/>
        </w:rPr>
      </w:pPr>
      <w:r w:rsidRPr="00A600E9">
        <w:rPr>
          <w:rFonts w:ascii="Times New Roman" w:eastAsia="新細明體" w:hAnsi="Times New Roman" w:cs="Times New Roman"/>
          <w:kern w:val="0"/>
          <w:szCs w:val="24"/>
        </w:rPr>
        <w:t>EFDC+ resolves dilution, mixing, and receptor-level exposure</w:t>
      </w:r>
      <w:r>
        <w:rPr>
          <w:rFonts w:ascii="Times New Roman" w:eastAsia="新細明體" w:hAnsi="Times New Roman" w:cs="Times New Roman"/>
          <w:kern w:val="0"/>
          <w:szCs w:val="24"/>
        </w:rPr>
        <w:t>.</w:t>
      </w:r>
      <w:r w:rsidRPr="00A600E9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:rsidR="00A600E9" w:rsidRPr="00A600E9" w:rsidRDefault="00A600E9" w:rsidP="00A600E9">
      <w:pPr>
        <w:pStyle w:val="a3"/>
        <w:widowControl/>
        <w:numPr>
          <w:ilvl w:val="0"/>
          <w:numId w:val="2"/>
        </w:numPr>
        <w:spacing w:line="360" w:lineRule="auto"/>
        <w:ind w:leftChars="0" w:left="284" w:hanging="284"/>
        <w:rPr>
          <w:rFonts w:ascii="Times New Roman" w:eastAsia="新細明體" w:hAnsi="Times New Roman" w:cs="Times New Roman"/>
          <w:kern w:val="0"/>
          <w:szCs w:val="24"/>
        </w:rPr>
      </w:pPr>
      <w:r w:rsidRPr="00A600E9">
        <w:rPr>
          <w:rFonts w:ascii="Times New Roman" w:eastAsia="新細明體" w:hAnsi="Times New Roman" w:cs="Times New Roman"/>
          <w:kern w:val="0"/>
          <w:szCs w:val="24"/>
        </w:rPr>
        <w:t>AIoT indicators constrain uncertainty in emission scaling</w:t>
      </w:r>
      <w:r>
        <w:rPr>
          <w:rFonts w:ascii="Times New Roman" w:eastAsia="新細明體" w:hAnsi="Times New Roman" w:cs="Times New Roman"/>
          <w:kern w:val="0"/>
          <w:szCs w:val="24"/>
        </w:rPr>
        <w:t>.</w:t>
      </w:r>
      <w:r w:rsidRPr="00A600E9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:rsidR="00A600E9" w:rsidRPr="00A600E9" w:rsidRDefault="00A600E9" w:rsidP="00A600E9">
      <w:pPr>
        <w:pStyle w:val="a3"/>
        <w:widowControl/>
        <w:numPr>
          <w:ilvl w:val="0"/>
          <w:numId w:val="2"/>
        </w:numPr>
        <w:spacing w:line="360" w:lineRule="auto"/>
        <w:ind w:leftChars="0" w:left="284" w:hanging="284"/>
        <w:rPr>
          <w:rFonts w:ascii="Times New Roman" w:eastAsia="新細明體" w:hAnsi="Times New Roman" w:cs="Times New Roman"/>
          <w:kern w:val="0"/>
          <w:szCs w:val="24"/>
        </w:rPr>
      </w:pPr>
      <w:r w:rsidRPr="00A600E9">
        <w:rPr>
          <w:rFonts w:ascii="Times New Roman" w:eastAsia="新細明體" w:hAnsi="Times New Roman" w:cs="Times New Roman"/>
          <w:kern w:val="0"/>
          <w:szCs w:val="24"/>
        </w:rPr>
        <w:t>Transient concentration peaks dominate short-term exposure</w:t>
      </w:r>
      <w:r>
        <w:rPr>
          <w:rFonts w:ascii="Times New Roman" w:eastAsia="新細明體" w:hAnsi="Times New Roman" w:cs="Times New Roman"/>
          <w:kern w:val="0"/>
          <w:szCs w:val="24"/>
        </w:rPr>
        <w:t>.</w:t>
      </w:r>
      <w:r w:rsidRPr="00A600E9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:rsidR="00A600E9" w:rsidRPr="00A600E9" w:rsidRDefault="00A600E9" w:rsidP="00A600E9">
      <w:pPr>
        <w:pStyle w:val="a3"/>
        <w:widowControl/>
        <w:numPr>
          <w:ilvl w:val="0"/>
          <w:numId w:val="2"/>
        </w:numPr>
        <w:spacing w:line="360" w:lineRule="auto"/>
        <w:ind w:leftChars="0" w:left="284" w:hanging="284"/>
        <w:rPr>
          <w:rFonts w:ascii="Times New Roman" w:eastAsia="新細明體" w:hAnsi="Times New Roman" w:cs="Times New Roman"/>
          <w:kern w:val="0"/>
          <w:szCs w:val="24"/>
        </w:rPr>
      </w:pPr>
      <w:r w:rsidRPr="00A600E9">
        <w:rPr>
          <w:rFonts w:ascii="Times New Roman" w:eastAsia="新細明體" w:hAnsi="Times New Roman" w:cs="Times New Roman"/>
          <w:kern w:val="0"/>
          <w:szCs w:val="24"/>
        </w:rPr>
        <w:t>Results support screening-level environmental assessment</w:t>
      </w:r>
      <w:r>
        <w:rPr>
          <w:rFonts w:ascii="Times New Roman" w:eastAsia="新細明體" w:hAnsi="Times New Roman" w:cs="Times New Roman"/>
          <w:kern w:val="0"/>
          <w:szCs w:val="24"/>
        </w:rPr>
        <w:t>.</w:t>
      </w:r>
    </w:p>
    <w:p w:rsidR="00F065B6" w:rsidRPr="00A600E9" w:rsidRDefault="00F065B6"/>
    <w:sectPr w:rsidR="00F065B6" w:rsidRPr="00A600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D72D2"/>
    <w:multiLevelType w:val="multilevel"/>
    <w:tmpl w:val="5680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21C45"/>
    <w:multiLevelType w:val="hybridMultilevel"/>
    <w:tmpl w:val="3022EB1A"/>
    <w:lvl w:ilvl="0" w:tplc="0D386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7F"/>
    <w:rsid w:val="00675F7F"/>
    <w:rsid w:val="00A600E9"/>
    <w:rsid w:val="00F0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0BA66"/>
  <w15:chartTrackingRefBased/>
  <w15:docId w15:val="{E0EB85A2-1FD7-476E-BF36-40E516E6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A600E9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600E9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A600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2026-04-08T15:11:00Z</dcterms:created>
  <dcterms:modified xsi:type="dcterms:W3CDTF">2026-04-08T15:15:00Z</dcterms:modified>
</cp:coreProperties>
</file>