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10E73" w14:textId="77777777" w:rsidR="002F52E7" w:rsidRDefault="002F52E7">
      <w:pPr>
        <w:widowControl w:val="0"/>
        <w:kinsoku w:val="0"/>
        <w:overflowPunct w:val="0"/>
        <w:rPr>
          <w:rFonts w:ascii="Times New Roman" w:hAnsi="Times New Roman" w:cs="Times New Roman"/>
          <w:sz w:val="21"/>
          <w:szCs w:val="21"/>
          <w:lang w:eastAsia="zh-CN"/>
        </w:rPr>
      </w:pPr>
    </w:p>
    <w:p w14:paraId="6A9538A7" w14:textId="77777777" w:rsidR="002F52E7" w:rsidRDefault="002F52E7">
      <w:pPr>
        <w:widowControl w:val="0"/>
        <w:kinsoku w:val="0"/>
        <w:overflowPunct w:val="0"/>
        <w:rPr>
          <w:rFonts w:ascii="Times New Roman" w:hAnsi="Times New Roman" w:cs="Times New Roman"/>
          <w:sz w:val="21"/>
          <w:szCs w:val="21"/>
          <w:lang w:eastAsia="zh-CN"/>
        </w:rPr>
      </w:pPr>
    </w:p>
    <w:p w14:paraId="79AB429E" w14:textId="77777777" w:rsidR="002F52E7" w:rsidRDefault="00000000">
      <w:pPr>
        <w:widowControl w:val="0"/>
        <w:kinsoku w:val="0"/>
        <w:overflowPunct w:val="0"/>
        <w:jc w:val="center"/>
        <w:rPr>
          <w:rFonts w:ascii="Times New Roman" w:hAnsi="Times New Roman" w:cs="Times New Roman"/>
          <w:b/>
          <w:bCs/>
          <w:sz w:val="21"/>
          <w:szCs w:val="21"/>
          <w:lang w:eastAsia="zh-CN"/>
        </w:rPr>
      </w:pPr>
      <w:r>
        <w:rPr>
          <w:rFonts w:ascii="Times New Roman" w:hAnsi="Times New Roman" w:cs="Times New Roman"/>
          <w:b/>
          <w:bCs/>
          <w:noProof/>
          <w:sz w:val="21"/>
          <w:szCs w:val="21"/>
          <w:lang w:eastAsia="zh-CN"/>
        </w:rPr>
        <w:drawing>
          <wp:inline distT="0" distB="0" distL="114300" distR="114300" wp14:anchorId="37AB3D45" wp14:editId="3F5A4633">
            <wp:extent cx="4577080" cy="6266815"/>
            <wp:effectExtent l="0" t="0" r="13970" b="635"/>
            <wp:docPr id="3" name="图片 3" descr="Fig1_GVIF_barplot_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1_GVIF_barplot_all"/>
                    <pic:cNvPicPr>
                      <a:picLocks noChangeAspect="1"/>
                    </pic:cNvPicPr>
                  </pic:nvPicPr>
                  <pic:blipFill>
                    <a:blip r:embed="rId5"/>
                    <a:stretch>
                      <a:fillRect/>
                    </a:stretch>
                  </pic:blipFill>
                  <pic:spPr>
                    <a:xfrm>
                      <a:off x="0" y="0"/>
                      <a:ext cx="4577080" cy="6266815"/>
                    </a:xfrm>
                    <a:prstGeom prst="rect">
                      <a:avLst/>
                    </a:prstGeom>
                  </pic:spPr>
                </pic:pic>
              </a:graphicData>
            </a:graphic>
          </wp:inline>
        </w:drawing>
      </w:r>
    </w:p>
    <w:p w14:paraId="3A27B371" w14:textId="77777777" w:rsidR="002F52E7" w:rsidRDefault="00000000">
      <w:pPr>
        <w:pStyle w:val="Caption"/>
        <w:widowControl w:val="0"/>
        <w:kinsoku w:val="0"/>
        <w:overflowPunct w:val="0"/>
        <w:jc w:val="center"/>
        <w:rPr>
          <w:rFonts w:ascii="Times New Roman" w:hAnsi="Times New Roman" w:cs="Times New Roman"/>
          <w:b/>
          <w:bCs/>
          <w:sz w:val="21"/>
          <w:szCs w:val="21"/>
          <w:lang w:eastAsia="zh-CN"/>
        </w:rPr>
      </w:pPr>
      <w:bookmarkStart w:id="0" w:name="_Ref13823"/>
      <w:r>
        <w:rPr>
          <w:rFonts w:ascii="Times New Roman" w:hAnsi="Times New Roman" w:cs="Times New Roman"/>
          <w:b/>
          <w:bCs/>
          <w:sz w:val="21"/>
          <w:szCs w:val="21"/>
        </w:rPr>
        <w:t xml:space="preserve">Supplementary Fig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Supplementary_Fig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1</w:t>
      </w:r>
      <w:r>
        <w:rPr>
          <w:rFonts w:ascii="Times New Roman" w:hAnsi="Times New Roman" w:cs="Times New Roman"/>
          <w:b/>
          <w:bCs/>
          <w:sz w:val="21"/>
          <w:szCs w:val="21"/>
        </w:rPr>
        <w:fldChar w:fldCharType="end"/>
      </w:r>
      <w:r>
        <w:rPr>
          <w:rFonts w:ascii="Times New Roman" w:hAnsi="Times New Roman" w:cs="Times New Roman"/>
          <w:sz w:val="21"/>
          <w:szCs w:val="21"/>
          <w:lang w:eastAsia="zh-CN"/>
        </w:rPr>
        <w:t xml:space="preserve"> Generalized Variance Inflation Factor (GVIF) analysis for the assessment of multicollinearity among predictor variables.</w:t>
      </w:r>
      <w:bookmarkEnd w:id="0"/>
    </w:p>
    <w:p w14:paraId="201BBC43" w14:textId="77777777" w:rsidR="002F52E7" w:rsidRDefault="002F52E7">
      <w:pPr>
        <w:widowControl w:val="0"/>
        <w:kinsoku w:val="0"/>
        <w:overflowPunct w:val="0"/>
        <w:rPr>
          <w:rFonts w:ascii="Times New Roman" w:hAnsi="Times New Roman" w:cs="Times New Roman"/>
          <w:sz w:val="21"/>
          <w:szCs w:val="21"/>
          <w:lang w:eastAsia="zh-CN"/>
        </w:rPr>
      </w:pPr>
    </w:p>
    <w:p w14:paraId="63121162" w14:textId="77777777" w:rsidR="002F52E7" w:rsidRDefault="002F52E7">
      <w:pPr>
        <w:widowControl w:val="0"/>
        <w:kinsoku w:val="0"/>
        <w:overflowPunct w:val="0"/>
        <w:rPr>
          <w:rFonts w:ascii="Times New Roman" w:hAnsi="Times New Roman" w:cs="Times New Roman"/>
          <w:sz w:val="21"/>
          <w:szCs w:val="21"/>
          <w:lang w:eastAsia="zh-CN"/>
        </w:rPr>
      </w:pPr>
    </w:p>
    <w:p w14:paraId="4731BB89" w14:textId="77777777" w:rsidR="002F52E7" w:rsidRDefault="002F52E7">
      <w:pPr>
        <w:widowControl w:val="0"/>
        <w:kinsoku w:val="0"/>
        <w:overflowPunct w:val="0"/>
        <w:rPr>
          <w:rFonts w:ascii="Times New Roman" w:hAnsi="Times New Roman" w:cs="Times New Roman"/>
          <w:sz w:val="21"/>
          <w:szCs w:val="21"/>
          <w:lang w:eastAsia="zh-CN"/>
        </w:rPr>
      </w:pPr>
    </w:p>
    <w:p w14:paraId="59F455ED" w14:textId="77777777" w:rsidR="002F52E7" w:rsidRDefault="002F52E7">
      <w:pPr>
        <w:widowControl w:val="0"/>
        <w:kinsoku w:val="0"/>
        <w:overflowPunct w:val="0"/>
        <w:rPr>
          <w:rFonts w:ascii="Times New Roman" w:hAnsi="Times New Roman" w:cs="Times New Roman"/>
          <w:sz w:val="21"/>
          <w:szCs w:val="21"/>
          <w:lang w:eastAsia="zh-CN"/>
        </w:rPr>
      </w:pPr>
    </w:p>
    <w:p w14:paraId="0D91592A" w14:textId="77777777" w:rsidR="002F52E7" w:rsidRDefault="002F52E7">
      <w:pPr>
        <w:widowControl w:val="0"/>
        <w:kinsoku w:val="0"/>
        <w:overflowPunct w:val="0"/>
        <w:rPr>
          <w:rFonts w:ascii="Times New Roman" w:hAnsi="Times New Roman" w:cs="Times New Roman"/>
          <w:sz w:val="21"/>
          <w:szCs w:val="21"/>
          <w:lang w:eastAsia="zh-CN"/>
        </w:rPr>
      </w:pPr>
    </w:p>
    <w:p w14:paraId="1C166199" w14:textId="77777777" w:rsidR="002F52E7" w:rsidRDefault="002F52E7">
      <w:pPr>
        <w:widowControl w:val="0"/>
        <w:kinsoku w:val="0"/>
        <w:overflowPunct w:val="0"/>
        <w:rPr>
          <w:rFonts w:ascii="Times New Roman" w:hAnsi="Times New Roman" w:cs="Times New Roman"/>
          <w:sz w:val="21"/>
          <w:szCs w:val="21"/>
          <w:lang w:eastAsia="zh-CN"/>
        </w:rPr>
      </w:pPr>
    </w:p>
    <w:p w14:paraId="21AAED0C" w14:textId="77777777" w:rsidR="002F52E7" w:rsidRDefault="002F52E7">
      <w:pPr>
        <w:widowControl w:val="0"/>
        <w:kinsoku w:val="0"/>
        <w:overflowPunct w:val="0"/>
        <w:rPr>
          <w:rFonts w:ascii="Times New Roman" w:hAnsi="Times New Roman" w:cs="Times New Roman"/>
          <w:sz w:val="21"/>
          <w:szCs w:val="21"/>
          <w:lang w:eastAsia="zh-CN"/>
        </w:rPr>
      </w:pPr>
    </w:p>
    <w:p w14:paraId="35549D42" w14:textId="77777777" w:rsidR="002F52E7" w:rsidRDefault="002F52E7">
      <w:pPr>
        <w:widowControl w:val="0"/>
        <w:kinsoku w:val="0"/>
        <w:overflowPunct w:val="0"/>
        <w:rPr>
          <w:rFonts w:ascii="Times New Roman" w:hAnsi="Times New Roman" w:cs="Times New Roman"/>
          <w:sz w:val="21"/>
          <w:szCs w:val="21"/>
          <w:lang w:eastAsia="zh-CN"/>
        </w:rPr>
      </w:pPr>
    </w:p>
    <w:p w14:paraId="0A21B3CA" w14:textId="77777777" w:rsidR="002F52E7" w:rsidRDefault="002F52E7">
      <w:pPr>
        <w:widowControl w:val="0"/>
        <w:kinsoku w:val="0"/>
        <w:overflowPunct w:val="0"/>
        <w:jc w:val="both"/>
        <w:rPr>
          <w:rFonts w:ascii="Times New Roman" w:hAnsi="Times New Roman" w:cs="Times New Roman"/>
          <w:b/>
          <w:bCs/>
          <w:sz w:val="21"/>
          <w:szCs w:val="21"/>
          <w:lang w:eastAsia="zh-CN"/>
        </w:rPr>
      </w:pPr>
    </w:p>
    <w:p w14:paraId="49FAF272" w14:textId="77777777" w:rsidR="002F52E7" w:rsidRDefault="002F52E7">
      <w:pPr>
        <w:widowControl w:val="0"/>
        <w:kinsoku w:val="0"/>
        <w:overflowPunct w:val="0"/>
        <w:jc w:val="center"/>
        <w:rPr>
          <w:rFonts w:ascii="Times New Roman" w:hAnsi="Times New Roman" w:cs="Times New Roman"/>
          <w:b/>
          <w:bCs/>
          <w:sz w:val="21"/>
          <w:szCs w:val="21"/>
          <w:lang w:eastAsia="zh-CN"/>
        </w:rPr>
      </w:pPr>
    </w:p>
    <w:p w14:paraId="3B33E3BE" w14:textId="77777777" w:rsidR="002F52E7" w:rsidRDefault="00000000">
      <w:pPr>
        <w:widowControl w:val="0"/>
        <w:kinsoku w:val="0"/>
        <w:overflowPunct w:val="0"/>
        <w:jc w:val="center"/>
        <w:rPr>
          <w:rFonts w:ascii="Times New Roman" w:hAnsi="Times New Roman" w:cs="Times New Roman"/>
          <w:b/>
          <w:bCs/>
          <w:sz w:val="21"/>
          <w:szCs w:val="21"/>
          <w:lang w:eastAsia="zh-CN"/>
        </w:rPr>
      </w:pPr>
      <w:r>
        <w:rPr>
          <w:rFonts w:ascii="Times New Roman" w:hAnsi="Times New Roman" w:cs="Times New Roman"/>
          <w:b/>
          <w:bCs/>
          <w:noProof/>
          <w:sz w:val="21"/>
          <w:szCs w:val="21"/>
          <w:lang w:eastAsia="zh-CN"/>
        </w:rPr>
        <w:drawing>
          <wp:inline distT="0" distB="0" distL="114300" distR="114300" wp14:anchorId="0543ECF8" wp14:editId="19E6A2CA">
            <wp:extent cx="6400800" cy="4572000"/>
            <wp:effectExtent l="0" t="0" r="0" b="0"/>
            <wp:docPr id="1" name="图片 1" descr="MissingPlot3_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issingPlot3_SCI"/>
                    <pic:cNvPicPr>
                      <a:picLocks noChangeAspect="1"/>
                    </pic:cNvPicPr>
                  </pic:nvPicPr>
                  <pic:blipFill>
                    <a:blip r:embed="rId6"/>
                    <a:stretch>
                      <a:fillRect/>
                    </a:stretch>
                  </pic:blipFill>
                  <pic:spPr>
                    <a:xfrm>
                      <a:off x="0" y="0"/>
                      <a:ext cx="6400800" cy="4572000"/>
                    </a:xfrm>
                    <a:prstGeom prst="rect">
                      <a:avLst/>
                    </a:prstGeom>
                  </pic:spPr>
                </pic:pic>
              </a:graphicData>
            </a:graphic>
          </wp:inline>
        </w:drawing>
      </w:r>
    </w:p>
    <w:p w14:paraId="50B4D22E" w14:textId="77777777" w:rsidR="002F52E7" w:rsidRDefault="00000000">
      <w:pPr>
        <w:pStyle w:val="Caption"/>
        <w:widowControl w:val="0"/>
        <w:kinsoku w:val="0"/>
        <w:overflowPunct w:val="0"/>
        <w:jc w:val="center"/>
        <w:rPr>
          <w:rFonts w:ascii="Times New Roman" w:eastAsiaTheme="minorEastAsia" w:hAnsi="Times New Roman" w:cs="Times New Roman"/>
          <w:sz w:val="21"/>
          <w:szCs w:val="21"/>
          <w:lang w:eastAsia="zh-CN"/>
        </w:rPr>
      </w:pPr>
      <w:bookmarkStart w:id="1" w:name="_Ref13914"/>
      <w:r>
        <w:rPr>
          <w:rFonts w:ascii="Times New Roman" w:hAnsi="Times New Roman" w:cs="Times New Roman"/>
          <w:b/>
          <w:bCs/>
          <w:sz w:val="21"/>
          <w:szCs w:val="21"/>
        </w:rPr>
        <w:t xml:space="preserve">Supplementary Fig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Supplementary_Fig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2</w:t>
      </w:r>
      <w:r>
        <w:rPr>
          <w:rFonts w:ascii="Times New Roman" w:hAnsi="Times New Roman" w:cs="Times New Roman"/>
          <w:b/>
          <w:bCs/>
          <w:sz w:val="21"/>
          <w:szCs w:val="21"/>
        </w:rPr>
        <w:fldChar w:fldCharType="end"/>
      </w:r>
      <w:r>
        <w:rPr>
          <w:rFonts w:ascii="Times New Roman" w:hAnsi="Times New Roman" w:cs="Times New Roman"/>
          <w:sz w:val="21"/>
          <w:szCs w:val="21"/>
          <w:lang w:eastAsia="zh-CN"/>
        </w:rPr>
        <w:t xml:space="preserve"> </w:t>
      </w:r>
      <w:r>
        <w:rPr>
          <w:rFonts w:ascii="Times New Roman" w:eastAsiaTheme="minorEastAsia" w:hAnsi="Times New Roman" w:cs="Times New Roman"/>
          <w:sz w:val="21"/>
          <w:szCs w:val="21"/>
          <w:lang w:eastAsia="zh-CN"/>
        </w:rPr>
        <w:t>Missing data profile of the study cohort</w:t>
      </w:r>
      <w:bookmarkEnd w:id="1"/>
    </w:p>
    <w:p w14:paraId="43F0069A" w14:textId="77777777" w:rsidR="002F52E7" w:rsidRDefault="00000000">
      <w:pPr>
        <w:widowControl w:val="0"/>
        <w:kinsoku w:val="0"/>
        <w:overflowPunct w:val="0"/>
        <w:jc w:val="center"/>
        <w:rPr>
          <w:rFonts w:ascii="Times New Roman" w:hAnsi="Times New Roman" w:cs="Times New Roman"/>
          <w:b/>
          <w:bCs/>
          <w:sz w:val="21"/>
          <w:szCs w:val="21"/>
          <w:lang w:eastAsia="zh-CN"/>
        </w:rPr>
      </w:pPr>
      <w:r>
        <w:rPr>
          <w:rFonts w:ascii="Times New Roman" w:hAnsi="Times New Roman" w:cs="Times New Roman"/>
          <w:b/>
          <w:bCs/>
          <w:noProof/>
          <w:sz w:val="21"/>
          <w:szCs w:val="21"/>
          <w:lang w:eastAsia="zh-CN"/>
        </w:rPr>
        <w:lastRenderedPageBreak/>
        <w:drawing>
          <wp:inline distT="0" distB="0" distL="114300" distR="114300" wp14:anchorId="3FFFD7CE" wp14:editId="5506CB0F">
            <wp:extent cx="4895850" cy="5875020"/>
            <wp:effectExtent l="0" t="0" r="0" b="11430"/>
            <wp:docPr id="6" name="图片 6" descr="Figure_Combined_Distribution_Max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_Combined_Distribution_Maxstat"/>
                    <pic:cNvPicPr>
                      <a:picLocks noChangeAspect="1"/>
                    </pic:cNvPicPr>
                  </pic:nvPicPr>
                  <pic:blipFill>
                    <a:blip r:embed="rId7"/>
                    <a:stretch>
                      <a:fillRect/>
                    </a:stretch>
                  </pic:blipFill>
                  <pic:spPr>
                    <a:xfrm>
                      <a:off x="0" y="0"/>
                      <a:ext cx="4895850" cy="5875020"/>
                    </a:xfrm>
                    <a:prstGeom prst="rect">
                      <a:avLst/>
                    </a:prstGeom>
                  </pic:spPr>
                </pic:pic>
              </a:graphicData>
            </a:graphic>
          </wp:inline>
        </w:drawing>
      </w:r>
    </w:p>
    <w:p w14:paraId="6A3A1E41" w14:textId="77777777" w:rsidR="002F52E7" w:rsidRDefault="00000000">
      <w:pPr>
        <w:pStyle w:val="Caption"/>
        <w:widowControl w:val="0"/>
        <w:kinsoku w:val="0"/>
        <w:overflowPunct w:val="0"/>
        <w:rPr>
          <w:rFonts w:ascii="Times New Roman" w:eastAsiaTheme="minorEastAsia" w:hAnsi="Times New Roman" w:cs="Times New Roman"/>
          <w:sz w:val="21"/>
          <w:szCs w:val="21"/>
          <w:lang w:eastAsia="zh-CN"/>
        </w:rPr>
      </w:pPr>
      <w:bookmarkStart w:id="2" w:name="_Ref16125"/>
      <w:r>
        <w:rPr>
          <w:rFonts w:ascii="Times New Roman" w:hAnsi="Times New Roman" w:cs="Times New Roman"/>
          <w:b/>
          <w:bCs/>
          <w:sz w:val="21"/>
          <w:szCs w:val="21"/>
        </w:rPr>
        <w:t xml:space="preserve">Supplementary Fig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Supplementary_Fig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3</w:t>
      </w:r>
      <w:r>
        <w:rPr>
          <w:rFonts w:ascii="Times New Roman" w:hAnsi="Times New Roman" w:cs="Times New Roman"/>
          <w:b/>
          <w:bCs/>
          <w:sz w:val="21"/>
          <w:szCs w:val="21"/>
        </w:rPr>
        <w:fldChar w:fldCharType="end"/>
      </w:r>
      <w:r>
        <w:rPr>
          <w:rFonts w:ascii="Times New Roman" w:hAnsi="Times New Roman" w:cs="Times New Roman"/>
          <w:sz w:val="21"/>
          <w:szCs w:val="21"/>
          <w:lang w:eastAsia="zh-CN"/>
        </w:rPr>
        <w:t xml:space="preserve"> </w:t>
      </w:r>
      <w:r>
        <w:rPr>
          <w:rFonts w:ascii="Times New Roman" w:eastAsiaTheme="minorEastAsia" w:hAnsi="Times New Roman" w:cs="Times New Roman"/>
          <w:sz w:val="21"/>
          <w:szCs w:val="21"/>
        </w:rPr>
        <w:t xml:space="preserve">(A) Distribution of SHR values stratified by the optimal binary </w:t>
      </w:r>
      <w:proofErr w:type="spellStart"/>
      <w:r>
        <w:rPr>
          <w:rFonts w:ascii="Times New Roman" w:eastAsiaTheme="minorEastAsia" w:hAnsi="Times New Roman" w:cs="Times New Roman"/>
          <w:sz w:val="21"/>
          <w:szCs w:val="21"/>
        </w:rPr>
        <w:t>cutpoint</w:t>
      </w:r>
      <w:proofErr w:type="spellEnd"/>
      <w:r>
        <w:rPr>
          <w:rFonts w:ascii="Times New Roman" w:eastAsiaTheme="minorEastAsia" w:hAnsi="Times New Roman" w:cs="Times New Roman"/>
          <w:sz w:val="21"/>
          <w:szCs w:val="21"/>
        </w:rPr>
        <w:t xml:space="preserve"> (SHR.25), with low (green) and high (orange) groups separated by the dashed vertical line.(B) Maximally selected rank statistics across candidate SHR </w:t>
      </w:r>
      <w:proofErr w:type="spellStart"/>
      <w:r>
        <w:rPr>
          <w:rFonts w:ascii="Times New Roman" w:eastAsiaTheme="minorEastAsia" w:hAnsi="Times New Roman" w:cs="Times New Roman"/>
          <w:sz w:val="21"/>
          <w:szCs w:val="21"/>
        </w:rPr>
        <w:t>cutpoints</w:t>
      </w:r>
      <w:proofErr w:type="spellEnd"/>
      <w:r>
        <w:rPr>
          <w:rFonts w:ascii="Times New Roman" w:eastAsiaTheme="minorEastAsia" w:hAnsi="Times New Roman" w:cs="Times New Roman"/>
          <w:sz w:val="21"/>
          <w:szCs w:val="21"/>
        </w:rPr>
        <w:t xml:space="preserve">; the dashed vertical line marks the optimal </w:t>
      </w:r>
      <w:proofErr w:type="spellStart"/>
      <w:r>
        <w:rPr>
          <w:rFonts w:ascii="Times New Roman" w:eastAsiaTheme="minorEastAsia" w:hAnsi="Times New Roman" w:cs="Times New Roman"/>
          <w:sz w:val="21"/>
          <w:szCs w:val="21"/>
        </w:rPr>
        <w:t>cutpoint</w:t>
      </w:r>
      <w:proofErr w:type="spellEnd"/>
      <w:r>
        <w:rPr>
          <w:rFonts w:ascii="Times New Roman" w:eastAsiaTheme="minorEastAsia" w:hAnsi="Times New Roman" w:cs="Times New Roman"/>
          <w:sz w:val="21"/>
          <w:szCs w:val="21"/>
        </w:rPr>
        <w:t xml:space="preserve"> (SHR.25) at the maximum standardized log-rank statistic.</w:t>
      </w:r>
      <w:bookmarkEnd w:id="2"/>
    </w:p>
    <w:p w14:paraId="52A79B6C" w14:textId="77777777" w:rsidR="002F52E7" w:rsidRDefault="002F52E7">
      <w:pPr>
        <w:widowControl w:val="0"/>
        <w:kinsoku w:val="0"/>
        <w:overflowPunct w:val="0"/>
        <w:rPr>
          <w:rFonts w:ascii="Times New Roman" w:hAnsi="Times New Roman" w:cs="Times New Roman"/>
          <w:sz w:val="21"/>
          <w:szCs w:val="21"/>
          <w:lang w:eastAsia="zh-CN"/>
        </w:rPr>
      </w:pPr>
    </w:p>
    <w:p w14:paraId="03026916" w14:textId="77777777" w:rsidR="002F52E7" w:rsidRDefault="002F52E7">
      <w:pPr>
        <w:widowControl w:val="0"/>
        <w:kinsoku w:val="0"/>
        <w:overflowPunct w:val="0"/>
        <w:rPr>
          <w:rFonts w:ascii="Times New Roman" w:hAnsi="Times New Roman" w:cs="Times New Roman"/>
          <w:sz w:val="21"/>
          <w:szCs w:val="21"/>
          <w:lang w:eastAsia="zh-CN"/>
        </w:rPr>
      </w:pPr>
    </w:p>
    <w:p w14:paraId="0E862538" w14:textId="77777777" w:rsidR="002F52E7" w:rsidRDefault="00000000">
      <w:pPr>
        <w:pStyle w:val="Caption"/>
        <w:widowControl w:val="0"/>
        <w:kinsoku w:val="0"/>
        <w:overflowPunct w:val="0"/>
        <w:rPr>
          <w:rFonts w:ascii="Times New Roman" w:hAnsi="Times New Roman" w:cs="Times New Roman"/>
          <w:sz w:val="21"/>
          <w:szCs w:val="21"/>
          <w:lang w:eastAsia="zh-CN"/>
        </w:rPr>
      </w:pPr>
      <w:bookmarkStart w:id="3" w:name="_Ref15034"/>
      <w:r>
        <w:rPr>
          <w:rFonts w:ascii="Times New Roman" w:hAnsi="Times New Roman" w:cs="Times New Roman"/>
          <w:b/>
          <w:bCs/>
          <w:sz w:val="21"/>
          <w:szCs w:val="21"/>
        </w:rPr>
        <w:t xml:space="preserve">Supplementary Table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Supplementary_Table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1</w:t>
      </w:r>
      <w:r>
        <w:rPr>
          <w:rFonts w:ascii="Times New Roman" w:hAnsi="Times New Roman" w:cs="Times New Roman"/>
          <w:b/>
          <w:bCs/>
          <w:sz w:val="21"/>
          <w:szCs w:val="21"/>
        </w:rPr>
        <w:fldChar w:fldCharType="end"/>
      </w:r>
      <w:r>
        <w:rPr>
          <w:rFonts w:ascii="Times New Roman" w:hAnsi="Times New Roman" w:cs="Times New Roman"/>
          <w:b/>
          <w:bCs/>
          <w:sz w:val="21"/>
          <w:szCs w:val="21"/>
          <w:lang w:eastAsia="zh-CN"/>
        </w:rPr>
        <w:t xml:space="preserve"> </w:t>
      </w:r>
      <w:r>
        <w:rPr>
          <w:rFonts w:ascii="Times New Roman" w:hAnsi="Times New Roman" w:cs="Times New Roman"/>
          <w:b/>
          <w:bCs/>
          <w:sz w:val="21"/>
          <w:szCs w:val="21"/>
        </w:rPr>
        <w:t xml:space="preserve"> </w:t>
      </w:r>
      <w:r>
        <w:rPr>
          <w:rFonts w:ascii="Times New Roman" w:hAnsi="Times New Roman" w:cs="Times New Roman"/>
          <w:sz w:val="21"/>
          <w:szCs w:val="21"/>
          <w:lang w:eastAsia="zh-CN"/>
        </w:rPr>
        <w:t>M</w:t>
      </w:r>
      <w:r>
        <w:rPr>
          <w:rFonts w:ascii="Times New Roman" w:eastAsiaTheme="minorEastAsia" w:hAnsi="Times New Roman" w:cs="Times New Roman"/>
          <w:sz w:val="21"/>
          <w:szCs w:val="21"/>
        </w:rPr>
        <w:t>ediation analysis of the effect of SHR on in-hospital</w:t>
      </w:r>
      <w:proofErr w:type="gramStart"/>
      <w:r>
        <w:rPr>
          <w:rFonts w:ascii="Times New Roman" w:eastAsiaTheme="minorEastAsia" w:hAnsi="Times New Roman" w:cs="Times New Roman"/>
          <w:sz w:val="21"/>
          <w:szCs w:val="21"/>
        </w:rPr>
        <w:t>,30</w:t>
      </w:r>
      <w:proofErr w:type="gramEnd"/>
      <w:r>
        <w:rPr>
          <w:rFonts w:ascii="Times New Roman" w:eastAsiaTheme="minorEastAsia" w:hAnsi="Times New Roman" w:cs="Times New Roman"/>
          <w:sz w:val="21"/>
          <w:szCs w:val="21"/>
        </w:rPr>
        <w:t>-</w:t>
      </w:r>
      <w:proofErr w:type="gramStart"/>
      <w:r>
        <w:rPr>
          <w:rFonts w:ascii="Times New Roman" w:eastAsiaTheme="minorEastAsia" w:hAnsi="Times New Roman" w:cs="Times New Roman"/>
          <w:sz w:val="21"/>
          <w:szCs w:val="21"/>
        </w:rPr>
        <w:t>day,and</w:t>
      </w:r>
      <w:proofErr w:type="gramEnd"/>
      <w:r>
        <w:rPr>
          <w:rFonts w:ascii="Times New Roman" w:eastAsiaTheme="minorEastAsia" w:hAnsi="Times New Roman" w:cs="Times New Roman"/>
          <w:sz w:val="21"/>
          <w:szCs w:val="21"/>
        </w:rPr>
        <w:t xml:space="preserve"> 365-day mortality mediated by lactate</w:t>
      </w:r>
      <w:bookmarkEnd w:id="3"/>
    </w:p>
    <w:tbl>
      <w:tblPr>
        <w:tblW w:w="14391" w:type="dxa"/>
        <w:jc w:val="center"/>
        <w:tblLook w:val="04A0" w:firstRow="1" w:lastRow="0" w:firstColumn="1" w:lastColumn="0" w:noHBand="0" w:noVBand="1"/>
      </w:tblPr>
      <w:tblGrid>
        <w:gridCol w:w="2441"/>
        <w:gridCol w:w="1513"/>
        <w:gridCol w:w="2684"/>
        <w:gridCol w:w="2684"/>
        <w:gridCol w:w="2685"/>
        <w:gridCol w:w="2384"/>
      </w:tblGrid>
      <w:tr w:rsidR="002F52E7" w14:paraId="25713F25" w14:textId="77777777">
        <w:trPr>
          <w:trHeight w:val="413"/>
          <w:jc w:val="center"/>
        </w:trPr>
        <w:tc>
          <w:tcPr>
            <w:tcW w:w="0" w:type="auto"/>
            <w:tcBorders>
              <w:top w:val="single" w:sz="12" w:space="0" w:color="000000"/>
              <w:left w:val="nil"/>
              <w:bottom w:val="single" w:sz="4" w:space="0" w:color="auto"/>
              <w:right w:val="nil"/>
            </w:tcBorders>
            <w:shd w:val="clear" w:color="auto" w:fill="FFFFFF"/>
            <w:tcMar>
              <w:top w:w="0" w:type="dxa"/>
              <w:left w:w="0" w:type="dxa"/>
              <w:bottom w:w="0" w:type="dxa"/>
              <w:right w:w="0" w:type="dxa"/>
            </w:tcMar>
            <w:vAlign w:val="center"/>
          </w:tcPr>
          <w:p w14:paraId="4B4E9FF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b/>
                <w:sz w:val="21"/>
                <w:szCs w:val="21"/>
              </w:rPr>
            </w:pPr>
            <w:r>
              <w:rPr>
                <w:rFonts w:ascii="Times New Roman" w:hAnsi="Times New Roman" w:cs="Times New Roman"/>
                <w:b/>
                <w:sz w:val="21"/>
                <w:szCs w:val="21"/>
              </w:rPr>
              <w:lastRenderedPageBreak/>
              <w:t>Outcome</w:t>
            </w:r>
          </w:p>
        </w:tc>
        <w:tc>
          <w:tcPr>
            <w:tcW w:w="0" w:type="auto"/>
            <w:tcBorders>
              <w:top w:val="single" w:sz="12" w:space="0" w:color="000000"/>
              <w:left w:val="nil"/>
              <w:bottom w:val="single" w:sz="4" w:space="0" w:color="auto"/>
              <w:right w:val="nil"/>
            </w:tcBorders>
            <w:shd w:val="clear" w:color="auto" w:fill="FFFFFF"/>
            <w:tcMar>
              <w:top w:w="0" w:type="dxa"/>
              <w:left w:w="0" w:type="dxa"/>
              <w:bottom w:w="0" w:type="dxa"/>
              <w:right w:w="0" w:type="dxa"/>
            </w:tcMar>
            <w:vAlign w:val="center"/>
          </w:tcPr>
          <w:p w14:paraId="225C010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b/>
                <w:sz w:val="21"/>
                <w:szCs w:val="21"/>
              </w:rPr>
            </w:pPr>
            <w:r>
              <w:rPr>
                <w:rFonts w:ascii="Times New Roman" w:hAnsi="Times New Roman" w:cs="Times New Roman"/>
                <w:b/>
                <w:sz w:val="21"/>
                <w:szCs w:val="21"/>
              </w:rPr>
              <w:t>Statistic</w:t>
            </w:r>
          </w:p>
        </w:tc>
        <w:tc>
          <w:tcPr>
            <w:tcW w:w="0" w:type="auto"/>
            <w:tcBorders>
              <w:top w:val="single" w:sz="12" w:space="0" w:color="000000"/>
              <w:left w:val="nil"/>
              <w:bottom w:val="single" w:sz="4" w:space="0" w:color="auto"/>
              <w:right w:val="nil"/>
            </w:tcBorders>
            <w:shd w:val="clear" w:color="auto" w:fill="FFFFFF"/>
            <w:tcMar>
              <w:top w:w="0" w:type="dxa"/>
              <w:left w:w="0" w:type="dxa"/>
              <w:bottom w:w="0" w:type="dxa"/>
              <w:right w:w="0" w:type="dxa"/>
            </w:tcMar>
            <w:vAlign w:val="center"/>
          </w:tcPr>
          <w:p w14:paraId="3E9F4C4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b/>
                <w:sz w:val="21"/>
                <w:szCs w:val="21"/>
              </w:rPr>
            </w:pPr>
            <w:r>
              <w:rPr>
                <w:rFonts w:ascii="Times New Roman" w:hAnsi="Times New Roman" w:cs="Times New Roman"/>
                <w:b/>
                <w:sz w:val="21"/>
                <w:szCs w:val="21"/>
              </w:rPr>
              <w:t>TE</w:t>
            </w:r>
          </w:p>
        </w:tc>
        <w:tc>
          <w:tcPr>
            <w:tcW w:w="0" w:type="auto"/>
            <w:tcBorders>
              <w:top w:val="single" w:sz="12" w:space="0" w:color="000000"/>
              <w:left w:val="nil"/>
              <w:bottom w:val="single" w:sz="4" w:space="0" w:color="auto"/>
              <w:right w:val="nil"/>
            </w:tcBorders>
            <w:shd w:val="clear" w:color="auto" w:fill="FFFFFF"/>
            <w:tcMar>
              <w:top w:w="0" w:type="dxa"/>
              <w:left w:w="0" w:type="dxa"/>
              <w:bottom w:w="0" w:type="dxa"/>
              <w:right w:w="0" w:type="dxa"/>
            </w:tcMar>
            <w:vAlign w:val="center"/>
          </w:tcPr>
          <w:p w14:paraId="003DC2C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b/>
                <w:sz w:val="21"/>
                <w:szCs w:val="21"/>
              </w:rPr>
            </w:pPr>
            <w:r>
              <w:rPr>
                <w:rFonts w:ascii="Times New Roman" w:hAnsi="Times New Roman" w:cs="Times New Roman"/>
                <w:b/>
                <w:sz w:val="21"/>
                <w:szCs w:val="21"/>
                <w:lang w:eastAsia="zh-CN"/>
              </w:rPr>
              <w:t>P</w:t>
            </w:r>
            <w:r>
              <w:rPr>
                <w:rFonts w:ascii="Times New Roman" w:hAnsi="Times New Roman" w:cs="Times New Roman"/>
                <w:b/>
                <w:sz w:val="21"/>
                <w:szCs w:val="21"/>
              </w:rPr>
              <w:t>NDE</w:t>
            </w:r>
          </w:p>
        </w:tc>
        <w:tc>
          <w:tcPr>
            <w:tcW w:w="0" w:type="auto"/>
            <w:tcBorders>
              <w:top w:val="single" w:sz="12" w:space="0" w:color="000000"/>
              <w:left w:val="nil"/>
              <w:bottom w:val="single" w:sz="4" w:space="0" w:color="auto"/>
              <w:right w:val="nil"/>
            </w:tcBorders>
            <w:shd w:val="clear" w:color="auto" w:fill="FFFFFF"/>
            <w:tcMar>
              <w:top w:w="0" w:type="dxa"/>
              <w:left w:w="0" w:type="dxa"/>
              <w:bottom w:w="0" w:type="dxa"/>
              <w:right w:w="0" w:type="dxa"/>
            </w:tcMar>
            <w:vAlign w:val="center"/>
          </w:tcPr>
          <w:p w14:paraId="5C66A36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b/>
                <w:sz w:val="21"/>
                <w:szCs w:val="21"/>
              </w:rPr>
            </w:pPr>
            <w:r>
              <w:rPr>
                <w:rFonts w:ascii="Times New Roman" w:hAnsi="Times New Roman" w:cs="Times New Roman"/>
                <w:b/>
                <w:sz w:val="21"/>
                <w:szCs w:val="21"/>
                <w:lang w:eastAsia="zh-CN"/>
              </w:rPr>
              <w:t>P</w:t>
            </w:r>
            <w:r>
              <w:rPr>
                <w:rFonts w:ascii="Times New Roman" w:hAnsi="Times New Roman" w:cs="Times New Roman"/>
                <w:b/>
                <w:sz w:val="21"/>
                <w:szCs w:val="21"/>
              </w:rPr>
              <w:t>NIE</w:t>
            </w:r>
          </w:p>
        </w:tc>
        <w:tc>
          <w:tcPr>
            <w:tcW w:w="1871" w:type="dxa"/>
            <w:tcBorders>
              <w:top w:val="single" w:sz="12" w:space="0" w:color="000000"/>
              <w:left w:val="nil"/>
              <w:bottom w:val="single" w:sz="4" w:space="0" w:color="auto"/>
              <w:right w:val="nil"/>
            </w:tcBorders>
            <w:shd w:val="clear" w:color="auto" w:fill="FFFFFF"/>
            <w:tcMar>
              <w:top w:w="0" w:type="dxa"/>
              <w:left w:w="0" w:type="dxa"/>
              <w:bottom w:w="0" w:type="dxa"/>
              <w:right w:w="0" w:type="dxa"/>
            </w:tcMar>
            <w:vAlign w:val="center"/>
          </w:tcPr>
          <w:p w14:paraId="6897DFC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b/>
                <w:sz w:val="21"/>
                <w:szCs w:val="21"/>
              </w:rPr>
            </w:pPr>
            <w:proofErr w:type="gramStart"/>
            <w:r>
              <w:rPr>
                <w:rFonts w:ascii="Times New Roman" w:hAnsi="Times New Roman" w:cs="Times New Roman"/>
                <w:b/>
                <w:sz w:val="21"/>
                <w:szCs w:val="21"/>
              </w:rPr>
              <w:t>PM(</w:t>
            </w:r>
            <w:proofErr w:type="gramEnd"/>
            <w:r>
              <w:rPr>
                <w:rFonts w:ascii="Times New Roman" w:hAnsi="Times New Roman" w:cs="Times New Roman"/>
                <w:b/>
                <w:sz w:val="21"/>
                <w:szCs w:val="21"/>
              </w:rPr>
              <w:t>%)</w:t>
            </w:r>
          </w:p>
        </w:tc>
      </w:tr>
      <w:tr w:rsidR="002F52E7" w14:paraId="40EA4F67" w14:textId="77777777">
        <w:trPr>
          <w:jc w:val="center"/>
        </w:trPr>
        <w:tc>
          <w:tcPr>
            <w:tcW w:w="0" w:type="auto"/>
            <w:tcBorders>
              <w:top w:val="single" w:sz="4" w:space="0" w:color="auto"/>
              <w:left w:val="nil"/>
              <w:bottom w:val="nil"/>
              <w:right w:val="nil"/>
            </w:tcBorders>
            <w:shd w:val="clear" w:color="auto" w:fill="FFFFFF"/>
            <w:tcMar>
              <w:top w:w="0" w:type="dxa"/>
              <w:left w:w="0" w:type="dxa"/>
              <w:bottom w:w="0" w:type="dxa"/>
              <w:right w:w="0" w:type="dxa"/>
            </w:tcMar>
            <w:vAlign w:val="center"/>
          </w:tcPr>
          <w:p w14:paraId="0490447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In-hospital Mortality</w:t>
            </w:r>
          </w:p>
        </w:tc>
        <w:tc>
          <w:tcPr>
            <w:tcW w:w="0" w:type="auto"/>
            <w:tcBorders>
              <w:top w:val="single" w:sz="4" w:space="0" w:color="auto"/>
              <w:left w:val="nil"/>
              <w:bottom w:val="nil"/>
              <w:right w:val="nil"/>
            </w:tcBorders>
            <w:shd w:val="clear" w:color="auto" w:fill="FFFFFF"/>
            <w:tcMar>
              <w:top w:w="0" w:type="dxa"/>
              <w:left w:w="0" w:type="dxa"/>
              <w:bottom w:w="0" w:type="dxa"/>
              <w:right w:w="0" w:type="dxa"/>
            </w:tcMar>
            <w:vAlign w:val="center"/>
          </w:tcPr>
          <w:p w14:paraId="2D9F2A6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sz w:val="21"/>
                <w:szCs w:val="21"/>
              </w:rPr>
            </w:pPr>
            <w:proofErr w:type="gramStart"/>
            <w:r>
              <w:rPr>
                <w:rFonts w:ascii="Times New Roman" w:hAnsi="Times New Roman" w:cs="Times New Roman"/>
                <w:sz w:val="21"/>
                <w:szCs w:val="21"/>
              </w:rPr>
              <w:t>HR(</w:t>
            </w:r>
            <w:proofErr w:type="gramEnd"/>
            <w:r>
              <w:rPr>
                <w:rFonts w:ascii="Times New Roman" w:hAnsi="Times New Roman" w:cs="Times New Roman"/>
                <w:sz w:val="21"/>
                <w:szCs w:val="21"/>
              </w:rPr>
              <w:t>95%CI)</w:t>
            </w:r>
          </w:p>
        </w:tc>
        <w:tc>
          <w:tcPr>
            <w:tcW w:w="2106" w:type="dxa"/>
            <w:tcBorders>
              <w:top w:val="single" w:sz="4" w:space="0" w:color="auto"/>
              <w:left w:val="nil"/>
              <w:bottom w:val="nil"/>
              <w:right w:val="nil"/>
            </w:tcBorders>
            <w:shd w:val="clear" w:color="auto" w:fill="FFFFFF"/>
            <w:tcMar>
              <w:top w:w="0" w:type="dxa"/>
              <w:left w:w="0" w:type="dxa"/>
              <w:bottom w:w="0" w:type="dxa"/>
              <w:right w:w="0" w:type="dxa"/>
            </w:tcMar>
            <w:vAlign w:val="center"/>
          </w:tcPr>
          <w:p w14:paraId="4E2B5CF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1.357 (1.218, 1.499)</w:t>
            </w:r>
          </w:p>
        </w:tc>
        <w:tc>
          <w:tcPr>
            <w:tcW w:w="2106" w:type="dxa"/>
            <w:tcBorders>
              <w:top w:val="single" w:sz="4" w:space="0" w:color="auto"/>
              <w:left w:val="nil"/>
              <w:bottom w:val="nil"/>
              <w:right w:val="nil"/>
            </w:tcBorders>
            <w:shd w:val="clear" w:color="auto" w:fill="FFFFFF"/>
            <w:tcMar>
              <w:top w:w="0" w:type="dxa"/>
              <w:left w:w="0" w:type="dxa"/>
              <w:bottom w:w="0" w:type="dxa"/>
              <w:right w:w="0" w:type="dxa"/>
            </w:tcMar>
            <w:vAlign w:val="center"/>
          </w:tcPr>
          <w:p w14:paraId="709AEAA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1.323 (1.179, 1.452)</w:t>
            </w:r>
          </w:p>
        </w:tc>
        <w:tc>
          <w:tcPr>
            <w:tcW w:w="2107" w:type="dxa"/>
            <w:tcBorders>
              <w:top w:val="single" w:sz="4" w:space="0" w:color="auto"/>
              <w:left w:val="nil"/>
              <w:bottom w:val="nil"/>
              <w:right w:val="nil"/>
            </w:tcBorders>
            <w:shd w:val="clear" w:color="auto" w:fill="FFFFFF"/>
            <w:tcMar>
              <w:top w:w="0" w:type="dxa"/>
              <w:left w:w="0" w:type="dxa"/>
              <w:bottom w:w="0" w:type="dxa"/>
              <w:right w:w="0" w:type="dxa"/>
            </w:tcMar>
            <w:vAlign w:val="center"/>
          </w:tcPr>
          <w:p w14:paraId="022961A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1.033 (1.016, 1.061)</w:t>
            </w:r>
          </w:p>
        </w:tc>
        <w:tc>
          <w:tcPr>
            <w:tcW w:w="1871" w:type="dxa"/>
            <w:tcBorders>
              <w:top w:val="single" w:sz="4" w:space="0" w:color="auto"/>
              <w:left w:val="nil"/>
              <w:bottom w:val="nil"/>
              <w:right w:val="nil"/>
            </w:tcBorders>
            <w:shd w:val="clear" w:color="auto" w:fill="FFFFFF"/>
            <w:tcMar>
              <w:top w:w="0" w:type="dxa"/>
              <w:left w:w="0" w:type="dxa"/>
              <w:bottom w:w="0" w:type="dxa"/>
              <w:right w:w="0" w:type="dxa"/>
            </w:tcMar>
            <w:vAlign w:val="center"/>
          </w:tcPr>
          <w:p w14:paraId="08946B7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9.4 (4.7, 20.0)</w:t>
            </w:r>
          </w:p>
        </w:tc>
      </w:tr>
      <w:tr w:rsidR="002F52E7" w14:paraId="7835BA61" w14:textId="77777777">
        <w:trPr>
          <w:jc w:val="center"/>
        </w:trPr>
        <w:tc>
          <w:tcPr>
            <w:tcW w:w="0" w:type="auto"/>
            <w:tcBorders>
              <w:top w:val="nil"/>
              <w:left w:val="nil"/>
              <w:bottom w:val="nil"/>
              <w:right w:val="nil"/>
            </w:tcBorders>
            <w:shd w:val="clear" w:color="auto" w:fill="FFFFFF"/>
            <w:tcMar>
              <w:top w:w="0" w:type="dxa"/>
              <w:left w:w="0" w:type="dxa"/>
              <w:bottom w:w="0" w:type="dxa"/>
              <w:right w:w="0" w:type="dxa"/>
            </w:tcMar>
            <w:vAlign w:val="center"/>
          </w:tcPr>
          <w:p w14:paraId="77F4F73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sz w:val="21"/>
                <w:szCs w:val="21"/>
              </w:rPr>
            </w:pPr>
          </w:p>
        </w:tc>
        <w:tc>
          <w:tcPr>
            <w:tcW w:w="0" w:type="auto"/>
            <w:tcBorders>
              <w:top w:val="nil"/>
              <w:left w:val="nil"/>
              <w:bottom w:val="nil"/>
              <w:right w:val="nil"/>
            </w:tcBorders>
            <w:shd w:val="clear" w:color="auto" w:fill="FFFFFF"/>
            <w:tcMar>
              <w:top w:w="0" w:type="dxa"/>
              <w:left w:w="0" w:type="dxa"/>
              <w:bottom w:w="0" w:type="dxa"/>
              <w:right w:w="0" w:type="dxa"/>
            </w:tcMar>
            <w:vAlign w:val="center"/>
          </w:tcPr>
          <w:p w14:paraId="0BBD4E4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P value</w:t>
            </w:r>
          </w:p>
        </w:tc>
        <w:tc>
          <w:tcPr>
            <w:tcW w:w="2106" w:type="dxa"/>
            <w:tcBorders>
              <w:top w:val="nil"/>
              <w:left w:val="nil"/>
              <w:bottom w:val="nil"/>
              <w:right w:val="nil"/>
            </w:tcBorders>
            <w:shd w:val="clear" w:color="auto" w:fill="FFFFFF"/>
            <w:tcMar>
              <w:top w:w="0" w:type="dxa"/>
              <w:left w:w="0" w:type="dxa"/>
              <w:bottom w:w="0" w:type="dxa"/>
              <w:right w:w="0" w:type="dxa"/>
            </w:tcMar>
            <w:vAlign w:val="center"/>
          </w:tcPr>
          <w:p w14:paraId="7871BEE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&lt; 0.001</w:t>
            </w:r>
          </w:p>
        </w:tc>
        <w:tc>
          <w:tcPr>
            <w:tcW w:w="2106" w:type="dxa"/>
            <w:tcBorders>
              <w:top w:val="nil"/>
              <w:left w:val="nil"/>
              <w:bottom w:val="nil"/>
              <w:right w:val="nil"/>
            </w:tcBorders>
            <w:shd w:val="clear" w:color="auto" w:fill="FFFFFF"/>
            <w:tcMar>
              <w:top w:w="0" w:type="dxa"/>
              <w:left w:w="0" w:type="dxa"/>
              <w:bottom w:w="0" w:type="dxa"/>
              <w:right w:w="0" w:type="dxa"/>
            </w:tcMar>
            <w:vAlign w:val="center"/>
          </w:tcPr>
          <w:p w14:paraId="3EB5A97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&lt; 0.001</w:t>
            </w:r>
          </w:p>
        </w:tc>
        <w:tc>
          <w:tcPr>
            <w:tcW w:w="2107" w:type="dxa"/>
            <w:tcBorders>
              <w:top w:val="nil"/>
              <w:left w:val="nil"/>
              <w:bottom w:val="nil"/>
              <w:right w:val="nil"/>
            </w:tcBorders>
            <w:shd w:val="clear" w:color="auto" w:fill="FFFFFF"/>
            <w:tcMar>
              <w:top w:w="0" w:type="dxa"/>
              <w:left w:w="0" w:type="dxa"/>
              <w:bottom w:w="0" w:type="dxa"/>
              <w:right w:w="0" w:type="dxa"/>
            </w:tcMar>
            <w:vAlign w:val="center"/>
          </w:tcPr>
          <w:p w14:paraId="5A3221E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&lt; 0.001</w:t>
            </w:r>
          </w:p>
        </w:tc>
        <w:tc>
          <w:tcPr>
            <w:tcW w:w="1871" w:type="dxa"/>
            <w:tcBorders>
              <w:top w:val="nil"/>
              <w:left w:val="nil"/>
              <w:bottom w:val="nil"/>
              <w:right w:val="nil"/>
            </w:tcBorders>
            <w:shd w:val="clear" w:color="auto" w:fill="FFFFFF"/>
            <w:tcMar>
              <w:top w:w="0" w:type="dxa"/>
              <w:left w:w="0" w:type="dxa"/>
              <w:bottom w:w="0" w:type="dxa"/>
              <w:right w:w="0" w:type="dxa"/>
            </w:tcMar>
            <w:vAlign w:val="center"/>
          </w:tcPr>
          <w:p w14:paraId="504B6A3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&lt; 0.001</w:t>
            </w:r>
          </w:p>
        </w:tc>
      </w:tr>
      <w:tr w:rsidR="002F52E7" w14:paraId="424A50F0" w14:textId="77777777">
        <w:trPr>
          <w:jc w:val="center"/>
        </w:trPr>
        <w:tc>
          <w:tcPr>
            <w:tcW w:w="0" w:type="auto"/>
            <w:tcBorders>
              <w:top w:val="nil"/>
              <w:left w:val="nil"/>
              <w:bottom w:val="nil"/>
              <w:right w:val="nil"/>
            </w:tcBorders>
            <w:shd w:val="clear" w:color="auto" w:fill="FFFFFF"/>
            <w:tcMar>
              <w:top w:w="0" w:type="dxa"/>
              <w:left w:w="0" w:type="dxa"/>
              <w:bottom w:w="0" w:type="dxa"/>
              <w:right w:w="0" w:type="dxa"/>
            </w:tcMar>
            <w:vAlign w:val="center"/>
          </w:tcPr>
          <w:p w14:paraId="403C209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30-day Mortality</w:t>
            </w:r>
          </w:p>
        </w:tc>
        <w:tc>
          <w:tcPr>
            <w:tcW w:w="0" w:type="auto"/>
            <w:tcBorders>
              <w:top w:val="nil"/>
              <w:left w:val="nil"/>
              <w:bottom w:val="nil"/>
              <w:right w:val="nil"/>
            </w:tcBorders>
            <w:shd w:val="clear" w:color="auto" w:fill="FFFFFF"/>
            <w:tcMar>
              <w:top w:w="0" w:type="dxa"/>
              <w:left w:w="0" w:type="dxa"/>
              <w:bottom w:w="0" w:type="dxa"/>
              <w:right w:w="0" w:type="dxa"/>
            </w:tcMar>
            <w:vAlign w:val="center"/>
          </w:tcPr>
          <w:p w14:paraId="5DBBE6C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sz w:val="21"/>
                <w:szCs w:val="21"/>
              </w:rPr>
            </w:pPr>
            <w:proofErr w:type="gramStart"/>
            <w:r>
              <w:rPr>
                <w:rFonts w:ascii="Times New Roman" w:hAnsi="Times New Roman" w:cs="Times New Roman"/>
                <w:sz w:val="21"/>
                <w:szCs w:val="21"/>
              </w:rPr>
              <w:t>HR(</w:t>
            </w:r>
            <w:proofErr w:type="gramEnd"/>
            <w:r>
              <w:rPr>
                <w:rFonts w:ascii="Times New Roman" w:hAnsi="Times New Roman" w:cs="Times New Roman"/>
                <w:sz w:val="21"/>
                <w:szCs w:val="21"/>
              </w:rPr>
              <w:t>95%CI)</w:t>
            </w:r>
          </w:p>
        </w:tc>
        <w:tc>
          <w:tcPr>
            <w:tcW w:w="2106" w:type="dxa"/>
            <w:tcBorders>
              <w:top w:val="nil"/>
              <w:left w:val="nil"/>
              <w:bottom w:val="nil"/>
              <w:right w:val="nil"/>
            </w:tcBorders>
            <w:shd w:val="clear" w:color="auto" w:fill="FFFFFF"/>
            <w:tcMar>
              <w:top w:w="0" w:type="dxa"/>
              <w:left w:w="0" w:type="dxa"/>
              <w:bottom w:w="0" w:type="dxa"/>
              <w:right w:w="0" w:type="dxa"/>
            </w:tcMar>
            <w:vAlign w:val="center"/>
          </w:tcPr>
          <w:p w14:paraId="0C92100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1.285 (1.158, 1.399)</w:t>
            </w:r>
          </w:p>
        </w:tc>
        <w:tc>
          <w:tcPr>
            <w:tcW w:w="2106" w:type="dxa"/>
            <w:tcBorders>
              <w:top w:val="nil"/>
              <w:left w:val="nil"/>
              <w:bottom w:val="nil"/>
              <w:right w:val="nil"/>
            </w:tcBorders>
            <w:shd w:val="clear" w:color="auto" w:fill="FFFFFF"/>
            <w:tcMar>
              <w:top w:w="0" w:type="dxa"/>
              <w:left w:w="0" w:type="dxa"/>
              <w:bottom w:w="0" w:type="dxa"/>
              <w:right w:w="0" w:type="dxa"/>
            </w:tcMar>
            <w:vAlign w:val="center"/>
          </w:tcPr>
          <w:p w14:paraId="5A7EAAC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1.251 (1.130, 1.368)</w:t>
            </w:r>
          </w:p>
        </w:tc>
        <w:tc>
          <w:tcPr>
            <w:tcW w:w="2107" w:type="dxa"/>
            <w:tcBorders>
              <w:top w:val="nil"/>
              <w:left w:val="nil"/>
              <w:bottom w:val="nil"/>
              <w:right w:val="nil"/>
            </w:tcBorders>
            <w:shd w:val="clear" w:color="auto" w:fill="FFFFFF"/>
            <w:tcMar>
              <w:top w:w="0" w:type="dxa"/>
              <w:left w:w="0" w:type="dxa"/>
              <w:bottom w:w="0" w:type="dxa"/>
              <w:right w:w="0" w:type="dxa"/>
            </w:tcMar>
            <w:vAlign w:val="center"/>
          </w:tcPr>
          <w:p w14:paraId="486B396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1.033 (1.018, 1.063)</w:t>
            </w:r>
          </w:p>
        </w:tc>
        <w:tc>
          <w:tcPr>
            <w:tcW w:w="1871" w:type="dxa"/>
            <w:tcBorders>
              <w:top w:val="nil"/>
              <w:left w:val="nil"/>
              <w:bottom w:val="nil"/>
              <w:right w:val="nil"/>
            </w:tcBorders>
            <w:shd w:val="clear" w:color="auto" w:fill="FFFFFF"/>
            <w:tcMar>
              <w:top w:w="0" w:type="dxa"/>
              <w:left w:w="0" w:type="dxa"/>
              <w:bottom w:w="0" w:type="dxa"/>
              <w:right w:w="0" w:type="dxa"/>
            </w:tcMar>
            <w:vAlign w:val="center"/>
          </w:tcPr>
          <w:p w14:paraId="5486612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11.9 (6.7, 23.0)</w:t>
            </w:r>
          </w:p>
        </w:tc>
      </w:tr>
      <w:tr w:rsidR="002F52E7" w14:paraId="26CA4111" w14:textId="77777777">
        <w:trPr>
          <w:jc w:val="center"/>
        </w:trPr>
        <w:tc>
          <w:tcPr>
            <w:tcW w:w="0" w:type="auto"/>
            <w:tcBorders>
              <w:top w:val="nil"/>
              <w:left w:val="nil"/>
              <w:bottom w:val="nil"/>
              <w:right w:val="nil"/>
            </w:tcBorders>
            <w:shd w:val="clear" w:color="auto" w:fill="FFFFFF"/>
            <w:tcMar>
              <w:top w:w="0" w:type="dxa"/>
              <w:left w:w="0" w:type="dxa"/>
              <w:bottom w:w="0" w:type="dxa"/>
              <w:right w:w="0" w:type="dxa"/>
            </w:tcMar>
            <w:vAlign w:val="center"/>
          </w:tcPr>
          <w:p w14:paraId="380FE85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sz w:val="21"/>
                <w:szCs w:val="21"/>
              </w:rPr>
            </w:pPr>
          </w:p>
        </w:tc>
        <w:tc>
          <w:tcPr>
            <w:tcW w:w="0" w:type="auto"/>
            <w:tcBorders>
              <w:top w:val="nil"/>
              <w:left w:val="nil"/>
              <w:bottom w:val="nil"/>
              <w:right w:val="nil"/>
            </w:tcBorders>
            <w:shd w:val="clear" w:color="auto" w:fill="FFFFFF"/>
            <w:tcMar>
              <w:top w:w="0" w:type="dxa"/>
              <w:left w:w="0" w:type="dxa"/>
              <w:bottom w:w="0" w:type="dxa"/>
              <w:right w:w="0" w:type="dxa"/>
            </w:tcMar>
            <w:vAlign w:val="center"/>
          </w:tcPr>
          <w:p w14:paraId="55524E8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P value</w:t>
            </w:r>
          </w:p>
        </w:tc>
        <w:tc>
          <w:tcPr>
            <w:tcW w:w="2106" w:type="dxa"/>
            <w:tcBorders>
              <w:top w:val="nil"/>
              <w:left w:val="nil"/>
              <w:bottom w:val="nil"/>
              <w:right w:val="nil"/>
            </w:tcBorders>
            <w:shd w:val="clear" w:color="auto" w:fill="FFFFFF"/>
            <w:tcMar>
              <w:top w:w="0" w:type="dxa"/>
              <w:left w:w="0" w:type="dxa"/>
              <w:bottom w:w="0" w:type="dxa"/>
              <w:right w:w="0" w:type="dxa"/>
            </w:tcMar>
            <w:vAlign w:val="center"/>
          </w:tcPr>
          <w:p w14:paraId="519BEFA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&lt; 0.001</w:t>
            </w:r>
          </w:p>
        </w:tc>
        <w:tc>
          <w:tcPr>
            <w:tcW w:w="2106" w:type="dxa"/>
            <w:tcBorders>
              <w:top w:val="nil"/>
              <w:left w:val="nil"/>
              <w:bottom w:val="nil"/>
              <w:right w:val="nil"/>
            </w:tcBorders>
            <w:shd w:val="clear" w:color="auto" w:fill="FFFFFF"/>
            <w:tcMar>
              <w:top w:w="0" w:type="dxa"/>
              <w:left w:w="0" w:type="dxa"/>
              <w:bottom w:w="0" w:type="dxa"/>
              <w:right w:w="0" w:type="dxa"/>
            </w:tcMar>
            <w:vAlign w:val="center"/>
          </w:tcPr>
          <w:p w14:paraId="6645CC9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&lt; 0.001</w:t>
            </w:r>
          </w:p>
        </w:tc>
        <w:tc>
          <w:tcPr>
            <w:tcW w:w="2107" w:type="dxa"/>
            <w:tcBorders>
              <w:top w:val="nil"/>
              <w:left w:val="nil"/>
              <w:bottom w:val="nil"/>
              <w:right w:val="nil"/>
            </w:tcBorders>
            <w:shd w:val="clear" w:color="auto" w:fill="FFFFFF"/>
            <w:tcMar>
              <w:top w:w="0" w:type="dxa"/>
              <w:left w:w="0" w:type="dxa"/>
              <w:bottom w:w="0" w:type="dxa"/>
              <w:right w:w="0" w:type="dxa"/>
            </w:tcMar>
            <w:vAlign w:val="center"/>
          </w:tcPr>
          <w:p w14:paraId="1EC7489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&lt; 0.001</w:t>
            </w:r>
          </w:p>
        </w:tc>
        <w:tc>
          <w:tcPr>
            <w:tcW w:w="1871" w:type="dxa"/>
            <w:tcBorders>
              <w:top w:val="nil"/>
              <w:left w:val="nil"/>
              <w:bottom w:val="nil"/>
              <w:right w:val="nil"/>
            </w:tcBorders>
            <w:shd w:val="clear" w:color="auto" w:fill="FFFFFF"/>
            <w:tcMar>
              <w:top w:w="0" w:type="dxa"/>
              <w:left w:w="0" w:type="dxa"/>
              <w:bottom w:w="0" w:type="dxa"/>
              <w:right w:w="0" w:type="dxa"/>
            </w:tcMar>
            <w:vAlign w:val="center"/>
          </w:tcPr>
          <w:p w14:paraId="5E38095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&lt; 0.001</w:t>
            </w:r>
          </w:p>
        </w:tc>
      </w:tr>
      <w:tr w:rsidR="002F52E7" w14:paraId="47FFCA37" w14:textId="77777777">
        <w:trPr>
          <w:jc w:val="center"/>
        </w:trPr>
        <w:tc>
          <w:tcPr>
            <w:tcW w:w="0" w:type="auto"/>
            <w:tcBorders>
              <w:top w:val="nil"/>
              <w:left w:val="nil"/>
              <w:bottom w:val="nil"/>
              <w:right w:val="nil"/>
            </w:tcBorders>
            <w:shd w:val="clear" w:color="auto" w:fill="FFFFFF"/>
            <w:tcMar>
              <w:top w:w="0" w:type="dxa"/>
              <w:left w:w="0" w:type="dxa"/>
              <w:bottom w:w="0" w:type="dxa"/>
              <w:right w:w="0" w:type="dxa"/>
            </w:tcMar>
            <w:vAlign w:val="center"/>
          </w:tcPr>
          <w:p w14:paraId="382EFE7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365-day Mortality</w:t>
            </w:r>
          </w:p>
        </w:tc>
        <w:tc>
          <w:tcPr>
            <w:tcW w:w="0" w:type="auto"/>
            <w:tcBorders>
              <w:top w:val="nil"/>
              <w:left w:val="nil"/>
              <w:bottom w:val="nil"/>
              <w:right w:val="nil"/>
            </w:tcBorders>
            <w:shd w:val="clear" w:color="auto" w:fill="FFFFFF"/>
            <w:tcMar>
              <w:top w:w="0" w:type="dxa"/>
              <w:left w:w="0" w:type="dxa"/>
              <w:bottom w:w="0" w:type="dxa"/>
              <w:right w:w="0" w:type="dxa"/>
            </w:tcMar>
            <w:vAlign w:val="center"/>
          </w:tcPr>
          <w:p w14:paraId="7DE42A0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sz w:val="21"/>
                <w:szCs w:val="21"/>
              </w:rPr>
            </w:pPr>
            <w:proofErr w:type="gramStart"/>
            <w:r>
              <w:rPr>
                <w:rFonts w:ascii="Times New Roman" w:hAnsi="Times New Roman" w:cs="Times New Roman"/>
                <w:sz w:val="21"/>
                <w:szCs w:val="21"/>
              </w:rPr>
              <w:t>HR(</w:t>
            </w:r>
            <w:proofErr w:type="gramEnd"/>
            <w:r>
              <w:rPr>
                <w:rFonts w:ascii="Times New Roman" w:hAnsi="Times New Roman" w:cs="Times New Roman"/>
                <w:sz w:val="21"/>
                <w:szCs w:val="21"/>
              </w:rPr>
              <w:t>95%CI)</w:t>
            </w:r>
          </w:p>
        </w:tc>
        <w:tc>
          <w:tcPr>
            <w:tcW w:w="2106" w:type="dxa"/>
            <w:tcBorders>
              <w:top w:val="nil"/>
              <w:left w:val="nil"/>
              <w:bottom w:val="nil"/>
              <w:right w:val="nil"/>
            </w:tcBorders>
            <w:shd w:val="clear" w:color="auto" w:fill="FFFFFF"/>
            <w:tcMar>
              <w:top w:w="0" w:type="dxa"/>
              <w:left w:w="0" w:type="dxa"/>
              <w:bottom w:w="0" w:type="dxa"/>
              <w:right w:w="0" w:type="dxa"/>
            </w:tcMar>
            <w:vAlign w:val="center"/>
          </w:tcPr>
          <w:p w14:paraId="352CA3A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1.130 (1.040, 1.210)</w:t>
            </w:r>
          </w:p>
        </w:tc>
        <w:tc>
          <w:tcPr>
            <w:tcW w:w="2106" w:type="dxa"/>
            <w:tcBorders>
              <w:top w:val="nil"/>
              <w:left w:val="nil"/>
              <w:bottom w:val="nil"/>
              <w:right w:val="nil"/>
            </w:tcBorders>
            <w:shd w:val="clear" w:color="auto" w:fill="FFFFFF"/>
            <w:tcMar>
              <w:top w:w="0" w:type="dxa"/>
              <w:left w:w="0" w:type="dxa"/>
              <w:bottom w:w="0" w:type="dxa"/>
              <w:right w:w="0" w:type="dxa"/>
            </w:tcMar>
            <w:vAlign w:val="center"/>
          </w:tcPr>
          <w:p w14:paraId="0C904E5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1.111 (1.027, 1.195)</w:t>
            </w:r>
          </w:p>
        </w:tc>
        <w:tc>
          <w:tcPr>
            <w:tcW w:w="2107" w:type="dxa"/>
            <w:tcBorders>
              <w:top w:val="nil"/>
              <w:left w:val="nil"/>
              <w:bottom w:val="nil"/>
              <w:right w:val="nil"/>
            </w:tcBorders>
            <w:shd w:val="clear" w:color="auto" w:fill="FFFFFF"/>
            <w:tcMar>
              <w:top w:w="0" w:type="dxa"/>
              <w:left w:w="0" w:type="dxa"/>
              <w:bottom w:w="0" w:type="dxa"/>
              <w:right w:w="0" w:type="dxa"/>
            </w:tcMar>
            <w:vAlign w:val="center"/>
          </w:tcPr>
          <w:p w14:paraId="17190F7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1.022 (1.010, 1.039)</w:t>
            </w:r>
          </w:p>
        </w:tc>
        <w:tc>
          <w:tcPr>
            <w:tcW w:w="1871" w:type="dxa"/>
            <w:tcBorders>
              <w:top w:val="nil"/>
              <w:left w:val="nil"/>
              <w:bottom w:val="nil"/>
              <w:right w:val="nil"/>
            </w:tcBorders>
            <w:shd w:val="clear" w:color="auto" w:fill="FFFFFF"/>
            <w:tcMar>
              <w:top w:w="0" w:type="dxa"/>
              <w:left w:w="0" w:type="dxa"/>
              <w:bottom w:w="0" w:type="dxa"/>
              <w:right w:w="0" w:type="dxa"/>
            </w:tcMar>
            <w:vAlign w:val="center"/>
          </w:tcPr>
          <w:p w14:paraId="3772BE6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14.9 (7.0, 53.2)</w:t>
            </w:r>
          </w:p>
        </w:tc>
      </w:tr>
      <w:tr w:rsidR="002F52E7" w14:paraId="65D282A1" w14:textId="77777777">
        <w:trPr>
          <w:jc w:val="center"/>
        </w:trPr>
        <w:tc>
          <w:tcPr>
            <w:tcW w:w="0" w:type="auto"/>
            <w:tcBorders>
              <w:top w:val="nil"/>
              <w:left w:val="nil"/>
              <w:bottom w:val="single" w:sz="12" w:space="0" w:color="000000"/>
              <w:right w:val="nil"/>
            </w:tcBorders>
            <w:shd w:val="clear" w:color="auto" w:fill="FFFFFF"/>
            <w:tcMar>
              <w:top w:w="0" w:type="dxa"/>
              <w:left w:w="0" w:type="dxa"/>
              <w:bottom w:w="0" w:type="dxa"/>
              <w:right w:w="0" w:type="dxa"/>
            </w:tcMar>
            <w:vAlign w:val="center"/>
          </w:tcPr>
          <w:p w14:paraId="3AFD746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sz w:val="21"/>
                <w:szCs w:val="21"/>
              </w:rPr>
            </w:pPr>
          </w:p>
        </w:tc>
        <w:tc>
          <w:tcPr>
            <w:tcW w:w="0" w:type="auto"/>
            <w:tcBorders>
              <w:top w:val="nil"/>
              <w:left w:val="nil"/>
              <w:bottom w:val="single" w:sz="12" w:space="0" w:color="000000"/>
              <w:right w:val="nil"/>
            </w:tcBorders>
            <w:shd w:val="clear" w:color="auto" w:fill="FFFFFF"/>
            <w:tcMar>
              <w:top w:w="0" w:type="dxa"/>
              <w:left w:w="0" w:type="dxa"/>
              <w:bottom w:w="0" w:type="dxa"/>
              <w:right w:w="0" w:type="dxa"/>
            </w:tcMar>
            <w:vAlign w:val="center"/>
          </w:tcPr>
          <w:p w14:paraId="2868484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P value</w:t>
            </w:r>
          </w:p>
        </w:tc>
        <w:tc>
          <w:tcPr>
            <w:tcW w:w="2106"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43A974A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0.004</w:t>
            </w:r>
          </w:p>
        </w:tc>
        <w:tc>
          <w:tcPr>
            <w:tcW w:w="2106"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56EC1E1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0.016</w:t>
            </w:r>
          </w:p>
        </w:tc>
        <w:tc>
          <w:tcPr>
            <w:tcW w:w="2107"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3B4BAE9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&lt; 0.001</w:t>
            </w:r>
          </w:p>
        </w:tc>
        <w:tc>
          <w:tcPr>
            <w:tcW w:w="1871"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6175232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80" w:after="80"/>
              <w:ind w:left="80" w:right="80"/>
              <w:jc w:val="center"/>
              <w:rPr>
                <w:rFonts w:ascii="Times New Roman" w:hAnsi="Times New Roman" w:cs="Times New Roman"/>
                <w:sz w:val="21"/>
                <w:szCs w:val="21"/>
              </w:rPr>
            </w:pPr>
            <w:r>
              <w:rPr>
                <w:rFonts w:ascii="Times New Roman" w:hAnsi="Times New Roman" w:cs="Times New Roman"/>
                <w:sz w:val="21"/>
                <w:szCs w:val="21"/>
              </w:rPr>
              <w:t>0.004</w:t>
            </w:r>
          </w:p>
        </w:tc>
      </w:tr>
      <w:tr w:rsidR="002F52E7" w14:paraId="541EF00D" w14:textId="77777777">
        <w:trPr>
          <w:jc w:val="center"/>
        </w:trPr>
        <w:tc>
          <w:tcPr>
            <w:tcW w:w="14391" w:type="dxa"/>
            <w:gridSpan w:val="6"/>
            <w:tcBorders>
              <w:top w:val="single" w:sz="12" w:space="0" w:color="000000"/>
              <w:left w:val="nil"/>
              <w:bottom w:val="nil"/>
              <w:right w:val="nil"/>
            </w:tcBorders>
            <w:shd w:val="clear" w:color="auto" w:fill="FFFFFF"/>
            <w:tcMar>
              <w:top w:w="0" w:type="dxa"/>
              <w:left w:w="0" w:type="dxa"/>
              <w:bottom w:w="0" w:type="dxa"/>
              <w:right w:w="0" w:type="dxa"/>
            </w:tcMar>
            <w:vAlign w:val="center"/>
          </w:tcPr>
          <w:p w14:paraId="57EA572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80" w:after="80"/>
              <w:ind w:left="80" w:right="80"/>
              <w:rPr>
                <w:rFonts w:ascii="Times New Roman" w:hAnsi="Times New Roman" w:cs="Times New Roman"/>
                <w:sz w:val="21"/>
                <w:szCs w:val="21"/>
              </w:rPr>
            </w:pPr>
            <w:proofErr w:type="spellStart"/>
            <w:proofErr w:type="gramStart"/>
            <w:r>
              <w:rPr>
                <w:rFonts w:ascii="Times New Roman" w:hAnsi="Times New Roman" w:cs="Times New Roman"/>
                <w:sz w:val="21"/>
                <w:szCs w:val="21"/>
              </w:rPr>
              <w:t>TE,total</w:t>
            </w:r>
            <w:proofErr w:type="spellEnd"/>
            <w:proofErr w:type="gramEnd"/>
            <w:r>
              <w:rPr>
                <w:rFonts w:ascii="Times New Roman" w:hAnsi="Times New Roman" w:cs="Times New Roman"/>
                <w:sz w:val="21"/>
                <w:szCs w:val="21"/>
              </w:rPr>
              <w:t xml:space="preserve"> </w:t>
            </w:r>
            <w:proofErr w:type="spellStart"/>
            <w:proofErr w:type="gramStart"/>
            <w:r>
              <w:rPr>
                <w:rFonts w:ascii="Times New Roman" w:hAnsi="Times New Roman" w:cs="Times New Roman"/>
                <w:sz w:val="21"/>
                <w:szCs w:val="21"/>
              </w:rPr>
              <w:t>effect;PNDE</w:t>
            </w:r>
            <w:proofErr w:type="gramEnd"/>
            <w:r>
              <w:rPr>
                <w:rFonts w:ascii="Times New Roman" w:hAnsi="Times New Roman" w:cs="Times New Roman"/>
                <w:sz w:val="21"/>
                <w:szCs w:val="21"/>
              </w:rPr>
              <w:t>,pure</w:t>
            </w:r>
            <w:proofErr w:type="spellEnd"/>
            <w:r>
              <w:rPr>
                <w:rFonts w:ascii="Times New Roman" w:hAnsi="Times New Roman" w:cs="Times New Roman"/>
                <w:sz w:val="21"/>
                <w:szCs w:val="21"/>
              </w:rPr>
              <w:t xml:space="preserve"> natural direct </w:t>
            </w:r>
            <w:proofErr w:type="spellStart"/>
            <w:proofErr w:type="gramStart"/>
            <w:r>
              <w:rPr>
                <w:rFonts w:ascii="Times New Roman" w:hAnsi="Times New Roman" w:cs="Times New Roman"/>
                <w:sz w:val="21"/>
                <w:szCs w:val="21"/>
              </w:rPr>
              <w:t>effect;PNIE</w:t>
            </w:r>
            <w:proofErr w:type="gramEnd"/>
            <w:r>
              <w:rPr>
                <w:rFonts w:ascii="Times New Roman" w:hAnsi="Times New Roman" w:cs="Times New Roman"/>
                <w:sz w:val="21"/>
                <w:szCs w:val="21"/>
              </w:rPr>
              <w:t>,pure</w:t>
            </w:r>
            <w:proofErr w:type="spellEnd"/>
            <w:r>
              <w:rPr>
                <w:rFonts w:ascii="Times New Roman" w:hAnsi="Times New Roman" w:cs="Times New Roman"/>
                <w:sz w:val="21"/>
                <w:szCs w:val="21"/>
              </w:rPr>
              <w:t xml:space="preserve"> natural indirect </w:t>
            </w:r>
            <w:proofErr w:type="spellStart"/>
            <w:proofErr w:type="gramStart"/>
            <w:r>
              <w:rPr>
                <w:rFonts w:ascii="Times New Roman" w:hAnsi="Times New Roman" w:cs="Times New Roman"/>
                <w:sz w:val="21"/>
                <w:szCs w:val="21"/>
              </w:rPr>
              <w:t>effect;PM</w:t>
            </w:r>
            <w:proofErr w:type="gramEnd"/>
            <w:r>
              <w:rPr>
                <w:rFonts w:ascii="Times New Roman" w:hAnsi="Times New Roman" w:cs="Times New Roman"/>
                <w:sz w:val="21"/>
                <w:szCs w:val="21"/>
              </w:rPr>
              <w:t>,proportion</w:t>
            </w:r>
            <w:proofErr w:type="spellEnd"/>
            <w:r>
              <w:rPr>
                <w:rFonts w:ascii="Times New Roman" w:hAnsi="Times New Roman" w:cs="Times New Roman"/>
                <w:sz w:val="21"/>
                <w:szCs w:val="21"/>
              </w:rPr>
              <w:t xml:space="preserve"> </w:t>
            </w:r>
            <w:proofErr w:type="spellStart"/>
            <w:proofErr w:type="gramStart"/>
            <w:r>
              <w:rPr>
                <w:rFonts w:ascii="Times New Roman" w:hAnsi="Times New Roman" w:cs="Times New Roman"/>
                <w:sz w:val="21"/>
                <w:szCs w:val="21"/>
              </w:rPr>
              <w:t>mediated.HR,hazard</w:t>
            </w:r>
            <w:proofErr w:type="spellEnd"/>
            <w:proofErr w:type="gramEnd"/>
            <w:r>
              <w:rPr>
                <w:rFonts w:ascii="Times New Roman" w:hAnsi="Times New Roman" w:cs="Times New Roman"/>
                <w:sz w:val="21"/>
                <w:szCs w:val="21"/>
              </w:rPr>
              <w:t xml:space="preserve"> </w:t>
            </w:r>
            <w:proofErr w:type="spellStart"/>
            <w:proofErr w:type="gramStart"/>
            <w:r>
              <w:rPr>
                <w:rFonts w:ascii="Times New Roman" w:hAnsi="Times New Roman" w:cs="Times New Roman"/>
                <w:sz w:val="21"/>
                <w:szCs w:val="21"/>
              </w:rPr>
              <w:t>ratio;CI</w:t>
            </w:r>
            <w:proofErr w:type="gramEnd"/>
            <w:r>
              <w:rPr>
                <w:rFonts w:ascii="Times New Roman" w:hAnsi="Times New Roman" w:cs="Times New Roman"/>
                <w:sz w:val="21"/>
                <w:szCs w:val="21"/>
              </w:rPr>
              <w:t>,confidence</w:t>
            </w:r>
            <w:proofErr w:type="spellEnd"/>
            <w:r>
              <w:rPr>
                <w:rFonts w:ascii="Times New Roman" w:hAnsi="Times New Roman" w:cs="Times New Roman"/>
                <w:sz w:val="21"/>
                <w:szCs w:val="21"/>
              </w:rPr>
              <w:t xml:space="preserve"> interval.</w:t>
            </w:r>
          </w:p>
        </w:tc>
      </w:tr>
    </w:tbl>
    <w:p w14:paraId="41EBFDFC" w14:textId="77777777" w:rsidR="002F52E7" w:rsidRDefault="002F52E7">
      <w:pPr>
        <w:widowControl w:val="0"/>
        <w:kinsoku w:val="0"/>
        <w:overflowPunct w:val="0"/>
        <w:rPr>
          <w:rFonts w:ascii="Times New Roman" w:hAnsi="Times New Roman" w:cs="Times New Roman"/>
          <w:sz w:val="21"/>
          <w:szCs w:val="21"/>
          <w:lang w:eastAsia="zh-CN"/>
        </w:rPr>
      </w:pPr>
    </w:p>
    <w:p w14:paraId="157B8F88" w14:textId="77777777" w:rsidR="002F52E7" w:rsidRDefault="002F52E7">
      <w:pPr>
        <w:widowControl w:val="0"/>
        <w:kinsoku w:val="0"/>
        <w:overflowPunct w:val="0"/>
        <w:rPr>
          <w:rFonts w:ascii="Times New Roman" w:hAnsi="Times New Roman" w:cs="Times New Roman"/>
          <w:sz w:val="21"/>
          <w:szCs w:val="21"/>
          <w:lang w:eastAsia="zh-CN"/>
        </w:rPr>
      </w:pPr>
    </w:p>
    <w:p w14:paraId="403E05DC" w14:textId="77777777" w:rsidR="002F52E7" w:rsidRDefault="00000000">
      <w:pPr>
        <w:pStyle w:val="Caption"/>
        <w:widowControl w:val="0"/>
        <w:kinsoku w:val="0"/>
        <w:overflowPunct w:val="0"/>
        <w:rPr>
          <w:rFonts w:ascii="Times New Roman" w:hAnsi="Times New Roman" w:cs="Times New Roman"/>
          <w:sz w:val="21"/>
          <w:szCs w:val="21"/>
          <w:lang w:eastAsia="zh-CN"/>
        </w:rPr>
      </w:pPr>
      <w:bookmarkStart w:id="4" w:name="_Ref15364"/>
      <w:r>
        <w:rPr>
          <w:rFonts w:ascii="Times New Roman" w:hAnsi="Times New Roman" w:cs="Times New Roman"/>
          <w:b/>
          <w:bCs/>
          <w:sz w:val="21"/>
          <w:szCs w:val="21"/>
        </w:rPr>
        <w:t xml:space="preserve">Supplementary Table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Supplementary_Table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2</w:t>
      </w:r>
      <w:r>
        <w:rPr>
          <w:rFonts w:ascii="Times New Roman" w:hAnsi="Times New Roman" w:cs="Times New Roman"/>
          <w:b/>
          <w:bCs/>
          <w:sz w:val="21"/>
          <w:szCs w:val="21"/>
        </w:rPr>
        <w:fldChar w:fldCharType="end"/>
      </w:r>
      <w:r>
        <w:rPr>
          <w:rFonts w:ascii="Times New Roman" w:hAnsi="Times New Roman" w:cs="Times New Roman"/>
          <w:sz w:val="21"/>
          <w:szCs w:val="21"/>
          <w:lang w:eastAsia="zh-CN"/>
        </w:rPr>
        <w:t xml:space="preserve"> </w:t>
      </w:r>
      <w:r>
        <w:rPr>
          <w:rFonts w:ascii="Times New Roman" w:eastAsiaTheme="minorEastAsia" w:hAnsi="Times New Roman" w:cs="Times New Roman"/>
          <w:sz w:val="21"/>
          <w:szCs w:val="21"/>
          <w:lang w:eastAsia="zh-CN"/>
        </w:rPr>
        <w:t>Cox proportional hazards models of the association between SHR and in-hospital,30-</w:t>
      </w:r>
      <w:proofErr w:type="gramStart"/>
      <w:r>
        <w:rPr>
          <w:rFonts w:ascii="Times New Roman" w:eastAsiaTheme="minorEastAsia" w:hAnsi="Times New Roman" w:cs="Times New Roman"/>
          <w:sz w:val="21"/>
          <w:szCs w:val="21"/>
          <w:lang w:eastAsia="zh-CN"/>
        </w:rPr>
        <w:t>day,and</w:t>
      </w:r>
      <w:proofErr w:type="gramEnd"/>
      <w:r>
        <w:rPr>
          <w:rFonts w:ascii="Times New Roman" w:eastAsiaTheme="minorEastAsia" w:hAnsi="Times New Roman" w:cs="Times New Roman"/>
          <w:sz w:val="21"/>
          <w:szCs w:val="21"/>
          <w:lang w:eastAsia="zh-CN"/>
        </w:rPr>
        <w:t xml:space="preserve"> 365-day all-cause mortality in patients after excluding those with diabetic </w:t>
      </w:r>
      <w:proofErr w:type="gramStart"/>
      <w:r>
        <w:rPr>
          <w:rFonts w:ascii="Times New Roman" w:eastAsiaTheme="minorEastAsia" w:hAnsi="Times New Roman" w:cs="Times New Roman"/>
          <w:sz w:val="21"/>
          <w:szCs w:val="21"/>
          <w:lang w:eastAsia="zh-CN"/>
        </w:rPr>
        <w:t>ketoacidosis(</w:t>
      </w:r>
      <w:proofErr w:type="gramEnd"/>
      <w:r>
        <w:rPr>
          <w:rFonts w:ascii="Times New Roman" w:eastAsiaTheme="minorEastAsia" w:hAnsi="Times New Roman" w:cs="Times New Roman"/>
          <w:sz w:val="21"/>
          <w:szCs w:val="21"/>
          <w:lang w:eastAsia="zh-CN"/>
        </w:rPr>
        <w:t xml:space="preserve">DKA)or hyperosmolar hyperglycemic </w:t>
      </w:r>
      <w:proofErr w:type="gramStart"/>
      <w:r>
        <w:rPr>
          <w:rFonts w:ascii="Times New Roman" w:eastAsiaTheme="minorEastAsia" w:hAnsi="Times New Roman" w:cs="Times New Roman"/>
          <w:sz w:val="21"/>
          <w:szCs w:val="21"/>
          <w:lang w:eastAsia="zh-CN"/>
        </w:rPr>
        <w:t>state(</w:t>
      </w:r>
      <w:proofErr w:type="gramEnd"/>
      <w:r>
        <w:rPr>
          <w:rFonts w:ascii="Times New Roman" w:eastAsiaTheme="minorEastAsia" w:hAnsi="Times New Roman" w:cs="Times New Roman"/>
          <w:sz w:val="21"/>
          <w:szCs w:val="21"/>
          <w:lang w:eastAsia="zh-CN"/>
        </w:rPr>
        <w:t>HHS)</w:t>
      </w:r>
      <w:bookmarkEnd w:id="4"/>
    </w:p>
    <w:tbl>
      <w:tblPr>
        <w:tblW w:w="14400" w:type="dxa"/>
        <w:jc w:val="center"/>
        <w:tblLook w:val="04A0" w:firstRow="1" w:lastRow="0" w:firstColumn="1" w:lastColumn="0" w:noHBand="0" w:noVBand="1"/>
      </w:tblPr>
      <w:tblGrid>
        <w:gridCol w:w="3017"/>
        <w:gridCol w:w="1836"/>
        <w:gridCol w:w="1009"/>
        <w:gridCol w:w="1837"/>
        <w:gridCol w:w="1009"/>
        <w:gridCol w:w="1837"/>
        <w:gridCol w:w="1009"/>
        <w:gridCol w:w="1837"/>
        <w:gridCol w:w="1009"/>
      </w:tblGrid>
      <w:tr w:rsidR="002F52E7" w14:paraId="0D832939" w14:textId="77777777">
        <w:trPr>
          <w:tblHeader/>
          <w:jc w:val="center"/>
        </w:trPr>
        <w:tc>
          <w:tcPr>
            <w:tcW w:w="3017" w:type="dxa"/>
            <w:vMerge w:val="restart"/>
            <w:tcBorders>
              <w:top w:val="single" w:sz="12" w:space="0" w:color="000000"/>
              <w:left w:val="nil"/>
              <w:right w:val="nil"/>
            </w:tcBorders>
            <w:shd w:val="clear" w:color="auto" w:fill="FFFFFF"/>
            <w:tcMar>
              <w:top w:w="0" w:type="dxa"/>
              <w:left w:w="0" w:type="dxa"/>
              <w:bottom w:w="0" w:type="dxa"/>
              <w:right w:w="0" w:type="dxa"/>
            </w:tcMar>
            <w:vAlign w:val="center"/>
          </w:tcPr>
          <w:p w14:paraId="26739E4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
        </w:tc>
        <w:tc>
          <w:tcPr>
            <w:tcW w:w="2845"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3C8B6C4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Crude model</w:t>
            </w:r>
          </w:p>
        </w:tc>
        <w:tc>
          <w:tcPr>
            <w:tcW w:w="2846"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4BC57D8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w:t>
            </w:r>
          </w:p>
        </w:tc>
        <w:tc>
          <w:tcPr>
            <w:tcW w:w="2846"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726DF53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II</w:t>
            </w:r>
          </w:p>
        </w:tc>
        <w:tc>
          <w:tcPr>
            <w:tcW w:w="2846"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7F662AC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III</w:t>
            </w:r>
          </w:p>
        </w:tc>
      </w:tr>
      <w:tr w:rsidR="002F52E7" w14:paraId="23D7AEF7" w14:textId="77777777">
        <w:trPr>
          <w:tblHeader/>
          <w:jc w:val="center"/>
        </w:trPr>
        <w:tc>
          <w:tcPr>
            <w:tcW w:w="3017" w:type="dxa"/>
            <w:vMerge/>
            <w:tcBorders>
              <w:left w:val="nil"/>
              <w:bottom w:val="single" w:sz="6" w:space="0" w:color="000000"/>
              <w:right w:val="nil"/>
            </w:tcBorders>
            <w:shd w:val="clear" w:color="auto" w:fill="FFFFFF"/>
            <w:tcMar>
              <w:top w:w="0" w:type="dxa"/>
              <w:left w:w="0" w:type="dxa"/>
              <w:bottom w:w="0" w:type="dxa"/>
              <w:right w:w="0" w:type="dxa"/>
            </w:tcMar>
            <w:vAlign w:val="center"/>
          </w:tcPr>
          <w:p w14:paraId="7BD133F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
        </w:tc>
        <w:tc>
          <w:tcPr>
            <w:tcW w:w="1836"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23C376C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1009"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1CB0877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37"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3B4890A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1009"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69E3378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37"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4CD536F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1009"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2AAA792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37"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68F765D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1009"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760B200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r>
      <w:tr w:rsidR="002F52E7" w14:paraId="256B20A8" w14:textId="77777777">
        <w:trPr>
          <w:jc w:val="center"/>
        </w:trPr>
        <w:tc>
          <w:tcPr>
            <w:tcW w:w="3017"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2460031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In-hospital Mortality</w:t>
            </w:r>
          </w:p>
        </w:tc>
        <w:tc>
          <w:tcPr>
            <w:tcW w:w="1836"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1263362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009"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0321B49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37"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3F18C0D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009"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33AAF1B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37"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4007E2C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009"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0992E7D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37"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63D437B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009"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5F6AF5F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r>
      <w:tr w:rsidR="002F52E7" w14:paraId="307F5272"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19D0A6A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7495EB1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1.35 (1.26, 1.44)</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3667F74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4D86C57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1.40 (1.30, 1.50)</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46537D6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0BFE408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1.32 (1.21, 1.43)</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33FDE3F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2E1F56A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1.27 (1.16, 1.39)</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034CB31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6FEAFA4A"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1F8AB82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27C6BD3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0E5641D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1E28EB4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22D6437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10E78CD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E13E98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7CF3BC4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2D8C06B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r>
      <w:tr w:rsidR="002F52E7" w14:paraId="42AE4BB2"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2490D83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63C3FFE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713D7B7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5EB74F3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3965CA1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1107A70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6D9FB85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236FEB0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798241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63C7C68A"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339AB95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51C60C7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1.51 (1.06, 2.14)</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35D9D9D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0.022</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01881E4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1.53 (1.07, 2.17)</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5DFE2A3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0.019</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7AA7329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1.47 (1.03, 2.11)</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7B4C944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0.035</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43E18EA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1.39 (0.97, 2.00)</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3F2AB0A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0.072</w:t>
            </w:r>
          </w:p>
        </w:tc>
      </w:tr>
      <w:tr w:rsidR="002F52E7" w14:paraId="46A3EF34"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02188E1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0310397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2.54 (1.85, 3.49)</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207A332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0B0A09C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2.52 (1.84, 3.47)</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B24FD1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750E3C3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2.18 (1.57, 3.02)</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3E29C4A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636B1CD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1.94 (1.39, 2.70)</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F3EC8A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6D989ED5"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1A1C7D8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520768A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0146774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075AC9D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40FF12C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14804C6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900B19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4AA9A5F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6951438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6061768D"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131236D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 xml:space="preserve">30 </w:t>
            </w:r>
            <w:proofErr w:type="gramStart"/>
            <w:r>
              <w:rPr>
                <w:rFonts w:ascii="Times New Roman" w:hAnsi="Times New Roman" w:cs="Times New Roman"/>
                <w:b/>
                <w:i/>
                <w:sz w:val="21"/>
                <w:szCs w:val="21"/>
              </w:rPr>
              <w:t>day</w:t>
            </w:r>
            <w:proofErr w:type="gramEnd"/>
            <w:r>
              <w:rPr>
                <w:rFonts w:ascii="Times New Roman" w:hAnsi="Times New Roman" w:cs="Times New Roman"/>
                <w:b/>
                <w:i/>
                <w:sz w:val="21"/>
                <w:szCs w:val="21"/>
              </w:rPr>
              <w:t xml:space="preserve"> </w:t>
            </w:r>
            <w:proofErr w:type="spellStart"/>
            <w:r>
              <w:rPr>
                <w:rFonts w:ascii="Times New Roman" w:hAnsi="Times New Roman" w:cs="Times New Roman"/>
                <w:b/>
                <w:i/>
                <w:sz w:val="21"/>
                <w:szCs w:val="21"/>
              </w:rPr>
              <w:t>all cause</w:t>
            </w:r>
            <w:proofErr w:type="spellEnd"/>
            <w:r>
              <w:rPr>
                <w:rFonts w:ascii="Times New Roman" w:hAnsi="Times New Roman" w:cs="Times New Roman"/>
                <w:b/>
                <w:i/>
                <w:sz w:val="21"/>
                <w:szCs w:val="21"/>
              </w:rPr>
              <w:t xml:space="preserve"> Mortality</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3CCE611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5470B0A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023536E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4E88260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5827491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762BB57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05DDACB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2436AB9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48F9C0C7"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160DEFF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2FBCA4E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1.33 (1.26, 1.40)</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730F5CF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2F6ED6F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1.39 (1.30, 1.47)</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4A3963D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16B761E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1.25 (1.16, 1.35)</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434BDD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46643E9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1.21 (1.11, 1.31)</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0EC2245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7B4AF5E9"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3065669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3D1D6F9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2D4EF1A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4899B94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4C65032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5A36B16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7F40AC2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6F188DE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C0808E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1EE84350"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05C8E3F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06DEE33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2FC0407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7D764D5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3E81748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075FE67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0519160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2E6F109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75DC48F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44E97355"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4F6B193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5AB36C4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1.22 (0.89, 1.67)</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304DF86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0.212</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3A40212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1.21 (0.88, 1.65)</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4944877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0.242</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650CF5A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1.08 (0.78, 1.48)</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3D3A092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0.640</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767ECB9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1.11 (0.81, 1.53)</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7954CA7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0.522</w:t>
            </w:r>
          </w:p>
        </w:tc>
      </w:tr>
      <w:tr w:rsidR="002F52E7" w14:paraId="03FAC2E4"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4AFA4DD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lastRenderedPageBreak/>
              <w:t>T3</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7F88C8E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2.51 (1.90, 3.31)</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3D91498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09BE654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2.41 (1.83, 3.18)</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68405F8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089EDA1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1.81 (1.36, 2.41)</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5120DEA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750B492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1.73 (1.30, 2.31)</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4D02EAE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2CE5B78D"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46135AE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6F94157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F08F24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3543DC3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07643A4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2B1D22F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7D24D4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79EB221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4C88886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608A1C54"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03BF77C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 xml:space="preserve">365 </w:t>
            </w:r>
            <w:proofErr w:type="gramStart"/>
            <w:r>
              <w:rPr>
                <w:rFonts w:ascii="Times New Roman" w:hAnsi="Times New Roman" w:cs="Times New Roman"/>
                <w:b/>
                <w:i/>
                <w:sz w:val="21"/>
                <w:szCs w:val="21"/>
              </w:rPr>
              <w:t>day</w:t>
            </w:r>
            <w:proofErr w:type="gramEnd"/>
            <w:r>
              <w:rPr>
                <w:rFonts w:ascii="Times New Roman" w:hAnsi="Times New Roman" w:cs="Times New Roman"/>
                <w:b/>
                <w:i/>
                <w:sz w:val="21"/>
                <w:szCs w:val="21"/>
              </w:rPr>
              <w:t xml:space="preserve"> </w:t>
            </w:r>
            <w:proofErr w:type="spellStart"/>
            <w:r>
              <w:rPr>
                <w:rFonts w:ascii="Times New Roman" w:hAnsi="Times New Roman" w:cs="Times New Roman"/>
                <w:b/>
                <w:i/>
                <w:sz w:val="21"/>
                <w:szCs w:val="21"/>
              </w:rPr>
              <w:t>all cause</w:t>
            </w:r>
            <w:proofErr w:type="spellEnd"/>
            <w:r>
              <w:rPr>
                <w:rFonts w:ascii="Times New Roman" w:hAnsi="Times New Roman" w:cs="Times New Roman"/>
                <w:b/>
                <w:i/>
                <w:sz w:val="21"/>
                <w:szCs w:val="21"/>
              </w:rPr>
              <w:t xml:space="preserve"> Mortality</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6363328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6F9592E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58323E9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A977B5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4062E48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2CE63D4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17C8A62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079B013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051EEEB8"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2D6DA6B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62A0CEE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1.24 (1.19, 1.30)</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4E2D943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459C9D5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1.27 (1.21, 1.34)</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244DAAE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52A29A5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1.14 (1.08, 1.22)</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4307D27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1E214D4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1.11 (1.04, 1.18)</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7E9DC1C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0.001</w:t>
            </w:r>
          </w:p>
        </w:tc>
      </w:tr>
      <w:tr w:rsidR="002F52E7" w14:paraId="7F1992E0"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0EB8C80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61DDD34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5FF7A3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04FFD8D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662E493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18BB4A5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641F245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19C24E2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4E3C6C7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2EC5BBB2"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13249B6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7E6B8EC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7F51042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6219AEF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0E5A801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40EFDE7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4D35A63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1E35530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7EC0353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6F37EBE2"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72BE714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0F0DAEC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0.94 (0.77, 1.14)</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AF6E26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0.516</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0C59838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0.94 (0.77, 1.14)</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6116DB2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0.515</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44E1771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0.87 (0.71, 1.06)</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18A1F7E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0.160</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18B1521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0.86 (0.70, 1.04)</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65A7BE2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0.125</w:t>
            </w:r>
          </w:p>
        </w:tc>
      </w:tr>
      <w:tr w:rsidR="002F52E7" w14:paraId="347E47F8" w14:textId="77777777">
        <w:trPr>
          <w:jc w:val="center"/>
        </w:trPr>
        <w:tc>
          <w:tcPr>
            <w:tcW w:w="3017" w:type="dxa"/>
            <w:tcBorders>
              <w:top w:val="nil"/>
              <w:left w:val="nil"/>
              <w:bottom w:val="nil"/>
              <w:right w:val="nil"/>
            </w:tcBorders>
            <w:shd w:val="clear" w:color="auto" w:fill="FFFFFF"/>
            <w:tcMar>
              <w:top w:w="0" w:type="dxa"/>
              <w:left w:w="0" w:type="dxa"/>
              <w:bottom w:w="0" w:type="dxa"/>
              <w:right w:w="0" w:type="dxa"/>
            </w:tcMar>
            <w:vAlign w:val="center"/>
          </w:tcPr>
          <w:p w14:paraId="4F6142F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36" w:type="dxa"/>
            <w:tcBorders>
              <w:top w:val="nil"/>
              <w:left w:val="nil"/>
              <w:bottom w:val="nil"/>
              <w:right w:val="nil"/>
            </w:tcBorders>
            <w:shd w:val="clear" w:color="auto" w:fill="FFFFFF"/>
            <w:tcMar>
              <w:top w:w="0" w:type="dxa"/>
              <w:left w:w="0" w:type="dxa"/>
              <w:bottom w:w="0" w:type="dxa"/>
              <w:right w:w="0" w:type="dxa"/>
            </w:tcMar>
            <w:vAlign w:val="center"/>
          </w:tcPr>
          <w:p w14:paraId="6154214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1.67 (1.40, 1.98)</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738C94A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7330976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1.62 (1.37, 1.93)</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2A2DFDB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416A926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1.27 (1.06, 1.52)</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307FFD4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0.008</w:t>
            </w:r>
          </w:p>
        </w:tc>
        <w:tc>
          <w:tcPr>
            <w:tcW w:w="1837" w:type="dxa"/>
            <w:tcBorders>
              <w:top w:val="nil"/>
              <w:left w:val="nil"/>
              <w:bottom w:val="nil"/>
              <w:right w:val="nil"/>
            </w:tcBorders>
            <w:shd w:val="clear" w:color="auto" w:fill="FFFFFF"/>
            <w:tcMar>
              <w:top w:w="0" w:type="dxa"/>
              <w:left w:w="0" w:type="dxa"/>
              <w:bottom w:w="0" w:type="dxa"/>
              <w:right w:w="0" w:type="dxa"/>
            </w:tcMar>
            <w:vAlign w:val="center"/>
          </w:tcPr>
          <w:p w14:paraId="3924173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1.21 (1.01, 1.45)</w:t>
            </w:r>
          </w:p>
        </w:tc>
        <w:tc>
          <w:tcPr>
            <w:tcW w:w="1009" w:type="dxa"/>
            <w:tcBorders>
              <w:top w:val="nil"/>
              <w:left w:val="nil"/>
              <w:bottom w:val="nil"/>
              <w:right w:val="nil"/>
            </w:tcBorders>
            <w:shd w:val="clear" w:color="auto" w:fill="FFFFFF"/>
            <w:tcMar>
              <w:top w:w="0" w:type="dxa"/>
              <w:left w:w="0" w:type="dxa"/>
              <w:bottom w:w="0" w:type="dxa"/>
              <w:right w:w="0" w:type="dxa"/>
            </w:tcMar>
            <w:vAlign w:val="center"/>
          </w:tcPr>
          <w:p w14:paraId="389B2F9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0.036</w:t>
            </w:r>
          </w:p>
        </w:tc>
      </w:tr>
      <w:tr w:rsidR="002F52E7" w14:paraId="69046109" w14:textId="77777777">
        <w:trPr>
          <w:jc w:val="center"/>
        </w:trPr>
        <w:tc>
          <w:tcPr>
            <w:tcW w:w="3017"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6B9BB5D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36"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4F9B83D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1C1CE83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1C05EA3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29F6FE1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37"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037ECED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32D0D13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0.004</w:t>
            </w:r>
          </w:p>
        </w:tc>
        <w:tc>
          <w:tcPr>
            <w:tcW w:w="1837"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0FF6E1A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009"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0D3C9A9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0.018</w:t>
            </w:r>
          </w:p>
        </w:tc>
      </w:tr>
      <w:tr w:rsidR="002F52E7" w14:paraId="1A852C16" w14:textId="77777777">
        <w:trPr>
          <w:jc w:val="center"/>
        </w:trPr>
        <w:tc>
          <w:tcPr>
            <w:tcW w:w="14400" w:type="dxa"/>
            <w:gridSpan w:val="9"/>
            <w:tcBorders>
              <w:top w:val="single" w:sz="12" w:space="0" w:color="000000"/>
              <w:left w:val="nil"/>
              <w:bottom w:val="nil"/>
              <w:right w:val="nil"/>
            </w:tcBorders>
            <w:shd w:val="clear" w:color="auto" w:fill="FFFFFF"/>
            <w:tcMar>
              <w:top w:w="0" w:type="dxa"/>
              <w:left w:w="0" w:type="dxa"/>
              <w:bottom w:w="0" w:type="dxa"/>
              <w:right w:w="0" w:type="dxa"/>
            </w:tcMar>
            <w:vAlign w:val="center"/>
          </w:tcPr>
          <w:p w14:paraId="680B749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line="360" w:lineRule="auto"/>
              <w:rPr>
                <w:rFonts w:ascii="Times New Roman" w:hAnsi="Times New Roman" w:cs="Times New Roman"/>
                <w:sz w:val="21"/>
                <w:szCs w:val="21"/>
                <w:lang w:eastAsia="zh-CN"/>
              </w:rPr>
            </w:pPr>
            <w:r>
              <w:rPr>
                <w:rFonts w:ascii="Times New Roman" w:hAnsi="Times New Roman" w:cs="Times New Roman"/>
                <w:sz w:val="21"/>
                <w:szCs w:val="21"/>
                <w:lang w:eastAsia="zh-CN"/>
              </w:rPr>
              <w:t xml:space="preserve">Crude </w:t>
            </w:r>
            <w:proofErr w:type="spellStart"/>
            <w:r>
              <w:rPr>
                <w:rFonts w:ascii="Times New Roman" w:hAnsi="Times New Roman" w:cs="Times New Roman"/>
                <w:sz w:val="21"/>
                <w:szCs w:val="21"/>
                <w:lang w:eastAsia="zh-CN"/>
              </w:rPr>
              <w:t>model:no</w:t>
            </w:r>
            <w:proofErr w:type="spellEnd"/>
            <w:r>
              <w:rPr>
                <w:rFonts w:ascii="Times New Roman" w:hAnsi="Times New Roman" w:cs="Times New Roman"/>
                <w:sz w:val="21"/>
                <w:szCs w:val="21"/>
                <w:lang w:eastAsia="zh-CN"/>
              </w:rPr>
              <w:t xml:space="preserve"> covariates </w:t>
            </w:r>
            <w:proofErr w:type="spellStart"/>
            <w:r>
              <w:rPr>
                <w:rFonts w:ascii="Times New Roman" w:hAnsi="Times New Roman" w:cs="Times New Roman"/>
                <w:sz w:val="21"/>
                <w:szCs w:val="21"/>
                <w:lang w:eastAsia="zh-CN"/>
              </w:rPr>
              <w:t>adjusted.Model</w:t>
            </w:r>
            <w:proofErr w:type="spellEnd"/>
            <w:r>
              <w:rPr>
                <w:rFonts w:ascii="Times New Roman" w:hAnsi="Times New Roman" w:cs="Times New Roman"/>
                <w:sz w:val="21"/>
                <w:szCs w:val="21"/>
                <w:lang w:eastAsia="zh-CN"/>
              </w:rPr>
              <w:t xml:space="preserve"> I:Adjusted for </w:t>
            </w:r>
            <w:proofErr w:type="spellStart"/>
            <w:r>
              <w:rPr>
                <w:rFonts w:ascii="Times New Roman" w:hAnsi="Times New Roman" w:cs="Times New Roman"/>
                <w:sz w:val="21"/>
                <w:szCs w:val="21"/>
                <w:lang w:eastAsia="zh-CN"/>
              </w:rPr>
              <w:t>Age,Gender,and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Race.Model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II:Adjusted</w:t>
            </w:r>
            <w:proofErr w:type="spellEnd"/>
            <w:r>
              <w:rPr>
                <w:rFonts w:ascii="Times New Roman" w:hAnsi="Times New Roman" w:cs="Times New Roman"/>
                <w:sz w:val="21"/>
                <w:szCs w:val="21"/>
                <w:lang w:eastAsia="zh-CN"/>
              </w:rPr>
              <w:t xml:space="preserve"> for Model </w:t>
            </w:r>
            <w:proofErr w:type="spellStart"/>
            <w:r>
              <w:rPr>
                <w:rFonts w:ascii="Times New Roman" w:hAnsi="Times New Roman" w:cs="Times New Roman"/>
                <w:sz w:val="21"/>
                <w:szCs w:val="21"/>
                <w:lang w:eastAsia="zh-CN"/>
              </w:rPr>
              <w:t>I+Hypertension,Diabetes</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mellitus,Atrial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fibrillation,Chronic</w:t>
            </w:r>
            <w:proofErr w:type="spellEnd"/>
            <w:r>
              <w:rPr>
                <w:rFonts w:ascii="Times New Roman" w:hAnsi="Times New Roman" w:cs="Times New Roman"/>
                <w:sz w:val="21"/>
                <w:szCs w:val="21"/>
                <w:lang w:eastAsia="zh-CN"/>
              </w:rPr>
              <w:t xml:space="preserve"> kidney </w:t>
            </w:r>
            <w:proofErr w:type="spellStart"/>
            <w:r>
              <w:rPr>
                <w:rFonts w:ascii="Times New Roman" w:hAnsi="Times New Roman" w:cs="Times New Roman"/>
                <w:sz w:val="21"/>
                <w:szCs w:val="21"/>
                <w:lang w:eastAsia="zh-CN"/>
              </w:rPr>
              <w:t>disease,Myocardial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infarct,Cerebrovascular</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disease,Chronic</w:t>
            </w:r>
            <w:proofErr w:type="spellEnd"/>
            <w:r>
              <w:rPr>
                <w:rFonts w:ascii="Times New Roman" w:hAnsi="Times New Roman" w:cs="Times New Roman"/>
                <w:sz w:val="21"/>
                <w:szCs w:val="21"/>
                <w:lang w:eastAsia="zh-CN"/>
              </w:rPr>
              <w:t xml:space="preserve"> pulmonary </w:t>
            </w:r>
            <w:proofErr w:type="spellStart"/>
            <w:r>
              <w:rPr>
                <w:rFonts w:ascii="Times New Roman" w:hAnsi="Times New Roman" w:cs="Times New Roman"/>
                <w:sz w:val="21"/>
                <w:szCs w:val="21"/>
                <w:lang w:eastAsia="zh-CN"/>
              </w:rPr>
              <w:t>disease,Paraplegia,CRRT,Ventilations,BMI,SBP,Urea</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nitrogen,Platelet,Hemoglobin,Aniongap,Heart</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rate,Albumin,Creatinine,and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SOFA.Model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III:Adjusted</w:t>
            </w:r>
            <w:proofErr w:type="spellEnd"/>
            <w:r>
              <w:rPr>
                <w:rFonts w:ascii="Times New Roman" w:hAnsi="Times New Roman" w:cs="Times New Roman"/>
                <w:sz w:val="21"/>
                <w:szCs w:val="21"/>
                <w:lang w:eastAsia="zh-CN"/>
              </w:rPr>
              <w:t xml:space="preserve"> for Model II+ACE inhibitors/</w:t>
            </w:r>
            <w:proofErr w:type="spellStart"/>
            <w:r>
              <w:rPr>
                <w:rFonts w:ascii="Times New Roman" w:hAnsi="Times New Roman" w:cs="Times New Roman"/>
                <w:sz w:val="21"/>
                <w:szCs w:val="21"/>
                <w:lang w:eastAsia="zh-CN"/>
              </w:rPr>
              <w:t>ARB,antiplatelet</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agents,statins,and</w:t>
            </w:r>
            <w:proofErr w:type="spellEnd"/>
            <w:r>
              <w:rPr>
                <w:rFonts w:ascii="Times New Roman" w:hAnsi="Times New Roman" w:cs="Times New Roman"/>
                <w:sz w:val="21"/>
                <w:szCs w:val="21"/>
                <w:lang w:eastAsia="zh-CN"/>
              </w:rPr>
              <w:t xml:space="preserve"> beta-</w:t>
            </w:r>
            <w:proofErr w:type="spellStart"/>
            <w:r>
              <w:rPr>
                <w:rFonts w:ascii="Times New Roman" w:hAnsi="Times New Roman" w:cs="Times New Roman"/>
                <w:sz w:val="21"/>
                <w:szCs w:val="21"/>
                <w:lang w:eastAsia="zh-CN"/>
              </w:rPr>
              <w:t>blockers.HR,hazard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ratio;CI,confidence</w:t>
            </w:r>
            <w:proofErr w:type="spellEnd"/>
            <w:r>
              <w:rPr>
                <w:rFonts w:ascii="Times New Roman" w:hAnsi="Times New Roman" w:cs="Times New Roman"/>
                <w:sz w:val="21"/>
                <w:szCs w:val="21"/>
                <w:lang w:eastAsia="zh-CN"/>
              </w:rPr>
              <w:t xml:space="preserve"> interval</w:t>
            </w:r>
          </w:p>
        </w:tc>
      </w:tr>
    </w:tbl>
    <w:p w14:paraId="01F9104D" w14:textId="77777777" w:rsidR="002F52E7" w:rsidRDefault="002F52E7">
      <w:pPr>
        <w:pStyle w:val="Caption"/>
        <w:widowControl w:val="0"/>
        <w:kinsoku w:val="0"/>
        <w:overflowPunct w:val="0"/>
        <w:rPr>
          <w:rFonts w:ascii="Times New Roman" w:hAnsi="Times New Roman" w:cs="Times New Roman"/>
          <w:sz w:val="21"/>
          <w:szCs w:val="21"/>
        </w:rPr>
      </w:pPr>
    </w:p>
    <w:p w14:paraId="4AF31850" w14:textId="77777777" w:rsidR="002F52E7" w:rsidRDefault="002F52E7">
      <w:pPr>
        <w:widowControl w:val="0"/>
        <w:kinsoku w:val="0"/>
        <w:overflowPunct w:val="0"/>
        <w:rPr>
          <w:rFonts w:ascii="Times New Roman" w:hAnsi="Times New Roman" w:cs="Times New Roman"/>
          <w:sz w:val="21"/>
          <w:szCs w:val="21"/>
        </w:rPr>
      </w:pPr>
    </w:p>
    <w:p w14:paraId="6AF893B2" w14:textId="77777777" w:rsidR="002F52E7" w:rsidRDefault="00000000">
      <w:pPr>
        <w:pStyle w:val="Caption"/>
        <w:widowControl w:val="0"/>
        <w:kinsoku w:val="0"/>
        <w:overflowPunct w:val="0"/>
        <w:rPr>
          <w:rFonts w:ascii="Times New Roman" w:hAnsi="Times New Roman" w:cs="Times New Roman"/>
          <w:sz w:val="21"/>
          <w:szCs w:val="21"/>
          <w:lang w:eastAsia="zh-CN"/>
        </w:rPr>
      </w:pPr>
      <w:bookmarkStart w:id="5" w:name="_Ref15772"/>
      <w:r>
        <w:rPr>
          <w:rFonts w:ascii="Times New Roman" w:hAnsi="Times New Roman" w:cs="Times New Roman"/>
          <w:b/>
          <w:bCs/>
          <w:sz w:val="21"/>
          <w:szCs w:val="21"/>
        </w:rPr>
        <w:t xml:space="preserve">Supplementary Table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Supplementary_Table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3</w:t>
      </w:r>
      <w:r>
        <w:rPr>
          <w:rFonts w:ascii="Times New Roman" w:hAnsi="Times New Roman" w:cs="Times New Roman"/>
          <w:b/>
          <w:bCs/>
          <w:sz w:val="21"/>
          <w:szCs w:val="21"/>
        </w:rPr>
        <w:fldChar w:fldCharType="end"/>
      </w:r>
      <w:r>
        <w:rPr>
          <w:rFonts w:ascii="Times New Roman" w:hAnsi="Times New Roman" w:cs="Times New Roman"/>
          <w:sz w:val="21"/>
          <w:szCs w:val="21"/>
          <w:lang w:eastAsia="zh-CN"/>
        </w:rPr>
        <w:t xml:space="preserve"> </w:t>
      </w:r>
      <w:r>
        <w:rPr>
          <w:rFonts w:ascii="Times New Roman" w:eastAsiaTheme="minorEastAsia" w:hAnsi="Times New Roman" w:cs="Times New Roman"/>
          <w:sz w:val="21"/>
          <w:szCs w:val="21"/>
          <w:lang w:eastAsia="zh-CN"/>
        </w:rPr>
        <w:t>Cox proportional hazards models of the association between SHR and in-hospital</w:t>
      </w:r>
      <w:proofErr w:type="gramStart"/>
      <w:r>
        <w:rPr>
          <w:rFonts w:ascii="Times New Roman" w:eastAsiaTheme="minorEastAsia" w:hAnsi="Times New Roman" w:cs="Times New Roman"/>
          <w:sz w:val="21"/>
          <w:szCs w:val="21"/>
          <w:lang w:eastAsia="zh-CN"/>
        </w:rPr>
        <w:t>,30</w:t>
      </w:r>
      <w:proofErr w:type="gramEnd"/>
      <w:r>
        <w:rPr>
          <w:rFonts w:ascii="Times New Roman" w:eastAsiaTheme="minorEastAsia" w:hAnsi="Times New Roman" w:cs="Times New Roman"/>
          <w:sz w:val="21"/>
          <w:szCs w:val="21"/>
          <w:lang w:eastAsia="zh-CN"/>
        </w:rPr>
        <w:t>-</w:t>
      </w:r>
      <w:proofErr w:type="gramStart"/>
      <w:r>
        <w:rPr>
          <w:rFonts w:ascii="Times New Roman" w:eastAsiaTheme="minorEastAsia" w:hAnsi="Times New Roman" w:cs="Times New Roman"/>
          <w:sz w:val="21"/>
          <w:szCs w:val="21"/>
          <w:lang w:eastAsia="zh-CN"/>
        </w:rPr>
        <w:t>day,and</w:t>
      </w:r>
      <w:proofErr w:type="gramEnd"/>
      <w:r>
        <w:rPr>
          <w:rFonts w:ascii="Times New Roman" w:eastAsiaTheme="minorEastAsia" w:hAnsi="Times New Roman" w:cs="Times New Roman"/>
          <w:sz w:val="21"/>
          <w:szCs w:val="21"/>
          <w:lang w:eastAsia="zh-CN"/>
        </w:rPr>
        <w:t xml:space="preserve"> 365-day all-cause mortality in patients after excluding those with prior use of oral hypoglycemic agents or insulin</w:t>
      </w:r>
      <w:bookmarkEnd w:id="5"/>
    </w:p>
    <w:tbl>
      <w:tblPr>
        <w:tblW w:w="14400" w:type="dxa"/>
        <w:jc w:val="center"/>
        <w:tblLook w:val="04A0" w:firstRow="1" w:lastRow="0" w:firstColumn="1" w:lastColumn="0" w:noHBand="0" w:noVBand="1"/>
      </w:tblPr>
      <w:tblGrid>
        <w:gridCol w:w="3106"/>
        <w:gridCol w:w="1865"/>
        <w:gridCol w:w="958"/>
        <w:gridCol w:w="1865"/>
        <w:gridCol w:w="958"/>
        <w:gridCol w:w="1865"/>
        <w:gridCol w:w="958"/>
        <w:gridCol w:w="1866"/>
        <w:gridCol w:w="959"/>
      </w:tblGrid>
      <w:tr w:rsidR="002F52E7" w14:paraId="02AACA7D" w14:textId="77777777">
        <w:trPr>
          <w:tblHeader/>
          <w:jc w:val="center"/>
        </w:trPr>
        <w:tc>
          <w:tcPr>
            <w:tcW w:w="3106" w:type="dxa"/>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5D47145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
        </w:tc>
        <w:tc>
          <w:tcPr>
            <w:tcW w:w="2823"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0AE33C9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Crude model</w:t>
            </w:r>
          </w:p>
        </w:tc>
        <w:tc>
          <w:tcPr>
            <w:tcW w:w="2823"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4A99676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w:t>
            </w:r>
          </w:p>
        </w:tc>
        <w:tc>
          <w:tcPr>
            <w:tcW w:w="2823"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7A205A0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II</w:t>
            </w:r>
          </w:p>
        </w:tc>
        <w:tc>
          <w:tcPr>
            <w:tcW w:w="2825"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462B355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III</w:t>
            </w:r>
          </w:p>
        </w:tc>
      </w:tr>
      <w:tr w:rsidR="002F52E7" w14:paraId="6EFB4898" w14:textId="77777777">
        <w:trPr>
          <w:tblHeader/>
          <w:jc w:val="center"/>
        </w:trPr>
        <w:tc>
          <w:tcPr>
            <w:tcW w:w="3106"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6D26DC7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
        </w:tc>
        <w:tc>
          <w:tcPr>
            <w:tcW w:w="186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06E5F21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3E855A2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6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1CE0AFC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72C38FA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6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536ABBE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40B77CA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66"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5A354C6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9"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49C03D4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r>
      <w:tr w:rsidR="002F52E7" w14:paraId="6AD9F85F" w14:textId="77777777">
        <w:trPr>
          <w:jc w:val="center"/>
        </w:trPr>
        <w:tc>
          <w:tcPr>
            <w:tcW w:w="3106"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391CE8D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In-hospital Mortality</w:t>
            </w:r>
          </w:p>
        </w:tc>
        <w:tc>
          <w:tcPr>
            <w:tcW w:w="1865"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251CDF5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rPr>
                <w:rFonts w:ascii="Times New Roman" w:hAnsi="Times New Roman" w:cs="Times New Roman"/>
                <w:sz w:val="21"/>
                <w:szCs w:val="21"/>
              </w:rPr>
            </w:pPr>
          </w:p>
        </w:tc>
        <w:tc>
          <w:tcPr>
            <w:tcW w:w="958"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5FB1BE2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65"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40D920C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958"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64CA819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65"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47DAC39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958"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2E8E5F1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66"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26E3743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959"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7EED260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r>
      <w:tr w:rsidR="002F52E7" w14:paraId="66753DBB"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71A362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39BF6F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1.37 (1.28, 1.45)</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15F480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F5B725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1.41 (1.31, 1.50)</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23E2AC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5FAFBF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1.31 (1.21, 1.41)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8A1020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53D6C0F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1.29 (1.19, 1.41)</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70B4E2F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62FFDF74"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3ACE1AC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FE5469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9D0E41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DCB482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A9B0AE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8FE35D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B64E8A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393E1D3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1EF2C86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291FCB75"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0D2C478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6C0A61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7B1767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E1B45B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74D7E8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2FCCC9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742009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3A1CA59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7809C03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3ADE60E9"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3CD1A7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E7C8A8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1.69 (1.14, 2.49)</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ADBA50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0.009</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756CFA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1.74 (1.17, 2.58)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869899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0.006</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3D0681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1.84 (1.23, 2.76)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D35BBA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0.003</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016BECB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1.75 (1.17, 2.62)</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2464675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0.007</w:t>
            </w:r>
          </w:p>
        </w:tc>
      </w:tr>
      <w:tr w:rsidR="002F52E7" w14:paraId="5BA3474F"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00388ED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lastRenderedPageBreak/>
              <w:t>T3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4CDB01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2.96 (2.08, 4.21)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1E858B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9A032D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2.97 (2.09, 4.23)</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1CB1D4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82FD97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2.48 (1.72, 3.58)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EB71A9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3184546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2.25 (1.55, 3.26)</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CA6875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24EC7AA9"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21F383B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61080B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226845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AAE9B6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78C639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FD5289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F82098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1AB5867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40F57DE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0EE6C306"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1F2A7A8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 xml:space="preserve">30 </w:t>
            </w:r>
            <w:proofErr w:type="gramStart"/>
            <w:r>
              <w:rPr>
                <w:rFonts w:ascii="Times New Roman" w:hAnsi="Times New Roman" w:cs="Times New Roman"/>
                <w:b/>
                <w:i/>
                <w:sz w:val="21"/>
                <w:szCs w:val="21"/>
              </w:rPr>
              <w:t>day</w:t>
            </w:r>
            <w:proofErr w:type="gramEnd"/>
            <w:r>
              <w:rPr>
                <w:rFonts w:ascii="Times New Roman" w:hAnsi="Times New Roman" w:cs="Times New Roman"/>
                <w:b/>
                <w:i/>
                <w:sz w:val="21"/>
                <w:szCs w:val="21"/>
              </w:rPr>
              <w:t xml:space="preserve"> </w:t>
            </w:r>
            <w:proofErr w:type="spellStart"/>
            <w:r>
              <w:rPr>
                <w:rFonts w:ascii="Times New Roman" w:hAnsi="Times New Roman" w:cs="Times New Roman"/>
                <w:b/>
                <w:i/>
                <w:sz w:val="21"/>
                <w:szCs w:val="21"/>
              </w:rPr>
              <w:t>all cause</w:t>
            </w:r>
            <w:proofErr w:type="spellEnd"/>
            <w:r>
              <w:rPr>
                <w:rFonts w:ascii="Times New Roman" w:hAnsi="Times New Roman" w:cs="Times New Roman"/>
                <w:b/>
                <w:i/>
                <w:sz w:val="21"/>
                <w:szCs w:val="21"/>
              </w:rPr>
              <w:t xml:space="preserve"> Mortality</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BAADA9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491AFE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414DB0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F22527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2C1587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E6AEB5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46D4932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641EDBE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471DE54A"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5D4870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54E280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1.36 (1.29, 1.43)</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262B61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FF05B8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1.40 (1.32, 1.48)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2F36B3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F63C59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1.26 (1.17, 1.36)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19EF6D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0A70523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1.25 (1.16, 1.35)</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120E3BE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54142845"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60F21AD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2FC13C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B8F8E2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D4E998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B65DFC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E46FDE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486951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0A12E3A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11B47C6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49C9473C"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2459BE2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1E0A4E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222F76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279065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7F47FF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9DCCF3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70721B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7A5390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088AA42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69007DBD"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9BEB06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383011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1.34 (0.94, 1.90)</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3CDB1B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0.104</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528661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1.33 (0.94, 1.89)</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9E176A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0.110</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99250B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1.30 (0.91, 1.86)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D2E769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0.142</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1A881BA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1.37 (0.96, 1.96)</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7298BFB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0.084</w:t>
            </w:r>
          </w:p>
        </w:tc>
      </w:tr>
      <w:tr w:rsidR="002F52E7" w14:paraId="2742D8D5"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52E4B1F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A8C700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2.97 (2.19, 4.04)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8B29CD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737342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2.84 (2.09, 3.87)</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BD88C6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D8FACF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2.06 (1.50, 2.84)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BEADC7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5C179FA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2.06 (1.49, 2.85)</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1155E51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68D21102"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A853AA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428A36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611E58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7A086E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46316B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86C48E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D364DA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374E5AF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5405426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0D71C216"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5DE3698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 xml:space="preserve">365 </w:t>
            </w:r>
            <w:proofErr w:type="gramStart"/>
            <w:r>
              <w:rPr>
                <w:rFonts w:ascii="Times New Roman" w:hAnsi="Times New Roman" w:cs="Times New Roman"/>
                <w:b/>
                <w:i/>
                <w:sz w:val="21"/>
                <w:szCs w:val="21"/>
              </w:rPr>
              <w:t>day</w:t>
            </w:r>
            <w:proofErr w:type="gramEnd"/>
            <w:r>
              <w:rPr>
                <w:rFonts w:ascii="Times New Roman" w:hAnsi="Times New Roman" w:cs="Times New Roman"/>
                <w:b/>
                <w:i/>
                <w:sz w:val="21"/>
                <w:szCs w:val="21"/>
              </w:rPr>
              <w:t xml:space="preserve"> </w:t>
            </w:r>
            <w:proofErr w:type="spellStart"/>
            <w:r>
              <w:rPr>
                <w:rFonts w:ascii="Times New Roman" w:hAnsi="Times New Roman" w:cs="Times New Roman"/>
                <w:b/>
                <w:i/>
                <w:sz w:val="21"/>
                <w:szCs w:val="21"/>
              </w:rPr>
              <w:t>all cause</w:t>
            </w:r>
            <w:proofErr w:type="spellEnd"/>
            <w:r>
              <w:rPr>
                <w:rFonts w:ascii="Times New Roman" w:hAnsi="Times New Roman" w:cs="Times New Roman"/>
                <w:b/>
                <w:i/>
                <w:sz w:val="21"/>
                <w:szCs w:val="21"/>
              </w:rPr>
              <w:t xml:space="preserve"> Mortality</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853ED7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6C968B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7C1F0F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6471DF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154359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6998F1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C12608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580D333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4397DAC9"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602F6CF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673B7D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1.26 (1.21, 1.33)</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061705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520091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1.28 (1.22, 1.35)</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909431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360C39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1.16 (1.09, 1.23)</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23C751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6463AE4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1.13 (1.06, 1.20)</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5F22580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7FE026F0"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33B12D7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F2AA71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25819C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8E1E8F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DB4423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75D586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3153D3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30DA19A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A162D9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709390AA"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5542B5A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B3FBA3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6D85F3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5C9D5D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B1E560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5D8179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E0E318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119000C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5C7ADD9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0C75A577"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6821CD6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3D1EE2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0.93 (0.75, 1.16)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7AAA3D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0.533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85D309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0.95 (0.76, 1.18)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A1F2DB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0.627</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92972D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0.91 (0.73, 1.14)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6266B4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0.421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AEE7B3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0.93 (0.75, 1.16)</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19F94FC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0.538</w:t>
            </w:r>
          </w:p>
        </w:tc>
      </w:tr>
      <w:tr w:rsidR="002F52E7" w14:paraId="2CA60891"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18596D7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9CA5B8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1.75 (1.44, 2.12)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32550D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999F31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1.71 (1.41, 2.07)</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20F5D5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27BF3D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1.29 (1.06, 1.58)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845A1B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0.012</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025AE9C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1.27 (1.04, 1.55)</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74C7B63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0.021</w:t>
            </w:r>
          </w:p>
        </w:tc>
      </w:tr>
      <w:tr w:rsidR="002F52E7" w14:paraId="0805EA4A" w14:textId="77777777">
        <w:trPr>
          <w:jc w:val="center"/>
        </w:trPr>
        <w:tc>
          <w:tcPr>
            <w:tcW w:w="3106"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78A3701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6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310F7B1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39F21AA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17F5C88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4B1A6B3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4F8FC8B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5A14D77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0.007</w:t>
            </w:r>
          </w:p>
        </w:tc>
        <w:tc>
          <w:tcPr>
            <w:tcW w:w="1866"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6C9BFEF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3792710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0.014</w:t>
            </w:r>
          </w:p>
        </w:tc>
      </w:tr>
      <w:tr w:rsidR="002F52E7" w14:paraId="3BF38DA7" w14:textId="77777777">
        <w:trPr>
          <w:jc w:val="center"/>
        </w:trPr>
        <w:tc>
          <w:tcPr>
            <w:tcW w:w="14400" w:type="dxa"/>
            <w:gridSpan w:val="9"/>
            <w:tcBorders>
              <w:top w:val="single" w:sz="12" w:space="0" w:color="000000"/>
              <w:left w:val="nil"/>
              <w:bottom w:val="nil"/>
              <w:right w:val="nil"/>
            </w:tcBorders>
            <w:shd w:val="clear" w:color="auto" w:fill="FFFFFF"/>
            <w:tcMar>
              <w:top w:w="0" w:type="dxa"/>
              <w:left w:w="0" w:type="dxa"/>
              <w:bottom w:w="0" w:type="dxa"/>
              <w:right w:w="0" w:type="dxa"/>
            </w:tcMar>
            <w:vAlign w:val="center"/>
          </w:tcPr>
          <w:p w14:paraId="65F9D1D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line="360" w:lineRule="auto"/>
              <w:rPr>
                <w:rFonts w:ascii="Times New Roman" w:hAnsi="Times New Roman" w:cs="Times New Roman"/>
                <w:sz w:val="21"/>
                <w:szCs w:val="21"/>
              </w:rPr>
            </w:pPr>
            <w:r>
              <w:rPr>
                <w:rFonts w:ascii="Times New Roman" w:hAnsi="Times New Roman" w:cs="Times New Roman"/>
                <w:sz w:val="21"/>
                <w:szCs w:val="21"/>
                <w:lang w:eastAsia="zh-CN"/>
              </w:rPr>
              <w:t xml:space="preserve">Crude </w:t>
            </w:r>
            <w:proofErr w:type="spellStart"/>
            <w:r>
              <w:rPr>
                <w:rFonts w:ascii="Times New Roman" w:hAnsi="Times New Roman" w:cs="Times New Roman"/>
                <w:sz w:val="21"/>
                <w:szCs w:val="21"/>
                <w:lang w:eastAsia="zh-CN"/>
              </w:rPr>
              <w:t>model:no</w:t>
            </w:r>
            <w:proofErr w:type="spellEnd"/>
            <w:r>
              <w:rPr>
                <w:rFonts w:ascii="Times New Roman" w:hAnsi="Times New Roman" w:cs="Times New Roman"/>
                <w:sz w:val="21"/>
                <w:szCs w:val="21"/>
                <w:lang w:eastAsia="zh-CN"/>
              </w:rPr>
              <w:t xml:space="preserve"> covariates </w:t>
            </w:r>
            <w:proofErr w:type="spellStart"/>
            <w:r>
              <w:rPr>
                <w:rFonts w:ascii="Times New Roman" w:hAnsi="Times New Roman" w:cs="Times New Roman"/>
                <w:sz w:val="21"/>
                <w:szCs w:val="21"/>
                <w:lang w:eastAsia="zh-CN"/>
              </w:rPr>
              <w:t>adjusted.Model</w:t>
            </w:r>
            <w:proofErr w:type="spellEnd"/>
            <w:r>
              <w:rPr>
                <w:rFonts w:ascii="Times New Roman" w:hAnsi="Times New Roman" w:cs="Times New Roman"/>
                <w:sz w:val="21"/>
                <w:szCs w:val="21"/>
                <w:lang w:eastAsia="zh-CN"/>
              </w:rPr>
              <w:t xml:space="preserve"> I:Adjusted for </w:t>
            </w:r>
            <w:proofErr w:type="spellStart"/>
            <w:r>
              <w:rPr>
                <w:rFonts w:ascii="Times New Roman" w:hAnsi="Times New Roman" w:cs="Times New Roman"/>
                <w:sz w:val="21"/>
                <w:szCs w:val="21"/>
                <w:lang w:eastAsia="zh-CN"/>
              </w:rPr>
              <w:t>Age,Gender,and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Race.Model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II:Adjusted</w:t>
            </w:r>
            <w:proofErr w:type="spellEnd"/>
            <w:r>
              <w:rPr>
                <w:rFonts w:ascii="Times New Roman" w:hAnsi="Times New Roman" w:cs="Times New Roman"/>
                <w:sz w:val="21"/>
                <w:szCs w:val="21"/>
                <w:lang w:eastAsia="zh-CN"/>
              </w:rPr>
              <w:t xml:space="preserve"> for Model </w:t>
            </w:r>
            <w:proofErr w:type="spellStart"/>
            <w:r>
              <w:rPr>
                <w:rFonts w:ascii="Times New Roman" w:hAnsi="Times New Roman" w:cs="Times New Roman"/>
                <w:sz w:val="21"/>
                <w:szCs w:val="21"/>
                <w:lang w:eastAsia="zh-CN"/>
              </w:rPr>
              <w:t>I+Hypertension,Diabetes</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mellitus,Atrial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fibrillation,Chronic</w:t>
            </w:r>
            <w:proofErr w:type="spellEnd"/>
            <w:r>
              <w:rPr>
                <w:rFonts w:ascii="Times New Roman" w:hAnsi="Times New Roman" w:cs="Times New Roman"/>
                <w:sz w:val="21"/>
                <w:szCs w:val="21"/>
                <w:lang w:eastAsia="zh-CN"/>
              </w:rPr>
              <w:t xml:space="preserve"> kidney </w:t>
            </w:r>
            <w:proofErr w:type="spellStart"/>
            <w:r>
              <w:rPr>
                <w:rFonts w:ascii="Times New Roman" w:hAnsi="Times New Roman" w:cs="Times New Roman"/>
                <w:sz w:val="21"/>
                <w:szCs w:val="21"/>
                <w:lang w:eastAsia="zh-CN"/>
              </w:rPr>
              <w:t>disease,Myocardial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infarct,Cerebrovascular</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disease,Chronic</w:t>
            </w:r>
            <w:proofErr w:type="spellEnd"/>
            <w:r>
              <w:rPr>
                <w:rFonts w:ascii="Times New Roman" w:hAnsi="Times New Roman" w:cs="Times New Roman"/>
                <w:sz w:val="21"/>
                <w:szCs w:val="21"/>
                <w:lang w:eastAsia="zh-CN"/>
              </w:rPr>
              <w:t xml:space="preserve"> pulmonary </w:t>
            </w:r>
            <w:proofErr w:type="spellStart"/>
            <w:r>
              <w:rPr>
                <w:rFonts w:ascii="Times New Roman" w:hAnsi="Times New Roman" w:cs="Times New Roman"/>
                <w:sz w:val="21"/>
                <w:szCs w:val="21"/>
                <w:lang w:eastAsia="zh-CN"/>
              </w:rPr>
              <w:t>disease,Paraplegia,CRRT,Ventilations,BMI,SBP,Urea</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nitrogen,Platelet,Hemoglobin,Aniongap,Heart</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rate,Albumin,Creatinine,and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SOFA.Model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III:Adjusted</w:t>
            </w:r>
            <w:proofErr w:type="spellEnd"/>
            <w:r>
              <w:rPr>
                <w:rFonts w:ascii="Times New Roman" w:hAnsi="Times New Roman" w:cs="Times New Roman"/>
                <w:sz w:val="21"/>
                <w:szCs w:val="21"/>
                <w:lang w:eastAsia="zh-CN"/>
              </w:rPr>
              <w:t xml:space="preserve"> for Model II+ACE inhibitors/</w:t>
            </w:r>
            <w:proofErr w:type="spellStart"/>
            <w:r>
              <w:rPr>
                <w:rFonts w:ascii="Times New Roman" w:hAnsi="Times New Roman" w:cs="Times New Roman"/>
                <w:sz w:val="21"/>
                <w:szCs w:val="21"/>
                <w:lang w:eastAsia="zh-CN"/>
              </w:rPr>
              <w:t>ARB,antiplatelet</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agents,statins,and</w:t>
            </w:r>
            <w:proofErr w:type="spellEnd"/>
            <w:r>
              <w:rPr>
                <w:rFonts w:ascii="Times New Roman" w:hAnsi="Times New Roman" w:cs="Times New Roman"/>
                <w:sz w:val="21"/>
                <w:szCs w:val="21"/>
                <w:lang w:eastAsia="zh-CN"/>
              </w:rPr>
              <w:t xml:space="preserve"> beta-</w:t>
            </w:r>
            <w:proofErr w:type="spellStart"/>
            <w:r>
              <w:rPr>
                <w:rFonts w:ascii="Times New Roman" w:hAnsi="Times New Roman" w:cs="Times New Roman"/>
                <w:sz w:val="21"/>
                <w:szCs w:val="21"/>
                <w:lang w:eastAsia="zh-CN"/>
              </w:rPr>
              <w:t>blockers.HR,hazard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ratio;CI,confidence</w:t>
            </w:r>
            <w:proofErr w:type="spellEnd"/>
            <w:r>
              <w:rPr>
                <w:rFonts w:ascii="Times New Roman" w:hAnsi="Times New Roman" w:cs="Times New Roman"/>
                <w:sz w:val="21"/>
                <w:szCs w:val="21"/>
                <w:lang w:eastAsia="zh-CN"/>
              </w:rPr>
              <w:t xml:space="preserve"> interval</w:t>
            </w:r>
          </w:p>
        </w:tc>
      </w:tr>
    </w:tbl>
    <w:p w14:paraId="098E1F21" w14:textId="77777777" w:rsidR="002F52E7" w:rsidRDefault="002F52E7">
      <w:pPr>
        <w:pStyle w:val="Caption"/>
        <w:widowControl w:val="0"/>
        <w:kinsoku w:val="0"/>
        <w:overflowPunct w:val="0"/>
        <w:spacing w:line="360" w:lineRule="auto"/>
        <w:rPr>
          <w:rFonts w:ascii="Times New Roman" w:eastAsiaTheme="minorEastAsia" w:hAnsi="Times New Roman" w:cs="Times New Roman"/>
          <w:b/>
          <w:bCs/>
          <w:sz w:val="21"/>
          <w:szCs w:val="21"/>
        </w:rPr>
      </w:pPr>
    </w:p>
    <w:p w14:paraId="2C4CF833" w14:textId="77777777" w:rsidR="002F52E7" w:rsidRDefault="002F52E7">
      <w:pPr>
        <w:widowControl w:val="0"/>
        <w:kinsoku w:val="0"/>
        <w:overflowPunct w:val="0"/>
        <w:rPr>
          <w:rFonts w:ascii="Times New Roman" w:hAnsi="Times New Roman" w:cs="Times New Roman"/>
          <w:sz w:val="21"/>
          <w:szCs w:val="21"/>
        </w:rPr>
      </w:pPr>
    </w:p>
    <w:p w14:paraId="1FDA93BF" w14:textId="77777777" w:rsidR="002F52E7" w:rsidRDefault="00000000">
      <w:pPr>
        <w:pStyle w:val="Caption"/>
        <w:widowControl w:val="0"/>
        <w:kinsoku w:val="0"/>
        <w:overflowPunct w:val="0"/>
        <w:rPr>
          <w:rFonts w:ascii="Times New Roman" w:hAnsi="Times New Roman" w:cs="Times New Roman"/>
          <w:sz w:val="21"/>
          <w:szCs w:val="21"/>
          <w:lang w:eastAsia="zh-CN"/>
        </w:rPr>
      </w:pPr>
      <w:bookmarkStart w:id="6" w:name="_Ref15867"/>
      <w:r>
        <w:rPr>
          <w:rFonts w:ascii="Times New Roman" w:hAnsi="Times New Roman" w:cs="Times New Roman"/>
          <w:b/>
          <w:bCs/>
          <w:sz w:val="21"/>
          <w:szCs w:val="21"/>
        </w:rPr>
        <w:t xml:space="preserve">Supplementary Table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Supplementary_Table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4</w:t>
      </w:r>
      <w:r>
        <w:rPr>
          <w:rFonts w:ascii="Times New Roman" w:hAnsi="Times New Roman" w:cs="Times New Roman"/>
          <w:b/>
          <w:bCs/>
          <w:sz w:val="21"/>
          <w:szCs w:val="21"/>
        </w:rPr>
        <w:fldChar w:fldCharType="end"/>
      </w:r>
      <w:r>
        <w:rPr>
          <w:rFonts w:ascii="Times New Roman" w:hAnsi="Times New Roman" w:cs="Times New Roman"/>
          <w:sz w:val="21"/>
          <w:szCs w:val="21"/>
          <w:lang w:eastAsia="zh-CN"/>
        </w:rPr>
        <w:t xml:space="preserve"> </w:t>
      </w:r>
      <w:r>
        <w:rPr>
          <w:rFonts w:ascii="Times New Roman" w:eastAsiaTheme="minorEastAsia" w:hAnsi="Times New Roman" w:cs="Times New Roman"/>
          <w:sz w:val="21"/>
          <w:szCs w:val="21"/>
          <w:lang w:eastAsia="zh-CN"/>
        </w:rPr>
        <w:t>Cox proportional hazards models of the association between SHR and in-hospital</w:t>
      </w:r>
      <w:proofErr w:type="gramStart"/>
      <w:r>
        <w:rPr>
          <w:rFonts w:ascii="Times New Roman" w:eastAsiaTheme="minorEastAsia" w:hAnsi="Times New Roman" w:cs="Times New Roman"/>
          <w:sz w:val="21"/>
          <w:szCs w:val="21"/>
          <w:lang w:eastAsia="zh-CN"/>
        </w:rPr>
        <w:t>,30</w:t>
      </w:r>
      <w:proofErr w:type="gramEnd"/>
      <w:r>
        <w:rPr>
          <w:rFonts w:ascii="Times New Roman" w:eastAsiaTheme="minorEastAsia" w:hAnsi="Times New Roman" w:cs="Times New Roman"/>
          <w:sz w:val="21"/>
          <w:szCs w:val="21"/>
          <w:lang w:eastAsia="zh-CN"/>
        </w:rPr>
        <w:t>-</w:t>
      </w:r>
      <w:proofErr w:type="gramStart"/>
      <w:r>
        <w:rPr>
          <w:rFonts w:ascii="Times New Roman" w:eastAsiaTheme="minorEastAsia" w:hAnsi="Times New Roman" w:cs="Times New Roman"/>
          <w:sz w:val="21"/>
          <w:szCs w:val="21"/>
          <w:lang w:eastAsia="zh-CN"/>
        </w:rPr>
        <w:t>day,and</w:t>
      </w:r>
      <w:proofErr w:type="gramEnd"/>
      <w:r>
        <w:rPr>
          <w:rFonts w:ascii="Times New Roman" w:eastAsiaTheme="minorEastAsia" w:hAnsi="Times New Roman" w:cs="Times New Roman"/>
          <w:sz w:val="21"/>
          <w:szCs w:val="21"/>
          <w:lang w:eastAsia="zh-CN"/>
        </w:rPr>
        <w:t xml:space="preserve"> 365-day all-cause mortality in patients after excluding those who received corticosteroids prior</w:t>
      </w:r>
      <w:bookmarkEnd w:id="6"/>
    </w:p>
    <w:tbl>
      <w:tblPr>
        <w:tblW w:w="14400" w:type="dxa"/>
        <w:jc w:val="center"/>
        <w:tblLook w:val="04A0" w:firstRow="1" w:lastRow="0" w:firstColumn="1" w:lastColumn="0" w:noHBand="0" w:noVBand="1"/>
      </w:tblPr>
      <w:tblGrid>
        <w:gridCol w:w="3106"/>
        <w:gridCol w:w="1865"/>
        <w:gridCol w:w="958"/>
        <w:gridCol w:w="1865"/>
        <w:gridCol w:w="958"/>
        <w:gridCol w:w="1865"/>
        <w:gridCol w:w="958"/>
        <w:gridCol w:w="1866"/>
        <w:gridCol w:w="959"/>
      </w:tblGrid>
      <w:tr w:rsidR="002F52E7" w14:paraId="1557D219" w14:textId="77777777">
        <w:trPr>
          <w:tblHeader/>
          <w:jc w:val="center"/>
        </w:trPr>
        <w:tc>
          <w:tcPr>
            <w:tcW w:w="3106" w:type="dxa"/>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1F62CA5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
        </w:tc>
        <w:tc>
          <w:tcPr>
            <w:tcW w:w="2823"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2BF9888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Crude model</w:t>
            </w:r>
          </w:p>
        </w:tc>
        <w:tc>
          <w:tcPr>
            <w:tcW w:w="2823"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1EF6A45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w:t>
            </w:r>
          </w:p>
        </w:tc>
        <w:tc>
          <w:tcPr>
            <w:tcW w:w="2823"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770B718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II</w:t>
            </w:r>
          </w:p>
        </w:tc>
        <w:tc>
          <w:tcPr>
            <w:tcW w:w="2825"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0D0F0C4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III</w:t>
            </w:r>
          </w:p>
        </w:tc>
      </w:tr>
      <w:tr w:rsidR="002F52E7" w14:paraId="59271C98" w14:textId="77777777">
        <w:trPr>
          <w:tblHeader/>
          <w:jc w:val="center"/>
        </w:trPr>
        <w:tc>
          <w:tcPr>
            <w:tcW w:w="3106"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6523C0A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
        </w:tc>
        <w:tc>
          <w:tcPr>
            <w:tcW w:w="186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27A3A48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4BEAEC2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6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0E71DD8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414D0DB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6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4414E93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7144EAB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66"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7BECECE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9"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4B49615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r>
      <w:tr w:rsidR="002F52E7" w14:paraId="3AFB0E4C" w14:textId="77777777">
        <w:trPr>
          <w:jc w:val="center"/>
        </w:trPr>
        <w:tc>
          <w:tcPr>
            <w:tcW w:w="3106"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4C80C79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In-hospital Mortality</w:t>
            </w:r>
          </w:p>
        </w:tc>
        <w:tc>
          <w:tcPr>
            <w:tcW w:w="1865"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0375B39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rPr>
                <w:rFonts w:ascii="Times New Roman" w:hAnsi="Times New Roman" w:cs="Times New Roman"/>
                <w:sz w:val="21"/>
                <w:szCs w:val="21"/>
              </w:rPr>
            </w:pPr>
          </w:p>
        </w:tc>
        <w:tc>
          <w:tcPr>
            <w:tcW w:w="958"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55766EA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65"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3B7F161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958"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157F570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65"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5139BBB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958"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2EE3737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66"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66D0513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959"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60C9DB9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r>
      <w:tr w:rsidR="002F52E7" w14:paraId="4016B930"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C60418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3BF335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1.37 (1.29, 1.46)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9221D4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CCAD46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1.42 (1.33, 1.52)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C42A37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38613B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1.35 (1.24, 1.46)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9AEA37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6BC1626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1.30 (1.19, 1.42)</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74E9956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4FCABA1E"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2CB35A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8D587D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2C8B32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88D783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648E34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543950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CB8E18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BB16D9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50C5D00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0DDB7CDD"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2F52EA5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AF5C6F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1DF52D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F78E84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C73C92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0F8C37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26EC40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7E62412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1A6ACA3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548A2370"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3851F39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AF9CDE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1.43 (1.01, 2.02)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C5C002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0.046</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07F136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1.42 (1.00, 2.02)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618A04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0.047</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9C9844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1.36 (0.95, 1.94)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2E58D5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0.088</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B6AFBE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1.31 (0.92, 1.88)</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424E651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0.139</w:t>
            </w:r>
          </w:p>
        </w:tc>
      </w:tr>
      <w:tr w:rsidR="002F52E7" w14:paraId="7983F189"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527E5CF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4C19BC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2.59 (1.90, 3.52)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28189D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E91DC9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2.58 (1.89, 3.51)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CC769E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93600A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2.22 (1.61, 3.06)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7C4FD8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7B3F40F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1.98 (1.43, 2.74)</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44AB450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7620A98D"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55D6065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EBEDF5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B8B30B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5D814E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DA7900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04D44C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F54067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58804D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6E2E027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18C5504F"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5E1573D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 xml:space="preserve">30 </w:t>
            </w:r>
            <w:proofErr w:type="gramStart"/>
            <w:r>
              <w:rPr>
                <w:rFonts w:ascii="Times New Roman" w:hAnsi="Times New Roman" w:cs="Times New Roman"/>
                <w:b/>
                <w:i/>
                <w:sz w:val="21"/>
                <w:szCs w:val="21"/>
              </w:rPr>
              <w:t>day</w:t>
            </w:r>
            <w:proofErr w:type="gramEnd"/>
            <w:r>
              <w:rPr>
                <w:rFonts w:ascii="Times New Roman" w:hAnsi="Times New Roman" w:cs="Times New Roman"/>
                <w:b/>
                <w:i/>
                <w:sz w:val="21"/>
                <w:szCs w:val="21"/>
              </w:rPr>
              <w:t xml:space="preserve"> </w:t>
            </w:r>
            <w:proofErr w:type="spellStart"/>
            <w:r>
              <w:rPr>
                <w:rFonts w:ascii="Times New Roman" w:hAnsi="Times New Roman" w:cs="Times New Roman"/>
                <w:b/>
                <w:i/>
                <w:sz w:val="21"/>
                <w:szCs w:val="21"/>
              </w:rPr>
              <w:t>all cause</w:t>
            </w:r>
            <w:proofErr w:type="spellEnd"/>
            <w:r>
              <w:rPr>
                <w:rFonts w:ascii="Times New Roman" w:hAnsi="Times New Roman" w:cs="Times New Roman"/>
                <w:b/>
                <w:i/>
                <w:sz w:val="21"/>
                <w:szCs w:val="21"/>
              </w:rPr>
              <w:t xml:space="preserve"> Mortality</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809F56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118DC7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1CDBB7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C9E551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1344E4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EAB75F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32D9A12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620945B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2088B2C5"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64A6A8B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8A328E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1.34 (1.27, 1.41)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66611F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4CD2DD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1.39 (1.32, 1.48)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E637E0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9E6708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1.27 (1.18, 1.37)</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877449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328FC14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1.24 (1.14, 1.34)</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4FF5B76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148E61B7"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373F01B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73099C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E881CC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6C565B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DDD2DA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92DFED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4976D4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704731F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7654214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0B9172FF"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35475BC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D97F6C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9E1CBF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65B712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D104FC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5D2C15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14F29D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4505598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7949496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48F7DCE7"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65F5693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2D349B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1.14 (0.83, 1.55)</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EC0A5C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0.416</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FA5E15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1.12 (0.82, 1.52)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9C2E36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0.492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49BD37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0.98 (0.72, 1.34)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90C7AA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0.906</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4EC9831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1.02 (0.74, 1.40)</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23B745A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0.908</w:t>
            </w:r>
          </w:p>
        </w:tc>
      </w:tr>
      <w:tr w:rsidR="002F52E7" w14:paraId="56AFE29F"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67E25D7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228660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2.51 (1.92, 3.29)</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2DE5B6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7646D6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2.43 (1.85, 3.18)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2C702F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7C93D5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1.80 (1.36, 2.37)</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E43A96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14C7542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1.71 (1.29, 2.26)</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DF40D5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2FD56C5D"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3495D3D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2EBBB8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88662F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68F82A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A945A9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863705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9D8FF7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4CD2D8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6E578D5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7C1348D1"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29AB031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 xml:space="preserve">365 </w:t>
            </w:r>
            <w:proofErr w:type="gramStart"/>
            <w:r>
              <w:rPr>
                <w:rFonts w:ascii="Times New Roman" w:hAnsi="Times New Roman" w:cs="Times New Roman"/>
                <w:b/>
                <w:i/>
                <w:sz w:val="21"/>
                <w:szCs w:val="21"/>
              </w:rPr>
              <w:t>day</w:t>
            </w:r>
            <w:proofErr w:type="gramEnd"/>
            <w:r>
              <w:rPr>
                <w:rFonts w:ascii="Times New Roman" w:hAnsi="Times New Roman" w:cs="Times New Roman"/>
                <w:b/>
                <w:i/>
                <w:sz w:val="21"/>
                <w:szCs w:val="21"/>
              </w:rPr>
              <w:t xml:space="preserve"> </w:t>
            </w:r>
            <w:proofErr w:type="spellStart"/>
            <w:r>
              <w:rPr>
                <w:rFonts w:ascii="Times New Roman" w:hAnsi="Times New Roman" w:cs="Times New Roman"/>
                <w:b/>
                <w:i/>
                <w:sz w:val="21"/>
                <w:szCs w:val="21"/>
              </w:rPr>
              <w:t>all cause</w:t>
            </w:r>
            <w:proofErr w:type="spellEnd"/>
            <w:r>
              <w:rPr>
                <w:rFonts w:ascii="Times New Roman" w:hAnsi="Times New Roman" w:cs="Times New Roman"/>
                <w:b/>
                <w:i/>
                <w:sz w:val="21"/>
                <w:szCs w:val="21"/>
              </w:rPr>
              <w:t xml:space="preserve"> Mortality</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0A1E13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D49073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5A6B0D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6DAABE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E02872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206C34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787E167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182FC7D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1BA49A13"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0ADD6A7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B4A50D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1.25 (1.19, 1.31)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D0C1A6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45CBFC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1.28 (1.22, 1.34)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536D6A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3D624C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1.14 (1.08, 1.21)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94DCB2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0877370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1.11 (1.05, 1.18)</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60864F7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00A157CC"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14B783B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F4437B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71AC24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89BB9E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9373E1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755BF2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F937AA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37D66FE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88FD31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0672C5E9"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8B1E30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B6087E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14A528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B4BF18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B7CEF8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2FEE09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6FA0D8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01E6526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7BF523F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77021486"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7C1F1EC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0ECE62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0.92 (0.76, 1.12)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B45430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0.400</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B2A130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0.92 (0.76, 1.11)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827D99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0.382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BD25F1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0.84 (0.69, 1.02)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097309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0.072</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43305AC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0.83 (0.68, 1.01)</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117BED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0.059</w:t>
            </w:r>
          </w:p>
        </w:tc>
      </w:tr>
      <w:tr w:rsidR="002F52E7" w14:paraId="384F10CD"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25DA5CA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520616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1.69 (1.42, 2.00)</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644BEB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6559C0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1.65 (1.39, 1.96)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D502DD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7FC1EE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1.27 (1.07, 1.52)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E3B210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0.007</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1D6E9C2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1.20 (1.01, 1.44)</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768534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0.039</w:t>
            </w:r>
          </w:p>
        </w:tc>
      </w:tr>
      <w:tr w:rsidR="002F52E7" w14:paraId="791B5E51" w14:textId="77777777">
        <w:trPr>
          <w:jc w:val="center"/>
        </w:trPr>
        <w:tc>
          <w:tcPr>
            <w:tcW w:w="3106"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4C444BA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6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73184FC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06B9E2B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243B0A0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07FB907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58E1353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52C3439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0.003</w:t>
            </w:r>
          </w:p>
        </w:tc>
        <w:tc>
          <w:tcPr>
            <w:tcW w:w="1866"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2805C69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009F44B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0.018</w:t>
            </w:r>
          </w:p>
        </w:tc>
      </w:tr>
      <w:tr w:rsidR="002F52E7" w14:paraId="191F7C70" w14:textId="77777777">
        <w:trPr>
          <w:jc w:val="center"/>
        </w:trPr>
        <w:tc>
          <w:tcPr>
            <w:tcW w:w="14400" w:type="dxa"/>
            <w:gridSpan w:val="9"/>
            <w:tcBorders>
              <w:top w:val="single" w:sz="12" w:space="0" w:color="000000"/>
              <w:left w:val="nil"/>
              <w:bottom w:val="nil"/>
              <w:right w:val="nil"/>
            </w:tcBorders>
            <w:shd w:val="clear" w:color="auto" w:fill="FFFFFF"/>
            <w:tcMar>
              <w:top w:w="0" w:type="dxa"/>
              <w:left w:w="0" w:type="dxa"/>
              <w:bottom w:w="0" w:type="dxa"/>
              <w:right w:w="0" w:type="dxa"/>
            </w:tcMar>
            <w:vAlign w:val="center"/>
          </w:tcPr>
          <w:p w14:paraId="29FE3AB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line="360" w:lineRule="auto"/>
              <w:rPr>
                <w:rFonts w:ascii="Times New Roman" w:hAnsi="Times New Roman" w:cs="Times New Roman"/>
                <w:sz w:val="21"/>
                <w:szCs w:val="21"/>
              </w:rPr>
            </w:pPr>
            <w:r>
              <w:rPr>
                <w:rFonts w:ascii="Times New Roman" w:hAnsi="Times New Roman" w:cs="Times New Roman"/>
                <w:sz w:val="21"/>
                <w:szCs w:val="21"/>
                <w:lang w:eastAsia="zh-CN"/>
              </w:rPr>
              <w:t xml:space="preserve">Crude </w:t>
            </w:r>
            <w:proofErr w:type="spellStart"/>
            <w:r>
              <w:rPr>
                <w:rFonts w:ascii="Times New Roman" w:hAnsi="Times New Roman" w:cs="Times New Roman"/>
                <w:sz w:val="21"/>
                <w:szCs w:val="21"/>
                <w:lang w:eastAsia="zh-CN"/>
              </w:rPr>
              <w:t>model:no</w:t>
            </w:r>
            <w:proofErr w:type="spellEnd"/>
            <w:r>
              <w:rPr>
                <w:rFonts w:ascii="Times New Roman" w:hAnsi="Times New Roman" w:cs="Times New Roman"/>
                <w:sz w:val="21"/>
                <w:szCs w:val="21"/>
                <w:lang w:eastAsia="zh-CN"/>
              </w:rPr>
              <w:t xml:space="preserve"> covariates </w:t>
            </w:r>
            <w:proofErr w:type="spellStart"/>
            <w:r>
              <w:rPr>
                <w:rFonts w:ascii="Times New Roman" w:hAnsi="Times New Roman" w:cs="Times New Roman"/>
                <w:sz w:val="21"/>
                <w:szCs w:val="21"/>
                <w:lang w:eastAsia="zh-CN"/>
              </w:rPr>
              <w:t>adjusted.Model</w:t>
            </w:r>
            <w:proofErr w:type="spellEnd"/>
            <w:r>
              <w:rPr>
                <w:rFonts w:ascii="Times New Roman" w:hAnsi="Times New Roman" w:cs="Times New Roman"/>
                <w:sz w:val="21"/>
                <w:szCs w:val="21"/>
                <w:lang w:eastAsia="zh-CN"/>
              </w:rPr>
              <w:t xml:space="preserve"> I:Adjusted for </w:t>
            </w:r>
            <w:proofErr w:type="spellStart"/>
            <w:r>
              <w:rPr>
                <w:rFonts w:ascii="Times New Roman" w:hAnsi="Times New Roman" w:cs="Times New Roman"/>
                <w:sz w:val="21"/>
                <w:szCs w:val="21"/>
                <w:lang w:eastAsia="zh-CN"/>
              </w:rPr>
              <w:t>Age,Gender,and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Race.Model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II:Adjusted</w:t>
            </w:r>
            <w:proofErr w:type="spellEnd"/>
            <w:r>
              <w:rPr>
                <w:rFonts w:ascii="Times New Roman" w:hAnsi="Times New Roman" w:cs="Times New Roman"/>
                <w:sz w:val="21"/>
                <w:szCs w:val="21"/>
                <w:lang w:eastAsia="zh-CN"/>
              </w:rPr>
              <w:t xml:space="preserve"> for Model </w:t>
            </w:r>
            <w:proofErr w:type="spellStart"/>
            <w:r>
              <w:rPr>
                <w:rFonts w:ascii="Times New Roman" w:hAnsi="Times New Roman" w:cs="Times New Roman"/>
                <w:sz w:val="21"/>
                <w:szCs w:val="21"/>
                <w:lang w:eastAsia="zh-CN"/>
              </w:rPr>
              <w:t>I+Hypertension,Diabetes</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mellitus,Atrial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fibrillation,Chronic</w:t>
            </w:r>
            <w:proofErr w:type="spellEnd"/>
            <w:r>
              <w:rPr>
                <w:rFonts w:ascii="Times New Roman" w:hAnsi="Times New Roman" w:cs="Times New Roman"/>
                <w:sz w:val="21"/>
                <w:szCs w:val="21"/>
                <w:lang w:eastAsia="zh-CN"/>
              </w:rPr>
              <w:t xml:space="preserve"> </w:t>
            </w:r>
            <w:r>
              <w:rPr>
                <w:rFonts w:ascii="Times New Roman" w:hAnsi="Times New Roman" w:cs="Times New Roman"/>
                <w:sz w:val="21"/>
                <w:szCs w:val="21"/>
                <w:lang w:eastAsia="zh-CN"/>
              </w:rPr>
              <w:lastRenderedPageBreak/>
              <w:t xml:space="preserve">kidney </w:t>
            </w:r>
            <w:proofErr w:type="spellStart"/>
            <w:r>
              <w:rPr>
                <w:rFonts w:ascii="Times New Roman" w:hAnsi="Times New Roman" w:cs="Times New Roman"/>
                <w:sz w:val="21"/>
                <w:szCs w:val="21"/>
                <w:lang w:eastAsia="zh-CN"/>
              </w:rPr>
              <w:t>disease,Myocardial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infarct,Cerebrovascular</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disease,Chronic</w:t>
            </w:r>
            <w:proofErr w:type="spellEnd"/>
            <w:r>
              <w:rPr>
                <w:rFonts w:ascii="Times New Roman" w:hAnsi="Times New Roman" w:cs="Times New Roman"/>
                <w:sz w:val="21"/>
                <w:szCs w:val="21"/>
                <w:lang w:eastAsia="zh-CN"/>
              </w:rPr>
              <w:t xml:space="preserve"> pulmonary </w:t>
            </w:r>
            <w:proofErr w:type="spellStart"/>
            <w:r>
              <w:rPr>
                <w:rFonts w:ascii="Times New Roman" w:hAnsi="Times New Roman" w:cs="Times New Roman"/>
                <w:sz w:val="21"/>
                <w:szCs w:val="21"/>
                <w:lang w:eastAsia="zh-CN"/>
              </w:rPr>
              <w:t>disease,Paraplegia,CRRT,Ventilations,BMI,SBP,Urea</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nitrogen,Platelet,Hemoglobin,Aniongap,Heart</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rate,Albumin,Creatinine,and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SOFA.Model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III:Adjusted</w:t>
            </w:r>
            <w:proofErr w:type="spellEnd"/>
            <w:r>
              <w:rPr>
                <w:rFonts w:ascii="Times New Roman" w:hAnsi="Times New Roman" w:cs="Times New Roman"/>
                <w:sz w:val="21"/>
                <w:szCs w:val="21"/>
                <w:lang w:eastAsia="zh-CN"/>
              </w:rPr>
              <w:t xml:space="preserve"> for Model II+ACE inhibitors/</w:t>
            </w:r>
            <w:proofErr w:type="spellStart"/>
            <w:r>
              <w:rPr>
                <w:rFonts w:ascii="Times New Roman" w:hAnsi="Times New Roman" w:cs="Times New Roman"/>
                <w:sz w:val="21"/>
                <w:szCs w:val="21"/>
                <w:lang w:eastAsia="zh-CN"/>
              </w:rPr>
              <w:t>ARB,antiplatelet</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agents,statins,and</w:t>
            </w:r>
            <w:proofErr w:type="spellEnd"/>
            <w:r>
              <w:rPr>
                <w:rFonts w:ascii="Times New Roman" w:hAnsi="Times New Roman" w:cs="Times New Roman"/>
                <w:sz w:val="21"/>
                <w:szCs w:val="21"/>
                <w:lang w:eastAsia="zh-CN"/>
              </w:rPr>
              <w:t xml:space="preserve"> beta-</w:t>
            </w:r>
            <w:proofErr w:type="spellStart"/>
            <w:r>
              <w:rPr>
                <w:rFonts w:ascii="Times New Roman" w:hAnsi="Times New Roman" w:cs="Times New Roman"/>
                <w:sz w:val="21"/>
                <w:szCs w:val="21"/>
                <w:lang w:eastAsia="zh-CN"/>
              </w:rPr>
              <w:t>blockers.HR,hazard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ratio;CI,confidence</w:t>
            </w:r>
            <w:proofErr w:type="spellEnd"/>
            <w:r>
              <w:rPr>
                <w:rFonts w:ascii="Times New Roman" w:hAnsi="Times New Roman" w:cs="Times New Roman"/>
                <w:sz w:val="21"/>
                <w:szCs w:val="21"/>
                <w:lang w:eastAsia="zh-CN"/>
              </w:rPr>
              <w:t xml:space="preserve"> interval</w:t>
            </w:r>
          </w:p>
        </w:tc>
      </w:tr>
    </w:tbl>
    <w:p w14:paraId="67F59520" w14:textId="77777777" w:rsidR="002F52E7" w:rsidRDefault="002F52E7">
      <w:pPr>
        <w:pStyle w:val="Caption"/>
        <w:widowControl w:val="0"/>
        <w:kinsoku w:val="0"/>
        <w:overflowPunct w:val="0"/>
        <w:spacing w:line="360" w:lineRule="auto"/>
        <w:rPr>
          <w:rFonts w:ascii="Times New Roman" w:eastAsiaTheme="minorEastAsia" w:hAnsi="Times New Roman" w:cs="Times New Roman"/>
          <w:b/>
          <w:bCs/>
          <w:sz w:val="21"/>
          <w:szCs w:val="21"/>
        </w:rPr>
      </w:pPr>
    </w:p>
    <w:p w14:paraId="5366CE8E" w14:textId="77777777" w:rsidR="002F52E7" w:rsidRDefault="002F52E7">
      <w:pPr>
        <w:widowControl w:val="0"/>
        <w:kinsoku w:val="0"/>
        <w:overflowPunct w:val="0"/>
        <w:rPr>
          <w:rFonts w:ascii="Times New Roman" w:hAnsi="Times New Roman" w:cs="Times New Roman"/>
          <w:sz w:val="21"/>
          <w:szCs w:val="21"/>
        </w:rPr>
      </w:pPr>
    </w:p>
    <w:p w14:paraId="2A0F06F0" w14:textId="77777777" w:rsidR="002F52E7" w:rsidRDefault="00000000">
      <w:pPr>
        <w:pStyle w:val="Caption"/>
        <w:widowControl w:val="0"/>
        <w:kinsoku w:val="0"/>
        <w:overflowPunct w:val="0"/>
        <w:rPr>
          <w:rFonts w:ascii="Times New Roman" w:hAnsi="Times New Roman" w:cs="Times New Roman"/>
          <w:sz w:val="21"/>
          <w:szCs w:val="21"/>
          <w:lang w:eastAsia="zh-CN"/>
        </w:rPr>
      </w:pPr>
      <w:bookmarkStart w:id="7" w:name="_Ref16001"/>
      <w:r>
        <w:rPr>
          <w:rFonts w:ascii="Times New Roman" w:hAnsi="Times New Roman" w:cs="Times New Roman"/>
          <w:b/>
          <w:bCs/>
          <w:sz w:val="21"/>
          <w:szCs w:val="21"/>
        </w:rPr>
        <w:t xml:space="preserve">Supplementary Table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Supplementary_Table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5</w:t>
      </w:r>
      <w:r>
        <w:rPr>
          <w:rFonts w:ascii="Times New Roman" w:hAnsi="Times New Roman" w:cs="Times New Roman"/>
          <w:b/>
          <w:bCs/>
          <w:sz w:val="21"/>
          <w:szCs w:val="21"/>
        </w:rPr>
        <w:fldChar w:fldCharType="end"/>
      </w:r>
      <w:r>
        <w:rPr>
          <w:rFonts w:ascii="Times New Roman" w:hAnsi="Times New Roman" w:cs="Times New Roman"/>
          <w:sz w:val="21"/>
          <w:szCs w:val="21"/>
          <w:lang w:eastAsia="zh-CN"/>
        </w:rPr>
        <w:t xml:space="preserve"> </w:t>
      </w:r>
      <w:r>
        <w:rPr>
          <w:rFonts w:ascii="Times New Roman" w:eastAsiaTheme="minorEastAsia" w:hAnsi="Times New Roman" w:cs="Times New Roman"/>
          <w:sz w:val="21"/>
          <w:szCs w:val="21"/>
          <w:lang w:eastAsia="zh-CN"/>
        </w:rPr>
        <w:t>Cox proportional hazards models of the association between SHR and in-hospital,30-</w:t>
      </w:r>
      <w:proofErr w:type="gramStart"/>
      <w:r>
        <w:rPr>
          <w:rFonts w:ascii="Times New Roman" w:eastAsiaTheme="minorEastAsia" w:hAnsi="Times New Roman" w:cs="Times New Roman"/>
          <w:sz w:val="21"/>
          <w:szCs w:val="21"/>
          <w:lang w:eastAsia="zh-CN"/>
        </w:rPr>
        <w:t>day,and</w:t>
      </w:r>
      <w:proofErr w:type="gramEnd"/>
      <w:r>
        <w:rPr>
          <w:rFonts w:ascii="Times New Roman" w:eastAsiaTheme="minorEastAsia" w:hAnsi="Times New Roman" w:cs="Times New Roman"/>
          <w:sz w:val="21"/>
          <w:szCs w:val="21"/>
          <w:lang w:eastAsia="zh-CN"/>
        </w:rPr>
        <w:t xml:space="preserve"> 365-day all-cause mortality in the complete-case dataset excluding patients with any missing analytical variables</w:t>
      </w:r>
      <w:bookmarkEnd w:id="7"/>
    </w:p>
    <w:tbl>
      <w:tblPr>
        <w:tblW w:w="14400" w:type="dxa"/>
        <w:jc w:val="center"/>
        <w:tblLook w:val="04A0" w:firstRow="1" w:lastRow="0" w:firstColumn="1" w:lastColumn="0" w:noHBand="0" w:noVBand="1"/>
      </w:tblPr>
      <w:tblGrid>
        <w:gridCol w:w="3106"/>
        <w:gridCol w:w="1865"/>
        <w:gridCol w:w="958"/>
        <w:gridCol w:w="1865"/>
        <w:gridCol w:w="958"/>
        <w:gridCol w:w="1865"/>
        <w:gridCol w:w="958"/>
        <w:gridCol w:w="1866"/>
        <w:gridCol w:w="959"/>
      </w:tblGrid>
      <w:tr w:rsidR="002F52E7" w14:paraId="5DBA21DC" w14:textId="77777777">
        <w:trPr>
          <w:trHeight w:val="90"/>
          <w:tblHeader/>
          <w:jc w:val="center"/>
        </w:trPr>
        <w:tc>
          <w:tcPr>
            <w:tcW w:w="3106" w:type="dxa"/>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1D89E78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
        </w:tc>
        <w:tc>
          <w:tcPr>
            <w:tcW w:w="2823"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4E82E9D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Crude model</w:t>
            </w:r>
          </w:p>
        </w:tc>
        <w:tc>
          <w:tcPr>
            <w:tcW w:w="2823"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0F5112B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w:t>
            </w:r>
          </w:p>
        </w:tc>
        <w:tc>
          <w:tcPr>
            <w:tcW w:w="2823"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34474F1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II</w:t>
            </w:r>
          </w:p>
        </w:tc>
        <w:tc>
          <w:tcPr>
            <w:tcW w:w="2825"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2EB12A8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III</w:t>
            </w:r>
          </w:p>
        </w:tc>
      </w:tr>
      <w:tr w:rsidR="002F52E7" w14:paraId="2CC21153" w14:textId="77777777">
        <w:trPr>
          <w:tblHeader/>
          <w:jc w:val="center"/>
        </w:trPr>
        <w:tc>
          <w:tcPr>
            <w:tcW w:w="3106"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48B1EF6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
        </w:tc>
        <w:tc>
          <w:tcPr>
            <w:tcW w:w="186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6D3B282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117F335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6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57E035E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4F803DA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6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05C9F0A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2F213CD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66"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2927AA3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9"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71BAF7D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r>
      <w:tr w:rsidR="002F52E7" w14:paraId="0048847F" w14:textId="77777777">
        <w:trPr>
          <w:jc w:val="center"/>
        </w:trPr>
        <w:tc>
          <w:tcPr>
            <w:tcW w:w="3106"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2C1F757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In-hospital Mortality</w:t>
            </w:r>
          </w:p>
        </w:tc>
        <w:tc>
          <w:tcPr>
            <w:tcW w:w="1865"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4DEB428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rPr>
                <w:rFonts w:ascii="Times New Roman" w:hAnsi="Times New Roman" w:cs="Times New Roman"/>
                <w:sz w:val="21"/>
                <w:szCs w:val="21"/>
              </w:rPr>
            </w:pPr>
          </w:p>
        </w:tc>
        <w:tc>
          <w:tcPr>
            <w:tcW w:w="958"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55643A7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65"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0124BA8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958"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7913D2A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65"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08866C0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958"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27EB0F8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66"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7FBE7BD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959"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49A2A95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r>
      <w:tr w:rsidR="002F52E7" w14:paraId="30FA9F79"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790FAD9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9834F3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1.38 (1.29, 1.47)</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D823B8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833A33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1.43 (1.33, 1.53)</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009F6F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953FDC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1.36 (1.24, 1.50)</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63AAC6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43F4DCB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1.28 (1.15, 1.42)</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23C3FE2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260DFA63"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19C4B55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A6E3A1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1B6D8D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EA8DC0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F0E26C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CF179A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6D4D6B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4E3DABD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2EF5C83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10A8125E"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014B61B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3F144D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9EB846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B43A94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DC2E42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8B7D60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F9AC25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1F1EE18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7EBF6C3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38F71818"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1AD5483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341067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1.45 (1.03, 2.06)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0A1761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0.034</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D3D3EE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1.45 (1.02, 2.05)</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1A32B5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0.038</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BC17E9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1.65 (1.10, 2.48)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922619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0.016</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706A59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1.62 (1.04, 2.52)</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450A58A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0.031</w:t>
            </w:r>
          </w:p>
        </w:tc>
      </w:tr>
      <w:tr w:rsidR="002F52E7" w14:paraId="74A0CD8E"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7A64110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BED4DB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2.61 (1.92, 3.56)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9CB7D8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E9AD33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2.60 (1.91, 3.54)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4A4FF6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8E5FA6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2.38 (1.63, 3.46)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9C3933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4EF26F9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2.03 (1.36, 3.04)</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45AF641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6818025E"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57FAA7B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5FFE26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49C7C1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251DB9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963250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B8F3A5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0BE9F3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7BEF830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2E82B9A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14128188"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7C1FC8C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 xml:space="preserve">30 </w:t>
            </w:r>
            <w:proofErr w:type="gramStart"/>
            <w:r>
              <w:rPr>
                <w:rFonts w:ascii="Times New Roman" w:hAnsi="Times New Roman" w:cs="Times New Roman"/>
                <w:b/>
                <w:i/>
                <w:sz w:val="21"/>
                <w:szCs w:val="21"/>
              </w:rPr>
              <w:t>day</w:t>
            </w:r>
            <w:proofErr w:type="gramEnd"/>
            <w:r>
              <w:rPr>
                <w:rFonts w:ascii="Times New Roman" w:hAnsi="Times New Roman" w:cs="Times New Roman"/>
                <w:b/>
                <w:i/>
                <w:sz w:val="21"/>
                <w:szCs w:val="21"/>
              </w:rPr>
              <w:t xml:space="preserve"> </w:t>
            </w:r>
            <w:proofErr w:type="spellStart"/>
            <w:r>
              <w:rPr>
                <w:rFonts w:ascii="Times New Roman" w:hAnsi="Times New Roman" w:cs="Times New Roman"/>
                <w:b/>
                <w:i/>
                <w:sz w:val="21"/>
                <w:szCs w:val="21"/>
              </w:rPr>
              <w:t>all cause</w:t>
            </w:r>
            <w:proofErr w:type="spellEnd"/>
            <w:r>
              <w:rPr>
                <w:rFonts w:ascii="Times New Roman" w:hAnsi="Times New Roman" w:cs="Times New Roman"/>
                <w:b/>
                <w:i/>
                <w:sz w:val="21"/>
                <w:szCs w:val="21"/>
              </w:rPr>
              <w:t xml:space="preserve"> Mortality</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A668B6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AFFCEA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2A7D8C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C330FC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DF1DAF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26A88C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1C0F147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0990D39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78154782"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24FFF5E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A8A75C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1.34 (1.27, 1.42)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CD5A76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B846FF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1.40 (1.32, 1.48)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2C8244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324B7E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1.32 (1.21, 1.44)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2B0A37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5D7ADD3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1.25 (1.12, 1.38)</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4D84BB6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6342B0EA"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63654D2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04E701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C2E294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1F227E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1F117E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92F4DC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6C819C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759271A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0E1F566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226BFD4E"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1089F8B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81874E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D49A0A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CA40AB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C3CF52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996137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D749EF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6E02ECB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01407F9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323F3A7A"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23E1625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8859F9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1.16 (0.85, 1.58)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9495EF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0.359</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ECCA41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1.13 (0.83, 1.54)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BBF3E9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0.442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2D066F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1.20 (0.83, 1.73)</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00A07B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0.329</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1BD6BAF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1.24 (0.82, 1.87)</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17D06F0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0.304</w:t>
            </w:r>
          </w:p>
        </w:tc>
      </w:tr>
      <w:tr w:rsidR="002F52E7" w14:paraId="22B13A30"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3EB32E3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B01C4C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2.53 (1.94, 3.32)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DE718B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5AB888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2.44 (1.87, 3.20)</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0A1ACC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56D894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2.06 (1.48, 2.88)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638843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3134415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1.84 (1.27, 2.66)</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CBC666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0.001</w:t>
            </w:r>
          </w:p>
        </w:tc>
      </w:tr>
      <w:tr w:rsidR="002F52E7" w14:paraId="0DD28344"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041202D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2034C1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38BF13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AB1AE6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D7CCD6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7E0F1E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BAD5D6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4E4DF2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7B51D7D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411DC3A5"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60027CA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 xml:space="preserve">365 </w:t>
            </w:r>
            <w:proofErr w:type="gramStart"/>
            <w:r>
              <w:rPr>
                <w:rFonts w:ascii="Times New Roman" w:hAnsi="Times New Roman" w:cs="Times New Roman"/>
                <w:b/>
                <w:i/>
                <w:sz w:val="21"/>
                <w:szCs w:val="21"/>
              </w:rPr>
              <w:t>day</w:t>
            </w:r>
            <w:proofErr w:type="gramEnd"/>
            <w:r>
              <w:rPr>
                <w:rFonts w:ascii="Times New Roman" w:hAnsi="Times New Roman" w:cs="Times New Roman"/>
                <w:b/>
                <w:i/>
                <w:sz w:val="21"/>
                <w:szCs w:val="21"/>
              </w:rPr>
              <w:t xml:space="preserve"> </w:t>
            </w:r>
            <w:proofErr w:type="spellStart"/>
            <w:r>
              <w:rPr>
                <w:rFonts w:ascii="Times New Roman" w:hAnsi="Times New Roman" w:cs="Times New Roman"/>
                <w:b/>
                <w:i/>
                <w:sz w:val="21"/>
                <w:szCs w:val="21"/>
              </w:rPr>
              <w:t>all cause</w:t>
            </w:r>
            <w:proofErr w:type="spellEnd"/>
            <w:r>
              <w:rPr>
                <w:rFonts w:ascii="Times New Roman" w:hAnsi="Times New Roman" w:cs="Times New Roman"/>
                <w:b/>
                <w:i/>
                <w:sz w:val="21"/>
                <w:szCs w:val="21"/>
              </w:rPr>
              <w:t xml:space="preserve"> Mortality</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A75E2C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78A7FC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755D78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33B34A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15F00B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4AB72D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5060FCA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3C9005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32C2A3C4"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2DE76ED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lastRenderedPageBreak/>
              <w:t>SHR,per</w:t>
            </w:r>
            <w:proofErr w:type="spellEnd"/>
            <w:proofErr w:type="gramEnd"/>
            <w:r>
              <w:rPr>
                <w:rFonts w:ascii="Times New Roman" w:hAnsi="Times New Roman" w:cs="Times New Roman"/>
                <w:sz w:val="21"/>
                <w:szCs w:val="21"/>
              </w:rPr>
              <w:t xml:space="preserve"> 1 SD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293855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1.25 (1.19, 1.31)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06F620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C0F7C7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1.28 (1.22, 1.34)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92661E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086CD1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1.18 (1.10, 1.26)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E777E1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492E21B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1.11 (1.03, 1.20)</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09D1053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0.009</w:t>
            </w:r>
          </w:p>
        </w:tc>
      </w:tr>
      <w:tr w:rsidR="002F52E7" w14:paraId="26515509"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70116F4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7E768F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3B2819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222E1C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F3CCAF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A44262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37767C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46D5021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74BD898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7B4F5797"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19380A3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5ECD8E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A4A694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3B6256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DC4F0D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758A34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E7CAA9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0FA94DD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6D1C8CB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4F5936C9"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2DE039A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E10E15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0.93 (0.76, 1.12)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8A16B0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0.429</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393834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0.92 (0.76, 1.11)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D20C45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0.387</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D190D4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0.87 (0.70, 1.09)</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51E53B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0.227</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577FBE1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0.90 (0.70, 1.15)</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5AAD8F2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0.398</w:t>
            </w:r>
          </w:p>
        </w:tc>
      </w:tr>
      <w:tr w:rsidR="002F52E7" w14:paraId="272C6EA0"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2C97ADA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1ED204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1.70 (1.44, 2.01)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0FC2A5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4F24B8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1.66 (1.40, 1.97)</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E48BC7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773A23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1.33 (1.09, 1.63)</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A23B2B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0.006</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168ACA1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1.24 (0.99, 1.55)</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6577275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0.064</w:t>
            </w:r>
          </w:p>
        </w:tc>
      </w:tr>
      <w:tr w:rsidR="002F52E7" w14:paraId="13F63D8A" w14:textId="77777777">
        <w:trPr>
          <w:jc w:val="center"/>
        </w:trPr>
        <w:tc>
          <w:tcPr>
            <w:tcW w:w="3106"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6E9CB0E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6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0C3CC59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1275535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3A0A81B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401E951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704B07E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097BBDC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0.003</w:t>
            </w:r>
          </w:p>
        </w:tc>
        <w:tc>
          <w:tcPr>
            <w:tcW w:w="1866"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6B2C5B6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1FBC402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0.043</w:t>
            </w:r>
          </w:p>
        </w:tc>
      </w:tr>
      <w:tr w:rsidR="002F52E7" w14:paraId="6459FC3B" w14:textId="77777777">
        <w:trPr>
          <w:jc w:val="center"/>
        </w:trPr>
        <w:tc>
          <w:tcPr>
            <w:tcW w:w="14400" w:type="dxa"/>
            <w:gridSpan w:val="9"/>
            <w:tcBorders>
              <w:top w:val="single" w:sz="12" w:space="0" w:color="000000"/>
              <w:left w:val="nil"/>
              <w:bottom w:val="nil"/>
              <w:right w:val="nil"/>
            </w:tcBorders>
            <w:shd w:val="clear" w:color="auto" w:fill="FFFFFF"/>
            <w:tcMar>
              <w:top w:w="0" w:type="dxa"/>
              <w:left w:w="0" w:type="dxa"/>
              <w:bottom w:w="0" w:type="dxa"/>
              <w:right w:w="0" w:type="dxa"/>
            </w:tcMar>
            <w:vAlign w:val="center"/>
          </w:tcPr>
          <w:p w14:paraId="68A3860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line="360" w:lineRule="auto"/>
              <w:rPr>
                <w:rFonts w:ascii="Times New Roman" w:hAnsi="Times New Roman" w:cs="Times New Roman"/>
                <w:sz w:val="21"/>
                <w:szCs w:val="21"/>
              </w:rPr>
            </w:pPr>
            <w:r>
              <w:rPr>
                <w:rFonts w:ascii="Times New Roman" w:hAnsi="Times New Roman" w:cs="Times New Roman"/>
                <w:sz w:val="21"/>
                <w:szCs w:val="21"/>
                <w:lang w:eastAsia="zh-CN"/>
              </w:rPr>
              <w:t xml:space="preserve">Crude </w:t>
            </w:r>
            <w:proofErr w:type="spellStart"/>
            <w:r>
              <w:rPr>
                <w:rFonts w:ascii="Times New Roman" w:hAnsi="Times New Roman" w:cs="Times New Roman"/>
                <w:sz w:val="21"/>
                <w:szCs w:val="21"/>
                <w:lang w:eastAsia="zh-CN"/>
              </w:rPr>
              <w:t>model:no</w:t>
            </w:r>
            <w:proofErr w:type="spellEnd"/>
            <w:r>
              <w:rPr>
                <w:rFonts w:ascii="Times New Roman" w:hAnsi="Times New Roman" w:cs="Times New Roman"/>
                <w:sz w:val="21"/>
                <w:szCs w:val="21"/>
                <w:lang w:eastAsia="zh-CN"/>
              </w:rPr>
              <w:t xml:space="preserve"> covariates </w:t>
            </w:r>
            <w:proofErr w:type="spellStart"/>
            <w:r>
              <w:rPr>
                <w:rFonts w:ascii="Times New Roman" w:hAnsi="Times New Roman" w:cs="Times New Roman"/>
                <w:sz w:val="21"/>
                <w:szCs w:val="21"/>
                <w:lang w:eastAsia="zh-CN"/>
              </w:rPr>
              <w:t>adjusted.Model</w:t>
            </w:r>
            <w:proofErr w:type="spellEnd"/>
            <w:r>
              <w:rPr>
                <w:rFonts w:ascii="Times New Roman" w:hAnsi="Times New Roman" w:cs="Times New Roman"/>
                <w:sz w:val="21"/>
                <w:szCs w:val="21"/>
                <w:lang w:eastAsia="zh-CN"/>
              </w:rPr>
              <w:t xml:space="preserve"> I:Adjusted for </w:t>
            </w:r>
            <w:proofErr w:type="spellStart"/>
            <w:r>
              <w:rPr>
                <w:rFonts w:ascii="Times New Roman" w:hAnsi="Times New Roman" w:cs="Times New Roman"/>
                <w:sz w:val="21"/>
                <w:szCs w:val="21"/>
                <w:lang w:eastAsia="zh-CN"/>
              </w:rPr>
              <w:t>Age,Gender,and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Race.Model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II:Adjusted</w:t>
            </w:r>
            <w:proofErr w:type="spellEnd"/>
            <w:r>
              <w:rPr>
                <w:rFonts w:ascii="Times New Roman" w:hAnsi="Times New Roman" w:cs="Times New Roman"/>
                <w:sz w:val="21"/>
                <w:szCs w:val="21"/>
                <w:lang w:eastAsia="zh-CN"/>
              </w:rPr>
              <w:t xml:space="preserve"> for Model </w:t>
            </w:r>
            <w:proofErr w:type="spellStart"/>
            <w:r>
              <w:rPr>
                <w:rFonts w:ascii="Times New Roman" w:hAnsi="Times New Roman" w:cs="Times New Roman"/>
                <w:sz w:val="21"/>
                <w:szCs w:val="21"/>
                <w:lang w:eastAsia="zh-CN"/>
              </w:rPr>
              <w:t>I+Hypertension,Diabetes</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mellitus,Atrial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fibrillation,Chronic</w:t>
            </w:r>
            <w:proofErr w:type="spellEnd"/>
            <w:r>
              <w:rPr>
                <w:rFonts w:ascii="Times New Roman" w:hAnsi="Times New Roman" w:cs="Times New Roman"/>
                <w:sz w:val="21"/>
                <w:szCs w:val="21"/>
                <w:lang w:eastAsia="zh-CN"/>
              </w:rPr>
              <w:t xml:space="preserve"> kidney </w:t>
            </w:r>
            <w:proofErr w:type="spellStart"/>
            <w:r>
              <w:rPr>
                <w:rFonts w:ascii="Times New Roman" w:hAnsi="Times New Roman" w:cs="Times New Roman"/>
                <w:sz w:val="21"/>
                <w:szCs w:val="21"/>
                <w:lang w:eastAsia="zh-CN"/>
              </w:rPr>
              <w:t>disease,Myocardial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infarct,Cerebrovascular</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disease,Chronic</w:t>
            </w:r>
            <w:proofErr w:type="spellEnd"/>
            <w:r>
              <w:rPr>
                <w:rFonts w:ascii="Times New Roman" w:hAnsi="Times New Roman" w:cs="Times New Roman"/>
                <w:sz w:val="21"/>
                <w:szCs w:val="21"/>
                <w:lang w:eastAsia="zh-CN"/>
              </w:rPr>
              <w:t xml:space="preserve"> pulmonary </w:t>
            </w:r>
            <w:proofErr w:type="spellStart"/>
            <w:r>
              <w:rPr>
                <w:rFonts w:ascii="Times New Roman" w:hAnsi="Times New Roman" w:cs="Times New Roman"/>
                <w:sz w:val="21"/>
                <w:szCs w:val="21"/>
                <w:lang w:eastAsia="zh-CN"/>
              </w:rPr>
              <w:t>disease,Paraplegia,CRRT,Ventilations,BMI,SBP,Urea</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nitrogen,Platelet,Hemoglobin,Aniongap,Heart</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rate,Albumin,Creatinine,and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SOFA.Model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III:Adjusted</w:t>
            </w:r>
            <w:proofErr w:type="spellEnd"/>
            <w:r>
              <w:rPr>
                <w:rFonts w:ascii="Times New Roman" w:hAnsi="Times New Roman" w:cs="Times New Roman"/>
                <w:sz w:val="21"/>
                <w:szCs w:val="21"/>
                <w:lang w:eastAsia="zh-CN"/>
              </w:rPr>
              <w:t xml:space="preserve"> for Model II+ACE inhibitors/</w:t>
            </w:r>
            <w:proofErr w:type="spellStart"/>
            <w:r>
              <w:rPr>
                <w:rFonts w:ascii="Times New Roman" w:hAnsi="Times New Roman" w:cs="Times New Roman"/>
                <w:sz w:val="21"/>
                <w:szCs w:val="21"/>
                <w:lang w:eastAsia="zh-CN"/>
              </w:rPr>
              <w:t>ARB,antiplatelet</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agents,statins,and</w:t>
            </w:r>
            <w:proofErr w:type="spellEnd"/>
            <w:r>
              <w:rPr>
                <w:rFonts w:ascii="Times New Roman" w:hAnsi="Times New Roman" w:cs="Times New Roman"/>
                <w:sz w:val="21"/>
                <w:szCs w:val="21"/>
                <w:lang w:eastAsia="zh-CN"/>
              </w:rPr>
              <w:t xml:space="preserve"> beta-</w:t>
            </w:r>
            <w:proofErr w:type="spellStart"/>
            <w:r>
              <w:rPr>
                <w:rFonts w:ascii="Times New Roman" w:hAnsi="Times New Roman" w:cs="Times New Roman"/>
                <w:sz w:val="21"/>
                <w:szCs w:val="21"/>
                <w:lang w:eastAsia="zh-CN"/>
              </w:rPr>
              <w:t>blockers.HR,hazard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ratio;CI,confidence</w:t>
            </w:r>
            <w:proofErr w:type="spellEnd"/>
            <w:r>
              <w:rPr>
                <w:rFonts w:ascii="Times New Roman" w:hAnsi="Times New Roman" w:cs="Times New Roman"/>
                <w:sz w:val="21"/>
                <w:szCs w:val="21"/>
                <w:lang w:eastAsia="zh-CN"/>
              </w:rPr>
              <w:t xml:space="preserve"> interval</w:t>
            </w:r>
          </w:p>
        </w:tc>
      </w:tr>
    </w:tbl>
    <w:p w14:paraId="6B2E5207" w14:textId="77777777" w:rsidR="002F52E7" w:rsidRDefault="002F52E7">
      <w:pPr>
        <w:pStyle w:val="Caption"/>
        <w:widowControl w:val="0"/>
        <w:kinsoku w:val="0"/>
        <w:overflowPunct w:val="0"/>
        <w:spacing w:line="360" w:lineRule="auto"/>
        <w:rPr>
          <w:rFonts w:ascii="Times New Roman" w:eastAsiaTheme="minorEastAsia" w:hAnsi="Times New Roman" w:cs="Times New Roman"/>
          <w:b/>
          <w:bCs/>
          <w:sz w:val="21"/>
          <w:szCs w:val="21"/>
        </w:rPr>
      </w:pPr>
    </w:p>
    <w:p w14:paraId="6B0DB447" w14:textId="77777777" w:rsidR="002F52E7" w:rsidRDefault="002F52E7">
      <w:pPr>
        <w:widowControl w:val="0"/>
        <w:kinsoku w:val="0"/>
        <w:overflowPunct w:val="0"/>
        <w:rPr>
          <w:rFonts w:ascii="Times New Roman" w:hAnsi="Times New Roman" w:cs="Times New Roman"/>
          <w:sz w:val="21"/>
          <w:szCs w:val="21"/>
        </w:rPr>
      </w:pPr>
    </w:p>
    <w:p w14:paraId="07C9EAA1" w14:textId="77777777" w:rsidR="002F52E7" w:rsidRDefault="00000000">
      <w:pPr>
        <w:pStyle w:val="Caption"/>
        <w:widowControl w:val="0"/>
        <w:kinsoku w:val="0"/>
        <w:overflowPunct w:val="0"/>
        <w:rPr>
          <w:rFonts w:ascii="Times New Roman" w:hAnsi="Times New Roman" w:cs="Times New Roman"/>
          <w:sz w:val="21"/>
          <w:szCs w:val="21"/>
          <w:lang w:eastAsia="zh-CN"/>
        </w:rPr>
      </w:pPr>
      <w:bookmarkStart w:id="8" w:name="_Ref16063"/>
      <w:r>
        <w:rPr>
          <w:rFonts w:ascii="Times New Roman" w:hAnsi="Times New Roman" w:cs="Times New Roman"/>
          <w:b/>
          <w:bCs/>
          <w:sz w:val="21"/>
          <w:szCs w:val="21"/>
        </w:rPr>
        <w:t xml:space="preserve">Supplementary Table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Supplementary_Table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6</w:t>
      </w:r>
      <w:r>
        <w:rPr>
          <w:rFonts w:ascii="Times New Roman" w:hAnsi="Times New Roman" w:cs="Times New Roman"/>
          <w:b/>
          <w:bCs/>
          <w:sz w:val="21"/>
          <w:szCs w:val="21"/>
        </w:rPr>
        <w:fldChar w:fldCharType="end"/>
      </w:r>
      <w:r>
        <w:rPr>
          <w:rFonts w:ascii="Times New Roman" w:hAnsi="Times New Roman" w:cs="Times New Roman"/>
          <w:sz w:val="21"/>
          <w:szCs w:val="21"/>
          <w:lang w:eastAsia="zh-CN"/>
        </w:rPr>
        <w:t xml:space="preserve"> </w:t>
      </w:r>
      <w:r>
        <w:rPr>
          <w:rFonts w:ascii="Times New Roman" w:eastAsiaTheme="minorEastAsia" w:hAnsi="Times New Roman" w:cs="Times New Roman"/>
          <w:sz w:val="21"/>
          <w:szCs w:val="21"/>
          <w:lang w:eastAsia="zh-CN"/>
        </w:rPr>
        <w:t>Cox proportional hazards models of the association between SHR and in-hospital,30-</w:t>
      </w:r>
      <w:proofErr w:type="gramStart"/>
      <w:r>
        <w:rPr>
          <w:rFonts w:ascii="Times New Roman" w:eastAsiaTheme="minorEastAsia" w:hAnsi="Times New Roman" w:cs="Times New Roman"/>
          <w:sz w:val="21"/>
          <w:szCs w:val="21"/>
          <w:lang w:eastAsia="zh-CN"/>
        </w:rPr>
        <w:t>day,and</w:t>
      </w:r>
      <w:proofErr w:type="gramEnd"/>
      <w:r>
        <w:rPr>
          <w:rFonts w:ascii="Times New Roman" w:eastAsiaTheme="minorEastAsia" w:hAnsi="Times New Roman" w:cs="Times New Roman"/>
          <w:sz w:val="21"/>
          <w:szCs w:val="21"/>
          <w:lang w:eastAsia="zh-CN"/>
        </w:rPr>
        <w:t xml:space="preserve"> 365-day all-cause mortality after </w:t>
      </w:r>
      <w:proofErr w:type="spellStart"/>
      <w:r>
        <w:rPr>
          <w:rFonts w:ascii="Times New Roman" w:eastAsiaTheme="minorEastAsia" w:hAnsi="Times New Roman" w:cs="Times New Roman"/>
          <w:sz w:val="21"/>
          <w:szCs w:val="21"/>
          <w:lang w:eastAsia="zh-CN"/>
        </w:rPr>
        <w:t>winsorizing</w:t>
      </w:r>
      <w:proofErr w:type="spellEnd"/>
      <w:r>
        <w:rPr>
          <w:rFonts w:ascii="Times New Roman" w:eastAsiaTheme="minorEastAsia" w:hAnsi="Times New Roman" w:cs="Times New Roman"/>
          <w:sz w:val="21"/>
          <w:szCs w:val="21"/>
          <w:lang w:eastAsia="zh-CN"/>
        </w:rPr>
        <w:t xml:space="preserve"> SHR</w:t>
      </w:r>
      <w:bookmarkEnd w:id="8"/>
    </w:p>
    <w:tbl>
      <w:tblPr>
        <w:tblW w:w="14400" w:type="dxa"/>
        <w:jc w:val="center"/>
        <w:tblLook w:val="04A0" w:firstRow="1" w:lastRow="0" w:firstColumn="1" w:lastColumn="0" w:noHBand="0" w:noVBand="1"/>
      </w:tblPr>
      <w:tblGrid>
        <w:gridCol w:w="3106"/>
        <w:gridCol w:w="1865"/>
        <w:gridCol w:w="958"/>
        <w:gridCol w:w="1865"/>
        <w:gridCol w:w="958"/>
        <w:gridCol w:w="1865"/>
        <w:gridCol w:w="958"/>
        <w:gridCol w:w="1866"/>
        <w:gridCol w:w="959"/>
      </w:tblGrid>
      <w:tr w:rsidR="002F52E7" w14:paraId="41280682" w14:textId="77777777">
        <w:trPr>
          <w:tblHeader/>
          <w:jc w:val="center"/>
        </w:trPr>
        <w:tc>
          <w:tcPr>
            <w:tcW w:w="3106" w:type="dxa"/>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683AC61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
        </w:tc>
        <w:tc>
          <w:tcPr>
            <w:tcW w:w="2823"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31CDD1D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Crude model</w:t>
            </w:r>
          </w:p>
        </w:tc>
        <w:tc>
          <w:tcPr>
            <w:tcW w:w="2823"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3FF735F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w:t>
            </w:r>
          </w:p>
        </w:tc>
        <w:tc>
          <w:tcPr>
            <w:tcW w:w="2823"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09DEF67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II</w:t>
            </w:r>
          </w:p>
        </w:tc>
        <w:tc>
          <w:tcPr>
            <w:tcW w:w="2825" w:type="dxa"/>
            <w:gridSpan w:val="2"/>
            <w:tcBorders>
              <w:top w:val="single" w:sz="12" w:space="0" w:color="000000"/>
              <w:left w:val="nil"/>
              <w:bottom w:val="single" w:sz="6" w:space="0" w:color="000000"/>
              <w:right w:val="nil"/>
            </w:tcBorders>
            <w:shd w:val="clear" w:color="auto" w:fill="FFFFFF"/>
            <w:tcMar>
              <w:top w:w="0" w:type="dxa"/>
              <w:left w:w="0" w:type="dxa"/>
              <w:bottom w:w="0" w:type="dxa"/>
              <w:right w:w="0" w:type="dxa"/>
            </w:tcMar>
            <w:vAlign w:val="center"/>
          </w:tcPr>
          <w:p w14:paraId="49A1041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Model III</w:t>
            </w:r>
          </w:p>
        </w:tc>
      </w:tr>
      <w:tr w:rsidR="002F52E7" w14:paraId="7D0DFDC3" w14:textId="77777777">
        <w:trPr>
          <w:tblHeader/>
          <w:jc w:val="center"/>
        </w:trPr>
        <w:tc>
          <w:tcPr>
            <w:tcW w:w="3106"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378E7C9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
        </w:tc>
        <w:tc>
          <w:tcPr>
            <w:tcW w:w="186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704FBFF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3E846FA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6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79BB219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1B03ACB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65"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7705B7D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8"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316A279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c>
          <w:tcPr>
            <w:tcW w:w="1866"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507CC0B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proofErr w:type="gramStart"/>
            <w:r>
              <w:rPr>
                <w:rFonts w:ascii="Times New Roman" w:hAnsi="Times New Roman" w:cs="Times New Roman"/>
                <w:b/>
                <w:sz w:val="21"/>
                <w:szCs w:val="21"/>
              </w:rPr>
              <w:t>HR(</w:t>
            </w:r>
            <w:proofErr w:type="gramEnd"/>
            <w:r>
              <w:rPr>
                <w:rFonts w:ascii="Times New Roman" w:hAnsi="Times New Roman" w:cs="Times New Roman"/>
                <w:b/>
                <w:sz w:val="21"/>
                <w:szCs w:val="21"/>
              </w:rPr>
              <w:t>95%CI)</w:t>
            </w:r>
          </w:p>
        </w:tc>
        <w:tc>
          <w:tcPr>
            <w:tcW w:w="959" w:type="dxa"/>
            <w:tcBorders>
              <w:top w:val="single" w:sz="6" w:space="0" w:color="000000"/>
              <w:left w:val="nil"/>
              <w:bottom w:val="single" w:sz="6" w:space="0" w:color="000000"/>
              <w:right w:val="nil"/>
            </w:tcBorders>
            <w:shd w:val="clear" w:color="auto" w:fill="FFFFFF"/>
            <w:tcMar>
              <w:top w:w="0" w:type="dxa"/>
              <w:left w:w="0" w:type="dxa"/>
              <w:bottom w:w="0" w:type="dxa"/>
              <w:right w:w="0" w:type="dxa"/>
            </w:tcMar>
            <w:vAlign w:val="center"/>
          </w:tcPr>
          <w:p w14:paraId="5CF9FA8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P-value</w:t>
            </w:r>
          </w:p>
        </w:tc>
      </w:tr>
      <w:tr w:rsidR="002F52E7" w14:paraId="7AD29463" w14:textId="77777777">
        <w:trPr>
          <w:jc w:val="center"/>
        </w:trPr>
        <w:tc>
          <w:tcPr>
            <w:tcW w:w="3106"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1CCD1C6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In-hospital Mortality</w:t>
            </w:r>
          </w:p>
        </w:tc>
        <w:tc>
          <w:tcPr>
            <w:tcW w:w="1865"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03C83B5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rPr>
                <w:rFonts w:ascii="Times New Roman" w:hAnsi="Times New Roman" w:cs="Times New Roman"/>
                <w:sz w:val="21"/>
                <w:szCs w:val="21"/>
              </w:rPr>
            </w:pPr>
          </w:p>
        </w:tc>
        <w:tc>
          <w:tcPr>
            <w:tcW w:w="958"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339A60B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65"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447CFE9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958"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0A406E0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65"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64C8F33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958"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0C26FFB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1866"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4F2DB41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c>
          <w:tcPr>
            <w:tcW w:w="959" w:type="dxa"/>
            <w:tcBorders>
              <w:top w:val="single" w:sz="6" w:space="0" w:color="000000"/>
              <w:left w:val="nil"/>
              <w:bottom w:val="nil"/>
              <w:right w:val="nil"/>
            </w:tcBorders>
            <w:shd w:val="clear" w:color="auto" w:fill="FFFFFF"/>
            <w:tcMar>
              <w:top w:w="0" w:type="dxa"/>
              <w:left w:w="0" w:type="dxa"/>
              <w:bottom w:w="0" w:type="dxa"/>
              <w:right w:w="0" w:type="dxa"/>
            </w:tcMar>
            <w:vAlign w:val="center"/>
          </w:tcPr>
          <w:p w14:paraId="2762228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
        </w:tc>
      </w:tr>
      <w:tr w:rsidR="002F52E7" w14:paraId="4AB3EE24"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7B939EE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9434D4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1.46 (1.34, 1.58)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5F9269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24946D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1.51 (1.38, 1.64)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030835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02BB8D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1.38 (1.25, 1.51)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85FAD5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398A694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1.29 (1.17, 1.42)</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0DF6A8B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072A346B"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73C3BD9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74DDE0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14C13D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EA2737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933FA2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A0FF81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1AE63D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6A396A9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7BA751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5DD3187C"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7929B08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F662C1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DB5804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70750E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EB691D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D05D79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42CD10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765C38E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4B00193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3E2AC478"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065F22E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ACB4AF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1.45 (1.03, 2.06)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408BFE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0.034</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EB6BB4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1.44 (1.02, 2.04)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33BCC7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0.039</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81FCF1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1.43 (1.01, 2.04)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7597C3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0.046</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7EFF9E1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1.36 (0.95, 1.94)</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2F612DE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0.096</w:t>
            </w:r>
          </w:p>
        </w:tc>
      </w:tr>
      <w:tr w:rsidR="002F52E7" w14:paraId="04A60B67"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09C0095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733D92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2.61 (1.92, 3.56)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B1D7E2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57CD29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2.60 (1.91, 3.55)</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0A6D3F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B1DF1D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2.20 (1.60, 3.03)</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6D463E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1D0A879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1.94 (1.41, 2.68)</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800757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0E287AE6"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71102D5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4A8EC14"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F75840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A569BF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7AA3F0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93FCEE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FF1169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5EFD3C5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40064D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694771CA"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1FF7C4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 xml:space="preserve">30 </w:t>
            </w:r>
            <w:proofErr w:type="gramStart"/>
            <w:r>
              <w:rPr>
                <w:rFonts w:ascii="Times New Roman" w:hAnsi="Times New Roman" w:cs="Times New Roman"/>
                <w:b/>
                <w:i/>
                <w:sz w:val="21"/>
                <w:szCs w:val="21"/>
              </w:rPr>
              <w:t>day</w:t>
            </w:r>
            <w:proofErr w:type="gramEnd"/>
            <w:r>
              <w:rPr>
                <w:rFonts w:ascii="Times New Roman" w:hAnsi="Times New Roman" w:cs="Times New Roman"/>
                <w:b/>
                <w:i/>
                <w:sz w:val="21"/>
                <w:szCs w:val="21"/>
              </w:rPr>
              <w:t xml:space="preserve"> </w:t>
            </w:r>
            <w:proofErr w:type="spellStart"/>
            <w:r>
              <w:rPr>
                <w:rFonts w:ascii="Times New Roman" w:hAnsi="Times New Roman" w:cs="Times New Roman"/>
                <w:b/>
                <w:i/>
                <w:sz w:val="21"/>
                <w:szCs w:val="21"/>
              </w:rPr>
              <w:t>all cause</w:t>
            </w:r>
            <w:proofErr w:type="spellEnd"/>
            <w:r>
              <w:rPr>
                <w:rFonts w:ascii="Times New Roman" w:hAnsi="Times New Roman" w:cs="Times New Roman"/>
                <w:b/>
                <w:i/>
                <w:sz w:val="21"/>
                <w:szCs w:val="21"/>
              </w:rPr>
              <w:t xml:space="preserve"> Mortality</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14FAEE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8F47D3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675CABC"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FEF3C0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7DDC48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1CA85D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717CF4B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61C54DD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3EF122DF"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74E53FE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lastRenderedPageBreak/>
              <w:t>SHR,per</w:t>
            </w:r>
            <w:proofErr w:type="spellEnd"/>
            <w:proofErr w:type="gramEnd"/>
            <w:r>
              <w:rPr>
                <w:rFonts w:ascii="Times New Roman" w:hAnsi="Times New Roman" w:cs="Times New Roman"/>
                <w:sz w:val="21"/>
                <w:szCs w:val="21"/>
              </w:rPr>
              <w:t xml:space="preserve"> 1 SD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9D2565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1.51 (1.39, 1.63)</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54823F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B97E5E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1.53 (1.41, 1.66)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D5C042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E18CE5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1.32 (1.21, 1.44)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8B1E9F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4C690E8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1.24 (1.14, 1.36)</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755E550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22BE9C88"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3D38E5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6097F5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566381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D82B94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B099F7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B389D6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5FB898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0DD8E03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541E200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5F912A3B"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0587E2E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918750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A4FA2A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C20CC1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141A6B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EA625D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706245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61ABD2E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17C79AF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6972B526"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5F0E093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884D03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1.16 (0.85, 1.58)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A346EC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0.359</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88B776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1.13 (0.83, 1.54)</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96F93F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0.447</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88C286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1.06 (0.77, 1.45)</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3F6975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0.725</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3618A69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1.05 (0.77, 1.44)</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6ABCD63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0.755</w:t>
            </w:r>
          </w:p>
        </w:tc>
      </w:tr>
      <w:tr w:rsidR="002F52E7" w14:paraId="3EA04196"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709C635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A9C206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2.53 (1.94, 3.32)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294E06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470702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2.45 (1.87, 3.20)</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88A971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7D396B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1.81 (1.37, 2.39)</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B48BA6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023BA7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1.70 (1.28, 2.24)</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15B43D4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004569FD"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2500DB1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CE161F6"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D77F01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D424E0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3B8AB8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E982D7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F15BBA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5FCD963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6D08A8E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6AC94421"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01FFB2F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i/>
                <w:sz w:val="21"/>
                <w:szCs w:val="21"/>
              </w:rPr>
            </w:pPr>
            <w:r>
              <w:rPr>
                <w:rFonts w:ascii="Times New Roman" w:hAnsi="Times New Roman" w:cs="Times New Roman"/>
                <w:b/>
                <w:i/>
                <w:sz w:val="21"/>
                <w:szCs w:val="21"/>
              </w:rPr>
              <w:t xml:space="preserve">365 </w:t>
            </w:r>
            <w:proofErr w:type="gramStart"/>
            <w:r>
              <w:rPr>
                <w:rFonts w:ascii="Times New Roman" w:hAnsi="Times New Roman" w:cs="Times New Roman"/>
                <w:b/>
                <w:i/>
                <w:sz w:val="21"/>
                <w:szCs w:val="21"/>
              </w:rPr>
              <w:t>day</w:t>
            </w:r>
            <w:proofErr w:type="gramEnd"/>
            <w:r>
              <w:rPr>
                <w:rFonts w:ascii="Times New Roman" w:hAnsi="Times New Roman" w:cs="Times New Roman"/>
                <w:b/>
                <w:i/>
                <w:sz w:val="21"/>
                <w:szCs w:val="21"/>
              </w:rPr>
              <w:t xml:space="preserve"> </w:t>
            </w:r>
            <w:proofErr w:type="spellStart"/>
            <w:r>
              <w:rPr>
                <w:rFonts w:ascii="Times New Roman" w:hAnsi="Times New Roman" w:cs="Times New Roman"/>
                <w:b/>
                <w:i/>
                <w:sz w:val="21"/>
                <w:szCs w:val="21"/>
              </w:rPr>
              <w:t>all cause</w:t>
            </w:r>
            <w:proofErr w:type="spellEnd"/>
            <w:r>
              <w:rPr>
                <w:rFonts w:ascii="Times New Roman" w:hAnsi="Times New Roman" w:cs="Times New Roman"/>
                <w:b/>
                <w:i/>
                <w:sz w:val="21"/>
                <w:szCs w:val="21"/>
              </w:rPr>
              <w:t xml:space="preserve"> Mortality</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980FC4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45B1C8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666149E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D5D9A1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AEDE09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2CCDD9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85DA53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2B9769F9"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70140CE3"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6479B8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proofErr w:type="spellStart"/>
            <w:proofErr w:type="gramStart"/>
            <w:r>
              <w:rPr>
                <w:rFonts w:ascii="Times New Roman" w:hAnsi="Times New Roman" w:cs="Times New Roman"/>
                <w:sz w:val="21"/>
                <w:szCs w:val="21"/>
              </w:rPr>
              <w:t>SHR,per</w:t>
            </w:r>
            <w:proofErr w:type="spellEnd"/>
            <w:proofErr w:type="gramEnd"/>
            <w:r>
              <w:rPr>
                <w:rFonts w:ascii="Times New Roman" w:hAnsi="Times New Roman" w:cs="Times New Roman"/>
                <w:sz w:val="21"/>
                <w:szCs w:val="21"/>
              </w:rPr>
              <w:t xml:space="preserve"> 1 SD</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42749E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1.32 (1.25, 1.40)</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24B59B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FBEAFA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1.33 (1.25, 1.41)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1658D8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FF2870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1.15 (1.08, 1.23)</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2632C00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03FCC38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1.11 (1.04, 1.18)</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12E4D6E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0.001</w:t>
            </w:r>
          </w:p>
        </w:tc>
      </w:tr>
      <w:tr w:rsidR="002F52E7" w14:paraId="5E85B8C4"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C3F658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SHR tertiles</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37272963"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46B9507"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E41141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1ADB65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039E41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47F09CE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74BF2FA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659349DE"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65D1BDD9"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4B0E1F5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7D5ABF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B330EA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0C4FF8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308C552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12ABBB5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613DFFD2"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28BFC9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Reference</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6F6737BA"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r>
      <w:tr w:rsidR="002F52E7" w14:paraId="3E5A3D81"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3A6D219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7AEB66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0.93 (0.76, 1.12)</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498AD1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0.429</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0035281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0.92 (0.76, 1.11)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1250DBC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0.382</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430CCCD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0.89 (0.73, 1.08)</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5D1C4BD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0.240</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2196C92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0.86 (0.71, 1.05)</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0AED62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0.131</w:t>
            </w:r>
          </w:p>
        </w:tc>
      </w:tr>
      <w:tr w:rsidR="002F52E7" w14:paraId="38B98F50" w14:textId="77777777">
        <w:trPr>
          <w:jc w:val="center"/>
        </w:trPr>
        <w:tc>
          <w:tcPr>
            <w:tcW w:w="3106" w:type="dxa"/>
            <w:tcBorders>
              <w:top w:val="nil"/>
              <w:left w:val="nil"/>
              <w:bottom w:val="nil"/>
              <w:right w:val="nil"/>
            </w:tcBorders>
            <w:shd w:val="clear" w:color="auto" w:fill="FFFFFF"/>
            <w:tcMar>
              <w:top w:w="0" w:type="dxa"/>
              <w:left w:w="0" w:type="dxa"/>
              <w:bottom w:w="0" w:type="dxa"/>
              <w:right w:w="0" w:type="dxa"/>
            </w:tcMar>
            <w:vAlign w:val="center"/>
          </w:tcPr>
          <w:p w14:paraId="26F6659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T3</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55A32E2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1.70 (1.44, 2.01)</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702DD2F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290387A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1.66 (1.40, 1.97)</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776F7F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nil"/>
              <w:right w:val="nil"/>
            </w:tcBorders>
            <w:shd w:val="clear" w:color="auto" w:fill="FFFFFF"/>
            <w:tcMar>
              <w:top w:w="0" w:type="dxa"/>
              <w:left w:w="0" w:type="dxa"/>
              <w:bottom w:w="0" w:type="dxa"/>
              <w:right w:w="0" w:type="dxa"/>
            </w:tcMar>
            <w:vAlign w:val="center"/>
          </w:tcPr>
          <w:p w14:paraId="7A14903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1.31 (1.10, 1.56)</w:t>
            </w:r>
          </w:p>
        </w:tc>
        <w:tc>
          <w:tcPr>
            <w:tcW w:w="958" w:type="dxa"/>
            <w:tcBorders>
              <w:top w:val="nil"/>
              <w:left w:val="nil"/>
              <w:bottom w:val="nil"/>
              <w:right w:val="nil"/>
            </w:tcBorders>
            <w:shd w:val="clear" w:color="auto" w:fill="FFFFFF"/>
            <w:tcMar>
              <w:top w:w="0" w:type="dxa"/>
              <w:left w:w="0" w:type="dxa"/>
              <w:bottom w:w="0" w:type="dxa"/>
              <w:right w:w="0" w:type="dxa"/>
            </w:tcMar>
            <w:vAlign w:val="center"/>
          </w:tcPr>
          <w:p w14:paraId="01ED1F4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0.003</w:t>
            </w:r>
          </w:p>
        </w:tc>
        <w:tc>
          <w:tcPr>
            <w:tcW w:w="1866" w:type="dxa"/>
            <w:tcBorders>
              <w:top w:val="nil"/>
              <w:left w:val="nil"/>
              <w:bottom w:val="nil"/>
              <w:right w:val="nil"/>
            </w:tcBorders>
            <w:shd w:val="clear" w:color="auto" w:fill="FFFFFF"/>
            <w:tcMar>
              <w:top w:w="0" w:type="dxa"/>
              <w:left w:w="0" w:type="dxa"/>
              <w:bottom w:w="0" w:type="dxa"/>
              <w:right w:w="0" w:type="dxa"/>
            </w:tcMar>
            <w:vAlign w:val="center"/>
          </w:tcPr>
          <w:p w14:paraId="00D6323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1.21 (1.02, 1.45)</w:t>
            </w:r>
          </w:p>
        </w:tc>
        <w:tc>
          <w:tcPr>
            <w:tcW w:w="959" w:type="dxa"/>
            <w:tcBorders>
              <w:top w:val="nil"/>
              <w:left w:val="nil"/>
              <w:bottom w:val="nil"/>
              <w:right w:val="nil"/>
            </w:tcBorders>
            <w:shd w:val="clear" w:color="auto" w:fill="FFFFFF"/>
            <w:tcMar>
              <w:top w:w="0" w:type="dxa"/>
              <w:left w:w="0" w:type="dxa"/>
              <w:bottom w:w="0" w:type="dxa"/>
              <w:right w:w="0" w:type="dxa"/>
            </w:tcMar>
            <w:vAlign w:val="center"/>
          </w:tcPr>
          <w:p w14:paraId="3451947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0.030</w:t>
            </w:r>
          </w:p>
        </w:tc>
      </w:tr>
      <w:tr w:rsidR="002F52E7" w14:paraId="4695ACC2" w14:textId="77777777">
        <w:trPr>
          <w:jc w:val="center"/>
        </w:trPr>
        <w:tc>
          <w:tcPr>
            <w:tcW w:w="3106"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41BBC0F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i/>
                <w:sz w:val="21"/>
                <w:szCs w:val="21"/>
              </w:rPr>
            </w:pPr>
            <w:r>
              <w:rPr>
                <w:rFonts w:ascii="Times New Roman" w:hAnsi="Times New Roman" w:cs="Times New Roman"/>
                <w:i/>
                <w:sz w:val="21"/>
                <w:szCs w:val="21"/>
              </w:rPr>
              <w:t>P for trend</w:t>
            </w:r>
          </w:p>
        </w:tc>
        <w:tc>
          <w:tcPr>
            <w:tcW w:w="186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5AE5F401"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42CEC06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10B6FFF0"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5785649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&lt;0.001</w:t>
            </w:r>
          </w:p>
        </w:tc>
        <w:tc>
          <w:tcPr>
            <w:tcW w:w="186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3370DCDB"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0BD59BE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0.001</w:t>
            </w:r>
          </w:p>
        </w:tc>
        <w:tc>
          <w:tcPr>
            <w:tcW w:w="1866"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1CCA6DF8"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p>
        </w:tc>
        <w:tc>
          <w:tcPr>
            <w:tcW w:w="959"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1CE98B6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100" w:after="100"/>
              <w:ind w:left="100" w:right="100"/>
              <w:jc w:val="center"/>
              <w:rPr>
                <w:rFonts w:ascii="Times New Roman" w:hAnsi="Times New Roman" w:cs="Times New Roman"/>
                <w:sz w:val="21"/>
                <w:szCs w:val="21"/>
              </w:rPr>
            </w:pPr>
            <w:r>
              <w:rPr>
                <w:rFonts w:ascii="Times New Roman" w:hAnsi="Times New Roman" w:cs="Times New Roman"/>
                <w:sz w:val="21"/>
                <w:szCs w:val="21"/>
              </w:rPr>
              <w:t>0.014</w:t>
            </w:r>
          </w:p>
        </w:tc>
      </w:tr>
      <w:tr w:rsidR="002F52E7" w14:paraId="7293B4D1" w14:textId="77777777">
        <w:trPr>
          <w:jc w:val="center"/>
        </w:trPr>
        <w:tc>
          <w:tcPr>
            <w:tcW w:w="14400" w:type="dxa"/>
            <w:gridSpan w:val="9"/>
            <w:tcBorders>
              <w:top w:val="single" w:sz="12" w:space="0" w:color="000000"/>
              <w:left w:val="nil"/>
              <w:bottom w:val="nil"/>
              <w:right w:val="nil"/>
            </w:tcBorders>
            <w:shd w:val="clear" w:color="auto" w:fill="FFFFFF"/>
            <w:tcMar>
              <w:top w:w="0" w:type="dxa"/>
              <w:left w:w="0" w:type="dxa"/>
              <w:bottom w:w="0" w:type="dxa"/>
              <w:right w:w="0" w:type="dxa"/>
            </w:tcMar>
            <w:vAlign w:val="center"/>
          </w:tcPr>
          <w:p w14:paraId="77116D1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line="360" w:lineRule="auto"/>
              <w:rPr>
                <w:rFonts w:ascii="Times New Roman" w:hAnsi="Times New Roman" w:cs="Times New Roman"/>
                <w:sz w:val="21"/>
                <w:szCs w:val="21"/>
              </w:rPr>
            </w:pPr>
            <w:r>
              <w:rPr>
                <w:rFonts w:ascii="Times New Roman" w:hAnsi="Times New Roman" w:cs="Times New Roman"/>
                <w:sz w:val="21"/>
                <w:szCs w:val="21"/>
                <w:lang w:eastAsia="zh-CN"/>
              </w:rPr>
              <w:t xml:space="preserve">Crude </w:t>
            </w:r>
            <w:proofErr w:type="spellStart"/>
            <w:r>
              <w:rPr>
                <w:rFonts w:ascii="Times New Roman" w:hAnsi="Times New Roman" w:cs="Times New Roman"/>
                <w:sz w:val="21"/>
                <w:szCs w:val="21"/>
                <w:lang w:eastAsia="zh-CN"/>
              </w:rPr>
              <w:t>model:no</w:t>
            </w:r>
            <w:proofErr w:type="spellEnd"/>
            <w:r>
              <w:rPr>
                <w:rFonts w:ascii="Times New Roman" w:hAnsi="Times New Roman" w:cs="Times New Roman"/>
                <w:sz w:val="21"/>
                <w:szCs w:val="21"/>
                <w:lang w:eastAsia="zh-CN"/>
              </w:rPr>
              <w:t xml:space="preserve"> covariates </w:t>
            </w:r>
            <w:proofErr w:type="spellStart"/>
            <w:r>
              <w:rPr>
                <w:rFonts w:ascii="Times New Roman" w:hAnsi="Times New Roman" w:cs="Times New Roman"/>
                <w:sz w:val="21"/>
                <w:szCs w:val="21"/>
                <w:lang w:eastAsia="zh-CN"/>
              </w:rPr>
              <w:t>adjusted.Model</w:t>
            </w:r>
            <w:proofErr w:type="spellEnd"/>
            <w:r>
              <w:rPr>
                <w:rFonts w:ascii="Times New Roman" w:hAnsi="Times New Roman" w:cs="Times New Roman"/>
                <w:sz w:val="21"/>
                <w:szCs w:val="21"/>
                <w:lang w:eastAsia="zh-CN"/>
              </w:rPr>
              <w:t xml:space="preserve"> I:Adjusted for </w:t>
            </w:r>
            <w:proofErr w:type="spellStart"/>
            <w:r>
              <w:rPr>
                <w:rFonts w:ascii="Times New Roman" w:hAnsi="Times New Roman" w:cs="Times New Roman"/>
                <w:sz w:val="21"/>
                <w:szCs w:val="21"/>
                <w:lang w:eastAsia="zh-CN"/>
              </w:rPr>
              <w:t>Age,Gender,and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Race.Model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II:Adjusted</w:t>
            </w:r>
            <w:proofErr w:type="spellEnd"/>
            <w:r>
              <w:rPr>
                <w:rFonts w:ascii="Times New Roman" w:hAnsi="Times New Roman" w:cs="Times New Roman"/>
                <w:sz w:val="21"/>
                <w:szCs w:val="21"/>
                <w:lang w:eastAsia="zh-CN"/>
              </w:rPr>
              <w:t xml:space="preserve"> for Model </w:t>
            </w:r>
            <w:proofErr w:type="spellStart"/>
            <w:r>
              <w:rPr>
                <w:rFonts w:ascii="Times New Roman" w:hAnsi="Times New Roman" w:cs="Times New Roman"/>
                <w:sz w:val="21"/>
                <w:szCs w:val="21"/>
                <w:lang w:eastAsia="zh-CN"/>
              </w:rPr>
              <w:t>I+Hypertension,Diabetes</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mellitus,Atrial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fibrillation,Chronic</w:t>
            </w:r>
            <w:proofErr w:type="spellEnd"/>
            <w:r>
              <w:rPr>
                <w:rFonts w:ascii="Times New Roman" w:hAnsi="Times New Roman" w:cs="Times New Roman"/>
                <w:sz w:val="21"/>
                <w:szCs w:val="21"/>
                <w:lang w:eastAsia="zh-CN"/>
              </w:rPr>
              <w:t xml:space="preserve"> kidney </w:t>
            </w:r>
            <w:proofErr w:type="spellStart"/>
            <w:r>
              <w:rPr>
                <w:rFonts w:ascii="Times New Roman" w:hAnsi="Times New Roman" w:cs="Times New Roman"/>
                <w:sz w:val="21"/>
                <w:szCs w:val="21"/>
                <w:lang w:eastAsia="zh-CN"/>
              </w:rPr>
              <w:t>disease,Myocardial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infarct,Cerebrovascular</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disease,Chronic</w:t>
            </w:r>
            <w:proofErr w:type="spellEnd"/>
            <w:r>
              <w:rPr>
                <w:rFonts w:ascii="Times New Roman" w:hAnsi="Times New Roman" w:cs="Times New Roman"/>
                <w:sz w:val="21"/>
                <w:szCs w:val="21"/>
                <w:lang w:eastAsia="zh-CN"/>
              </w:rPr>
              <w:t xml:space="preserve"> pulmonary </w:t>
            </w:r>
            <w:proofErr w:type="spellStart"/>
            <w:r>
              <w:rPr>
                <w:rFonts w:ascii="Times New Roman" w:hAnsi="Times New Roman" w:cs="Times New Roman"/>
                <w:sz w:val="21"/>
                <w:szCs w:val="21"/>
                <w:lang w:eastAsia="zh-CN"/>
              </w:rPr>
              <w:t>disease,Paraplegia,CRRT,Ventilations,BMI,SBP,Urea</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nitrogen,Platelet,Hemoglobin,Aniongap,Heart</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rate,Albumin,Creatinine,and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SOFA.Model</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III:Adjusted</w:t>
            </w:r>
            <w:proofErr w:type="spellEnd"/>
            <w:r>
              <w:rPr>
                <w:rFonts w:ascii="Times New Roman" w:hAnsi="Times New Roman" w:cs="Times New Roman"/>
                <w:sz w:val="21"/>
                <w:szCs w:val="21"/>
                <w:lang w:eastAsia="zh-CN"/>
              </w:rPr>
              <w:t xml:space="preserve"> for Model II+ACE inhibitors/</w:t>
            </w:r>
            <w:proofErr w:type="spellStart"/>
            <w:r>
              <w:rPr>
                <w:rFonts w:ascii="Times New Roman" w:hAnsi="Times New Roman" w:cs="Times New Roman"/>
                <w:sz w:val="21"/>
                <w:szCs w:val="21"/>
                <w:lang w:eastAsia="zh-CN"/>
              </w:rPr>
              <w:t>ARB,antiplatelet</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agents,statins,and</w:t>
            </w:r>
            <w:proofErr w:type="spellEnd"/>
            <w:r>
              <w:rPr>
                <w:rFonts w:ascii="Times New Roman" w:hAnsi="Times New Roman" w:cs="Times New Roman"/>
                <w:sz w:val="21"/>
                <w:szCs w:val="21"/>
                <w:lang w:eastAsia="zh-CN"/>
              </w:rPr>
              <w:t xml:space="preserve"> beta-</w:t>
            </w:r>
            <w:proofErr w:type="spellStart"/>
            <w:r>
              <w:rPr>
                <w:rFonts w:ascii="Times New Roman" w:hAnsi="Times New Roman" w:cs="Times New Roman"/>
                <w:sz w:val="21"/>
                <w:szCs w:val="21"/>
                <w:lang w:eastAsia="zh-CN"/>
              </w:rPr>
              <w:t>blockers.HR,hazard</w:t>
            </w:r>
            <w:proofErr w:type="spellEnd"/>
            <w:r>
              <w:rPr>
                <w:rFonts w:ascii="Times New Roman" w:hAnsi="Times New Roman" w:cs="Times New Roman"/>
                <w:sz w:val="21"/>
                <w:szCs w:val="21"/>
                <w:lang w:eastAsia="zh-CN"/>
              </w:rPr>
              <w:t xml:space="preserve"> </w:t>
            </w:r>
            <w:proofErr w:type="spellStart"/>
            <w:r>
              <w:rPr>
                <w:rFonts w:ascii="Times New Roman" w:hAnsi="Times New Roman" w:cs="Times New Roman"/>
                <w:sz w:val="21"/>
                <w:szCs w:val="21"/>
                <w:lang w:eastAsia="zh-CN"/>
              </w:rPr>
              <w:t>ratio;CI,confidence</w:t>
            </w:r>
            <w:proofErr w:type="spellEnd"/>
            <w:r>
              <w:rPr>
                <w:rFonts w:ascii="Times New Roman" w:hAnsi="Times New Roman" w:cs="Times New Roman"/>
                <w:sz w:val="21"/>
                <w:szCs w:val="21"/>
                <w:lang w:eastAsia="zh-CN"/>
              </w:rPr>
              <w:t xml:space="preserve"> interval</w:t>
            </w:r>
          </w:p>
        </w:tc>
      </w:tr>
    </w:tbl>
    <w:p w14:paraId="278CBAA0" w14:textId="77777777" w:rsidR="002F52E7" w:rsidRDefault="002F52E7">
      <w:pPr>
        <w:pStyle w:val="Caption"/>
        <w:widowControl w:val="0"/>
        <w:kinsoku w:val="0"/>
        <w:overflowPunct w:val="0"/>
        <w:rPr>
          <w:rFonts w:ascii="Times New Roman" w:eastAsiaTheme="minorEastAsia" w:hAnsi="Times New Roman" w:cs="Times New Roman"/>
          <w:sz w:val="21"/>
          <w:szCs w:val="21"/>
        </w:rPr>
      </w:pPr>
    </w:p>
    <w:p w14:paraId="5CE059F9" w14:textId="77777777" w:rsidR="002F52E7" w:rsidRDefault="002F52E7">
      <w:pPr>
        <w:widowControl w:val="0"/>
        <w:kinsoku w:val="0"/>
        <w:overflowPunct w:val="0"/>
        <w:rPr>
          <w:rFonts w:ascii="Times New Roman" w:hAnsi="Times New Roman" w:cs="Times New Roman"/>
          <w:sz w:val="21"/>
          <w:szCs w:val="21"/>
        </w:rPr>
      </w:pPr>
    </w:p>
    <w:p w14:paraId="25E89B19" w14:textId="77777777" w:rsidR="002F52E7" w:rsidRDefault="00000000">
      <w:pPr>
        <w:pStyle w:val="Caption"/>
        <w:widowControl w:val="0"/>
        <w:kinsoku w:val="0"/>
        <w:overflowPunct w:val="0"/>
        <w:rPr>
          <w:rFonts w:ascii="Times New Roman" w:hAnsi="Times New Roman" w:cs="Times New Roman"/>
          <w:sz w:val="21"/>
          <w:szCs w:val="21"/>
          <w:lang w:eastAsia="zh-CN"/>
        </w:rPr>
      </w:pPr>
      <w:bookmarkStart w:id="9" w:name="_Ref16236"/>
      <w:r>
        <w:rPr>
          <w:rFonts w:ascii="Times New Roman" w:hAnsi="Times New Roman" w:cs="Times New Roman"/>
          <w:b/>
          <w:bCs/>
          <w:sz w:val="21"/>
          <w:szCs w:val="21"/>
        </w:rPr>
        <w:t xml:space="preserve">Supplementary Table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Supplementary_Table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7</w:t>
      </w:r>
      <w:r>
        <w:rPr>
          <w:rFonts w:ascii="Times New Roman" w:hAnsi="Times New Roman" w:cs="Times New Roman"/>
          <w:b/>
          <w:bCs/>
          <w:sz w:val="21"/>
          <w:szCs w:val="21"/>
        </w:rPr>
        <w:fldChar w:fldCharType="end"/>
      </w:r>
      <w:r>
        <w:rPr>
          <w:rFonts w:ascii="Times New Roman" w:hAnsi="Times New Roman" w:cs="Times New Roman"/>
          <w:sz w:val="21"/>
          <w:szCs w:val="21"/>
          <w:lang w:eastAsia="zh-CN"/>
        </w:rPr>
        <w:t xml:space="preserve"> </w:t>
      </w:r>
      <w:r>
        <w:rPr>
          <w:rFonts w:ascii="Times New Roman" w:hAnsi="Times New Roman" w:cs="Times New Roman"/>
          <w:sz w:val="21"/>
          <w:szCs w:val="21"/>
        </w:rPr>
        <w:t xml:space="preserve"> </w:t>
      </w:r>
      <w:r>
        <w:rPr>
          <w:rFonts w:ascii="Times New Roman" w:eastAsiaTheme="minorEastAsia" w:hAnsi="Times New Roman" w:cs="Times New Roman"/>
          <w:sz w:val="21"/>
          <w:szCs w:val="21"/>
          <w:lang w:eastAsia="zh-CN"/>
        </w:rPr>
        <w:t>Baseline Characteristics by Group</w:t>
      </w:r>
      <w:bookmarkEnd w:id="9"/>
    </w:p>
    <w:tbl>
      <w:tblPr>
        <w:tblW w:w="14402" w:type="dxa"/>
        <w:jc w:val="center"/>
        <w:tblBorders>
          <w:top w:val="single" w:sz="12" w:space="0" w:color="666666"/>
          <w:bottom w:val="single" w:sz="12" w:space="0" w:color="1B4F8A"/>
        </w:tblBorders>
        <w:tblLayout w:type="fixed"/>
        <w:tblLook w:val="04A0" w:firstRow="1" w:lastRow="0" w:firstColumn="1" w:lastColumn="0" w:noHBand="0" w:noVBand="1"/>
      </w:tblPr>
      <w:tblGrid>
        <w:gridCol w:w="2499"/>
        <w:gridCol w:w="2355"/>
        <w:gridCol w:w="2205"/>
        <w:gridCol w:w="2325"/>
        <w:gridCol w:w="1354"/>
        <w:gridCol w:w="1830"/>
        <w:gridCol w:w="1834"/>
      </w:tblGrid>
      <w:tr w:rsidR="002F52E7" w14:paraId="3B565A5D" w14:textId="77777777">
        <w:trPr>
          <w:tblHeader/>
          <w:jc w:val="center"/>
        </w:trPr>
        <w:tc>
          <w:tcPr>
            <w:tcW w:w="2499" w:type="dxa"/>
            <w:tcBorders>
              <w:top w:val="single" w:sz="12" w:space="0" w:color="000000" w:themeColor="text1"/>
              <w:bottom w:val="single" w:sz="6" w:space="0" w:color="000000" w:themeColor="text1"/>
            </w:tcBorders>
            <w:tcMar>
              <w:top w:w="0" w:type="dxa"/>
              <w:left w:w="0" w:type="dxa"/>
              <w:bottom w:w="0" w:type="dxa"/>
              <w:right w:w="0" w:type="dxa"/>
            </w:tcMar>
            <w:vAlign w:val="center"/>
          </w:tcPr>
          <w:p w14:paraId="6792C84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Cs/>
                <w:sz w:val="21"/>
                <w:szCs w:val="21"/>
              </w:rPr>
            </w:pPr>
            <w:r>
              <w:rPr>
                <w:rFonts w:ascii="Times New Roman" w:hAnsi="Times New Roman" w:cs="Times New Roman"/>
                <w:bCs/>
                <w:sz w:val="21"/>
                <w:szCs w:val="21"/>
              </w:rPr>
              <w:t>Variable</w:t>
            </w:r>
          </w:p>
        </w:tc>
        <w:tc>
          <w:tcPr>
            <w:tcW w:w="2355" w:type="dxa"/>
            <w:tcBorders>
              <w:top w:val="single" w:sz="12" w:space="0" w:color="000000" w:themeColor="text1"/>
              <w:bottom w:val="single" w:sz="6" w:space="0" w:color="000000" w:themeColor="text1"/>
            </w:tcBorders>
            <w:tcMar>
              <w:top w:w="0" w:type="dxa"/>
              <w:left w:w="0" w:type="dxa"/>
              <w:bottom w:w="0" w:type="dxa"/>
              <w:right w:w="0" w:type="dxa"/>
            </w:tcMar>
            <w:vAlign w:val="center"/>
          </w:tcPr>
          <w:p w14:paraId="051B10F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Overall</w:t>
            </w:r>
          </w:p>
        </w:tc>
        <w:tc>
          <w:tcPr>
            <w:tcW w:w="2205" w:type="dxa"/>
            <w:tcBorders>
              <w:top w:val="single" w:sz="12" w:space="0" w:color="000000" w:themeColor="text1"/>
              <w:bottom w:val="single" w:sz="6" w:space="0" w:color="000000" w:themeColor="text1"/>
            </w:tcBorders>
            <w:tcMar>
              <w:top w:w="0" w:type="dxa"/>
              <w:left w:w="0" w:type="dxa"/>
              <w:bottom w:w="0" w:type="dxa"/>
              <w:right w:w="0" w:type="dxa"/>
            </w:tcMar>
            <w:vAlign w:val="center"/>
          </w:tcPr>
          <w:p w14:paraId="7A67534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Low (&lt;1.25)</w:t>
            </w:r>
          </w:p>
        </w:tc>
        <w:tc>
          <w:tcPr>
            <w:tcW w:w="2325" w:type="dxa"/>
            <w:tcBorders>
              <w:top w:val="single" w:sz="12" w:space="0" w:color="000000" w:themeColor="text1"/>
              <w:bottom w:val="single" w:sz="6" w:space="0" w:color="000000" w:themeColor="text1"/>
            </w:tcBorders>
            <w:tcMar>
              <w:top w:w="0" w:type="dxa"/>
              <w:left w:w="0" w:type="dxa"/>
              <w:bottom w:w="0" w:type="dxa"/>
              <w:right w:w="0" w:type="dxa"/>
            </w:tcMar>
            <w:vAlign w:val="center"/>
          </w:tcPr>
          <w:p w14:paraId="68F3EDA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High (&gt;=1.25)</w:t>
            </w:r>
          </w:p>
        </w:tc>
        <w:tc>
          <w:tcPr>
            <w:tcW w:w="1354" w:type="dxa"/>
            <w:tcBorders>
              <w:top w:val="single" w:sz="12" w:space="0" w:color="000000" w:themeColor="text1"/>
              <w:bottom w:val="single" w:sz="6" w:space="0" w:color="000000" w:themeColor="text1"/>
            </w:tcBorders>
            <w:tcMar>
              <w:top w:w="0" w:type="dxa"/>
              <w:left w:w="0" w:type="dxa"/>
              <w:bottom w:w="0" w:type="dxa"/>
              <w:right w:w="0" w:type="dxa"/>
            </w:tcMar>
            <w:vAlign w:val="center"/>
          </w:tcPr>
          <w:p w14:paraId="70F094C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P</w:t>
            </w:r>
          </w:p>
        </w:tc>
        <w:tc>
          <w:tcPr>
            <w:tcW w:w="1830" w:type="dxa"/>
            <w:tcBorders>
              <w:top w:val="single" w:sz="12" w:space="0" w:color="000000" w:themeColor="text1"/>
              <w:bottom w:val="single" w:sz="6" w:space="0" w:color="000000" w:themeColor="text1"/>
            </w:tcBorders>
            <w:tcMar>
              <w:top w:w="0" w:type="dxa"/>
              <w:left w:w="0" w:type="dxa"/>
              <w:bottom w:w="0" w:type="dxa"/>
              <w:right w:w="0" w:type="dxa"/>
            </w:tcMar>
            <w:vAlign w:val="center"/>
          </w:tcPr>
          <w:p w14:paraId="58896FB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SMD</w:t>
            </w:r>
            <w:r>
              <w:rPr>
                <w:rFonts w:ascii="Times New Roman" w:hAnsi="Times New Roman" w:cs="Times New Roman"/>
                <w:b/>
                <w:sz w:val="21"/>
                <w:szCs w:val="21"/>
              </w:rPr>
              <w:br/>
              <w:t>Before</w:t>
            </w:r>
          </w:p>
        </w:tc>
        <w:tc>
          <w:tcPr>
            <w:tcW w:w="1834" w:type="dxa"/>
            <w:tcBorders>
              <w:top w:val="single" w:sz="12" w:space="0" w:color="000000" w:themeColor="text1"/>
              <w:bottom w:val="single" w:sz="6" w:space="0" w:color="000000" w:themeColor="text1"/>
            </w:tcBorders>
            <w:tcMar>
              <w:top w:w="0" w:type="dxa"/>
              <w:left w:w="0" w:type="dxa"/>
              <w:bottom w:w="0" w:type="dxa"/>
              <w:right w:w="0" w:type="dxa"/>
            </w:tcMar>
            <w:vAlign w:val="center"/>
          </w:tcPr>
          <w:p w14:paraId="2B8F810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SMD</w:t>
            </w:r>
            <w:r>
              <w:rPr>
                <w:rFonts w:ascii="Times New Roman" w:hAnsi="Times New Roman" w:cs="Times New Roman"/>
                <w:b/>
                <w:sz w:val="21"/>
                <w:szCs w:val="21"/>
              </w:rPr>
              <w:br/>
              <w:t>After</w:t>
            </w:r>
          </w:p>
        </w:tc>
      </w:tr>
      <w:tr w:rsidR="002F52E7" w14:paraId="2A1C17AF" w14:textId="77777777">
        <w:trPr>
          <w:jc w:val="center"/>
        </w:trPr>
        <w:tc>
          <w:tcPr>
            <w:tcW w:w="2499" w:type="dxa"/>
            <w:tcBorders>
              <w:top w:val="single" w:sz="6" w:space="0" w:color="000000" w:themeColor="text1"/>
              <w:bottom w:val="nil"/>
            </w:tcBorders>
            <w:tcMar>
              <w:top w:w="0" w:type="dxa"/>
              <w:left w:w="0" w:type="dxa"/>
              <w:bottom w:w="0" w:type="dxa"/>
              <w:right w:w="0" w:type="dxa"/>
            </w:tcMar>
            <w:vAlign w:val="center"/>
          </w:tcPr>
          <w:p w14:paraId="7AD573A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rPr>
                <w:rFonts w:ascii="Times New Roman" w:hAnsi="Times New Roman" w:cs="Times New Roman"/>
                <w:bCs/>
                <w:sz w:val="21"/>
                <w:szCs w:val="21"/>
              </w:rPr>
            </w:pPr>
            <w:r>
              <w:rPr>
                <w:rFonts w:ascii="Times New Roman" w:hAnsi="Times New Roman" w:cs="Times New Roman"/>
                <w:bCs/>
                <w:sz w:val="21"/>
                <w:szCs w:val="21"/>
              </w:rPr>
              <w:t>n</w:t>
            </w:r>
          </w:p>
        </w:tc>
        <w:tc>
          <w:tcPr>
            <w:tcW w:w="2355" w:type="dxa"/>
            <w:tcBorders>
              <w:top w:val="single" w:sz="6" w:space="0" w:color="000000" w:themeColor="text1"/>
              <w:bottom w:val="nil"/>
            </w:tcBorders>
            <w:tcMar>
              <w:top w:w="0" w:type="dxa"/>
              <w:left w:w="0" w:type="dxa"/>
              <w:bottom w:w="0" w:type="dxa"/>
              <w:right w:w="0" w:type="dxa"/>
            </w:tcMar>
            <w:vAlign w:val="center"/>
          </w:tcPr>
          <w:p w14:paraId="69C3C88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5362</w:t>
            </w:r>
          </w:p>
        </w:tc>
        <w:tc>
          <w:tcPr>
            <w:tcW w:w="2205" w:type="dxa"/>
            <w:tcBorders>
              <w:top w:val="single" w:sz="6" w:space="0" w:color="000000" w:themeColor="text1"/>
              <w:bottom w:val="nil"/>
            </w:tcBorders>
            <w:tcMar>
              <w:top w:w="0" w:type="dxa"/>
              <w:left w:w="0" w:type="dxa"/>
              <w:bottom w:w="0" w:type="dxa"/>
              <w:right w:w="0" w:type="dxa"/>
            </w:tcMar>
            <w:vAlign w:val="center"/>
          </w:tcPr>
          <w:p w14:paraId="16EFE51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4137</w:t>
            </w:r>
          </w:p>
        </w:tc>
        <w:tc>
          <w:tcPr>
            <w:tcW w:w="2325" w:type="dxa"/>
            <w:tcBorders>
              <w:top w:val="single" w:sz="6" w:space="0" w:color="000000" w:themeColor="text1"/>
              <w:bottom w:val="nil"/>
            </w:tcBorders>
            <w:tcMar>
              <w:top w:w="0" w:type="dxa"/>
              <w:left w:w="0" w:type="dxa"/>
              <w:bottom w:w="0" w:type="dxa"/>
              <w:right w:w="0" w:type="dxa"/>
            </w:tcMar>
            <w:vAlign w:val="center"/>
          </w:tcPr>
          <w:p w14:paraId="0C34703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1225</w:t>
            </w:r>
          </w:p>
        </w:tc>
        <w:tc>
          <w:tcPr>
            <w:tcW w:w="1354" w:type="dxa"/>
            <w:tcBorders>
              <w:top w:val="single" w:sz="6" w:space="0" w:color="000000" w:themeColor="text1"/>
              <w:bottom w:val="nil"/>
            </w:tcBorders>
            <w:tcMar>
              <w:top w:w="0" w:type="dxa"/>
              <w:left w:w="0" w:type="dxa"/>
              <w:bottom w:w="0" w:type="dxa"/>
              <w:right w:w="0" w:type="dxa"/>
            </w:tcMar>
            <w:vAlign w:val="center"/>
          </w:tcPr>
          <w:p w14:paraId="52C26F35"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p>
        </w:tc>
        <w:tc>
          <w:tcPr>
            <w:tcW w:w="1830" w:type="dxa"/>
            <w:tcBorders>
              <w:top w:val="single" w:sz="6" w:space="0" w:color="000000" w:themeColor="text1"/>
              <w:bottom w:val="nil"/>
            </w:tcBorders>
            <w:tcMar>
              <w:top w:w="0" w:type="dxa"/>
              <w:left w:w="0" w:type="dxa"/>
              <w:bottom w:w="0" w:type="dxa"/>
              <w:right w:w="0" w:type="dxa"/>
            </w:tcMar>
            <w:vAlign w:val="center"/>
          </w:tcPr>
          <w:p w14:paraId="0831340D"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p>
        </w:tc>
        <w:tc>
          <w:tcPr>
            <w:tcW w:w="1834" w:type="dxa"/>
            <w:tcBorders>
              <w:top w:val="single" w:sz="6" w:space="0" w:color="000000" w:themeColor="text1"/>
              <w:bottom w:val="nil"/>
            </w:tcBorders>
            <w:tcMar>
              <w:top w:w="0" w:type="dxa"/>
              <w:left w:w="0" w:type="dxa"/>
              <w:bottom w:w="0" w:type="dxa"/>
              <w:right w:w="0" w:type="dxa"/>
            </w:tcMar>
            <w:vAlign w:val="center"/>
          </w:tcPr>
          <w:p w14:paraId="62A68A7F" w14:textId="77777777" w:rsidR="002F52E7" w:rsidRDefault="002F52E7">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p>
        </w:tc>
      </w:tr>
      <w:tr w:rsidR="002F52E7" w14:paraId="466C420E" w14:textId="77777777">
        <w:trPr>
          <w:trHeight w:val="90"/>
          <w:jc w:val="center"/>
        </w:trPr>
        <w:tc>
          <w:tcPr>
            <w:tcW w:w="2499" w:type="dxa"/>
            <w:tcBorders>
              <w:top w:val="nil"/>
              <w:bottom w:val="nil"/>
            </w:tcBorders>
            <w:tcMar>
              <w:top w:w="0" w:type="dxa"/>
              <w:left w:w="0" w:type="dxa"/>
              <w:bottom w:w="0" w:type="dxa"/>
              <w:right w:w="0" w:type="dxa"/>
            </w:tcMar>
            <w:vAlign w:val="center"/>
          </w:tcPr>
          <w:p w14:paraId="12C55D7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lang w:eastAsia="zh-CN"/>
              </w:rPr>
              <w:t>Age,yesrs</w:t>
            </w:r>
            <w:proofErr w:type="spellEnd"/>
            <w:proofErr w:type="gramEnd"/>
          </w:p>
        </w:tc>
        <w:tc>
          <w:tcPr>
            <w:tcW w:w="2355" w:type="dxa"/>
            <w:tcBorders>
              <w:top w:val="nil"/>
              <w:bottom w:val="nil"/>
            </w:tcBorders>
            <w:tcMar>
              <w:top w:w="0" w:type="dxa"/>
              <w:left w:w="0" w:type="dxa"/>
              <w:bottom w:w="0" w:type="dxa"/>
              <w:right w:w="0" w:type="dxa"/>
            </w:tcMar>
            <w:vAlign w:val="center"/>
          </w:tcPr>
          <w:p w14:paraId="38A0076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69.98 ± 11.30</w:t>
            </w:r>
          </w:p>
        </w:tc>
        <w:tc>
          <w:tcPr>
            <w:tcW w:w="2205" w:type="dxa"/>
            <w:tcBorders>
              <w:top w:val="nil"/>
              <w:bottom w:val="nil"/>
            </w:tcBorders>
            <w:tcMar>
              <w:top w:w="0" w:type="dxa"/>
              <w:left w:w="0" w:type="dxa"/>
              <w:bottom w:w="0" w:type="dxa"/>
              <w:right w:w="0" w:type="dxa"/>
            </w:tcMar>
            <w:vAlign w:val="center"/>
          </w:tcPr>
          <w:p w14:paraId="6E4904C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69.77 ± 11.38</w:t>
            </w:r>
          </w:p>
        </w:tc>
        <w:tc>
          <w:tcPr>
            <w:tcW w:w="2325" w:type="dxa"/>
            <w:tcBorders>
              <w:top w:val="nil"/>
              <w:bottom w:val="nil"/>
            </w:tcBorders>
            <w:tcMar>
              <w:top w:w="0" w:type="dxa"/>
              <w:left w:w="0" w:type="dxa"/>
              <w:bottom w:w="0" w:type="dxa"/>
              <w:right w:w="0" w:type="dxa"/>
            </w:tcMar>
            <w:vAlign w:val="center"/>
          </w:tcPr>
          <w:p w14:paraId="024A65D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70.70 ± 10.99</w:t>
            </w:r>
          </w:p>
        </w:tc>
        <w:tc>
          <w:tcPr>
            <w:tcW w:w="1354" w:type="dxa"/>
            <w:tcBorders>
              <w:top w:val="nil"/>
              <w:bottom w:val="nil"/>
            </w:tcBorders>
            <w:tcMar>
              <w:top w:w="0" w:type="dxa"/>
              <w:left w:w="0" w:type="dxa"/>
              <w:bottom w:w="0" w:type="dxa"/>
              <w:right w:w="0" w:type="dxa"/>
            </w:tcMar>
            <w:vAlign w:val="center"/>
          </w:tcPr>
          <w:p w14:paraId="7B31F7F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0.010</w:t>
            </w:r>
          </w:p>
        </w:tc>
        <w:tc>
          <w:tcPr>
            <w:tcW w:w="1830" w:type="dxa"/>
            <w:tcBorders>
              <w:top w:val="nil"/>
              <w:bottom w:val="nil"/>
            </w:tcBorders>
            <w:tcMar>
              <w:top w:w="0" w:type="dxa"/>
              <w:left w:w="0" w:type="dxa"/>
              <w:bottom w:w="0" w:type="dxa"/>
              <w:right w:w="0" w:type="dxa"/>
            </w:tcMar>
            <w:vAlign w:val="center"/>
          </w:tcPr>
          <w:p w14:paraId="4703B40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0.083</w:t>
            </w:r>
          </w:p>
        </w:tc>
        <w:tc>
          <w:tcPr>
            <w:tcW w:w="1834" w:type="dxa"/>
            <w:tcBorders>
              <w:top w:val="nil"/>
              <w:bottom w:val="nil"/>
            </w:tcBorders>
            <w:tcMar>
              <w:top w:w="0" w:type="dxa"/>
              <w:left w:w="0" w:type="dxa"/>
              <w:bottom w:w="0" w:type="dxa"/>
              <w:right w:w="0" w:type="dxa"/>
            </w:tcMar>
            <w:vAlign w:val="center"/>
          </w:tcPr>
          <w:p w14:paraId="741E388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54767D1F" w14:textId="77777777">
        <w:trPr>
          <w:trHeight w:val="90"/>
          <w:jc w:val="center"/>
        </w:trPr>
        <w:tc>
          <w:tcPr>
            <w:tcW w:w="2499" w:type="dxa"/>
            <w:tcBorders>
              <w:top w:val="nil"/>
              <w:bottom w:val="nil"/>
            </w:tcBorders>
            <w:tcMar>
              <w:top w:w="0" w:type="dxa"/>
              <w:left w:w="0" w:type="dxa"/>
              <w:bottom w:w="0" w:type="dxa"/>
              <w:right w:w="0" w:type="dxa"/>
            </w:tcMar>
            <w:vAlign w:val="center"/>
          </w:tcPr>
          <w:p w14:paraId="422EDBD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proofErr w:type="spellStart"/>
            <w:proofErr w:type="gramStart"/>
            <w:r>
              <w:rPr>
                <w:rFonts w:ascii="Times New Roman" w:hAnsi="Times New Roman" w:cs="Times New Roman"/>
                <w:bCs/>
                <w:sz w:val="21"/>
                <w:szCs w:val="21"/>
              </w:rPr>
              <w:t>Male,n</w:t>
            </w:r>
            <w:proofErr w:type="spellEnd"/>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1AB4AF4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3800 (70.9%)</w:t>
            </w:r>
          </w:p>
        </w:tc>
        <w:tc>
          <w:tcPr>
            <w:tcW w:w="2205" w:type="dxa"/>
            <w:tcBorders>
              <w:top w:val="nil"/>
              <w:bottom w:val="nil"/>
            </w:tcBorders>
            <w:tcMar>
              <w:top w:w="0" w:type="dxa"/>
              <w:left w:w="0" w:type="dxa"/>
              <w:bottom w:w="0" w:type="dxa"/>
              <w:right w:w="0" w:type="dxa"/>
            </w:tcMar>
            <w:vAlign w:val="center"/>
          </w:tcPr>
          <w:p w14:paraId="20B43CE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2987 (72.2%)</w:t>
            </w:r>
          </w:p>
        </w:tc>
        <w:tc>
          <w:tcPr>
            <w:tcW w:w="2325" w:type="dxa"/>
            <w:tcBorders>
              <w:top w:val="nil"/>
              <w:bottom w:val="nil"/>
            </w:tcBorders>
            <w:tcMar>
              <w:top w:w="0" w:type="dxa"/>
              <w:left w:w="0" w:type="dxa"/>
              <w:bottom w:w="0" w:type="dxa"/>
              <w:right w:w="0" w:type="dxa"/>
            </w:tcMar>
            <w:vAlign w:val="center"/>
          </w:tcPr>
          <w:p w14:paraId="3D90960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813 (66.4%)</w:t>
            </w:r>
          </w:p>
        </w:tc>
        <w:tc>
          <w:tcPr>
            <w:tcW w:w="1354" w:type="dxa"/>
            <w:tcBorders>
              <w:top w:val="nil"/>
              <w:bottom w:val="nil"/>
            </w:tcBorders>
            <w:tcMar>
              <w:top w:w="0" w:type="dxa"/>
              <w:left w:w="0" w:type="dxa"/>
              <w:bottom w:w="0" w:type="dxa"/>
              <w:right w:w="0" w:type="dxa"/>
            </w:tcMar>
            <w:vAlign w:val="center"/>
          </w:tcPr>
          <w:p w14:paraId="6ED7470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53CDC1B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b/>
                <w:sz w:val="21"/>
                <w:szCs w:val="21"/>
              </w:rPr>
              <w:t>0.127</w:t>
            </w:r>
          </w:p>
        </w:tc>
        <w:tc>
          <w:tcPr>
            <w:tcW w:w="1834" w:type="dxa"/>
            <w:tcBorders>
              <w:top w:val="nil"/>
              <w:bottom w:val="nil"/>
            </w:tcBorders>
            <w:tcMar>
              <w:top w:w="0" w:type="dxa"/>
              <w:left w:w="0" w:type="dxa"/>
              <w:bottom w:w="0" w:type="dxa"/>
              <w:right w:w="0" w:type="dxa"/>
            </w:tcMar>
            <w:vAlign w:val="center"/>
          </w:tcPr>
          <w:p w14:paraId="178E985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4DF87C4F" w14:textId="77777777">
        <w:trPr>
          <w:jc w:val="center"/>
        </w:trPr>
        <w:tc>
          <w:tcPr>
            <w:tcW w:w="2499" w:type="dxa"/>
            <w:tcBorders>
              <w:top w:val="nil"/>
              <w:bottom w:val="nil"/>
            </w:tcBorders>
            <w:tcMar>
              <w:top w:w="0" w:type="dxa"/>
              <w:left w:w="0" w:type="dxa"/>
              <w:bottom w:w="0" w:type="dxa"/>
              <w:right w:w="0" w:type="dxa"/>
            </w:tcMar>
            <w:vAlign w:val="center"/>
          </w:tcPr>
          <w:p w14:paraId="60AAE75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proofErr w:type="spellStart"/>
            <w:proofErr w:type="gramStart"/>
            <w:r>
              <w:rPr>
                <w:rFonts w:ascii="Times New Roman" w:hAnsi="Times New Roman" w:cs="Times New Roman"/>
                <w:bCs/>
                <w:sz w:val="21"/>
                <w:szCs w:val="21"/>
              </w:rPr>
              <w:lastRenderedPageBreak/>
              <w:t>White,n</w:t>
            </w:r>
            <w:proofErr w:type="spellEnd"/>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177A406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3406 (63.5%)</w:t>
            </w:r>
          </w:p>
        </w:tc>
        <w:tc>
          <w:tcPr>
            <w:tcW w:w="2205" w:type="dxa"/>
            <w:tcBorders>
              <w:top w:val="nil"/>
              <w:bottom w:val="nil"/>
            </w:tcBorders>
            <w:tcMar>
              <w:top w:w="0" w:type="dxa"/>
              <w:left w:w="0" w:type="dxa"/>
              <w:bottom w:w="0" w:type="dxa"/>
              <w:right w:w="0" w:type="dxa"/>
            </w:tcMar>
            <w:vAlign w:val="center"/>
          </w:tcPr>
          <w:p w14:paraId="4805D86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2626 (63.5%)</w:t>
            </w:r>
          </w:p>
        </w:tc>
        <w:tc>
          <w:tcPr>
            <w:tcW w:w="2325" w:type="dxa"/>
            <w:tcBorders>
              <w:top w:val="nil"/>
              <w:bottom w:val="nil"/>
            </w:tcBorders>
            <w:tcMar>
              <w:top w:w="0" w:type="dxa"/>
              <w:left w:w="0" w:type="dxa"/>
              <w:bottom w:w="0" w:type="dxa"/>
              <w:right w:w="0" w:type="dxa"/>
            </w:tcMar>
            <w:vAlign w:val="center"/>
          </w:tcPr>
          <w:p w14:paraId="234AF21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780 (63.7%)</w:t>
            </w:r>
          </w:p>
        </w:tc>
        <w:tc>
          <w:tcPr>
            <w:tcW w:w="1354" w:type="dxa"/>
            <w:tcBorders>
              <w:top w:val="nil"/>
              <w:bottom w:val="nil"/>
            </w:tcBorders>
            <w:tcMar>
              <w:top w:w="0" w:type="dxa"/>
              <w:left w:w="0" w:type="dxa"/>
              <w:bottom w:w="0" w:type="dxa"/>
              <w:right w:w="0" w:type="dxa"/>
            </w:tcMar>
            <w:vAlign w:val="center"/>
          </w:tcPr>
          <w:p w14:paraId="0D35D83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0.820</w:t>
            </w:r>
          </w:p>
        </w:tc>
        <w:tc>
          <w:tcPr>
            <w:tcW w:w="1830" w:type="dxa"/>
            <w:tcBorders>
              <w:top w:val="nil"/>
              <w:bottom w:val="nil"/>
            </w:tcBorders>
            <w:tcMar>
              <w:top w:w="0" w:type="dxa"/>
              <w:left w:w="0" w:type="dxa"/>
              <w:bottom w:w="0" w:type="dxa"/>
              <w:right w:w="0" w:type="dxa"/>
            </w:tcMar>
            <w:vAlign w:val="center"/>
          </w:tcPr>
          <w:p w14:paraId="65B5500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0.041</w:t>
            </w:r>
          </w:p>
        </w:tc>
        <w:tc>
          <w:tcPr>
            <w:tcW w:w="1834" w:type="dxa"/>
            <w:tcBorders>
              <w:top w:val="nil"/>
              <w:bottom w:val="nil"/>
            </w:tcBorders>
            <w:tcMar>
              <w:top w:w="0" w:type="dxa"/>
              <w:left w:w="0" w:type="dxa"/>
              <w:bottom w:w="0" w:type="dxa"/>
              <w:right w:w="0" w:type="dxa"/>
            </w:tcMar>
            <w:vAlign w:val="center"/>
          </w:tcPr>
          <w:p w14:paraId="77CB513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5680C491" w14:textId="77777777">
        <w:trPr>
          <w:jc w:val="center"/>
        </w:trPr>
        <w:tc>
          <w:tcPr>
            <w:tcW w:w="2499" w:type="dxa"/>
            <w:tcBorders>
              <w:top w:val="nil"/>
              <w:bottom w:val="nil"/>
            </w:tcBorders>
            <w:tcMar>
              <w:top w:w="0" w:type="dxa"/>
              <w:left w:w="0" w:type="dxa"/>
              <w:bottom w:w="0" w:type="dxa"/>
              <w:right w:w="0" w:type="dxa"/>
            </w:tcMar>
            <w:vAlign w:val="center"/>
          </w:tcPr>
          <w:p w14:paraId="50C5B2F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BMI,kg</w:t>
            </w:r>
            <w:proofErr w:type="spellEnd"/>
            <w:proofErr w:type="gramEnd"/>
            <w:r>
              <w:rPr>
                <w:rFonts w:ascii="Times New Roman" w:hAnsi="Times New Roman" w:cs="Times New Roman"/>
                <w:bCs/>
                <w:sz w:val="21"/>
                <w:szCs w:val="21"/>
              </w:rPr>
              <w:t>/m²</w:t>
            </w:r>
          </w:p>
        </w:tc>
        <w:tc>
          <w:tcPr>
            <w:tcW w:w="2355" w:type="dxa"/>
            <w:tcBorders>
              <w:top w:val="nil"/>
              <w:bottom w:val="nil"/>
            </w:tcBorders>
            <w:tcMar>
              <w:top w:w="0" w:type="dxa"/>
              <w:left w:w="0" w:type="dxa"/>
              <w:bottom w:w="0" w:type="dxa"/>
              <w:right w:w="0" w:type="dxa"/>
            </w:tcMar>
            <w:vAlign w:val="center"/>
          </w:tcPr>
          <w:p w14:paraId="4B6EDC5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29.80 ± 6.43</w:t>
            </w:r>
          </w:p>
        </w:tc>
        <w:tc>
          <w:tcPr>
            <w:tcW w:w="2205" w:type="dxa"/>
            <w:tcBorders>
              <w:top w:val="nil"/>
              <w:bottom w:val="nil"/>
            </w:tcBorders>
            <w:tcMar>
              <w:top w:w="0" w:type="dxa"/>
              <w:left w:w="0" w:type="dxa"/>
              <w:bottom w:w="0" w:type="dxa"/>
              <w:right w:w="0" w:type="dxa"/>
            </w:tcMar>
            <w:vAlign w:val="center"/>
          </w:tcPr>
          <w:p w14:paraId="7708853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29.82 ± 6.42</w:t>
            </w:r>
          </w:p>
        </w:tc>
        <w:tc>
          <w:tcPr>
            <w:tcW w:w="2325" w:type="dxa"/>
            <w:tcBorders>
              <w:top w:val="nil"/>
              <w:bottom w:val="nil"/>
            </w:tcBorders>
            <w:tcMar>
              <w:top w:w="0" w:type="dxa"/>
              <w:left w:w="0" w:type="dxa"/>
              <w:bottom w:w="0" w:type="dxa"/>
              <w:right w:w="0" w:type="dxa"/>
            </w:tcMar>
            <w:vAlign w:val="center"/>
          </w:tcPr>
          <w:p w14:paraId="1CEBA05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29.76 ± 6.45</w:t>
            </w:r>
          </w:p>
        </w:tc>
        <w:tc>
          <w:tcPr>
            <w:tcW w:w="1354" w:type="dxa"/>
            <w:tcBorders>
              <w:top w:val="nil"/>
              <w:bottom w:val="nil"/>
            </w:tcBorders>
            <w:tcMar>
              <w:top w:w="0" w:type="dxa"/>
              <w:left w:w="0" w:type="dxa"/>
              <w:bottom w:w="0" w:type="dxa"/>
              <w:right w:w="0" w:type="dxa"/>
            </w:tcMar>
            <w:vAlign w:val="center"/>
          </w:tcPr>
          <w:p w14:paraId="1673122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0.783</w:t>
            </w:r>
          </w:p>
        </w:tc>
        <w:tc>
          <w:tcPr>
            <w:tcW w:w="1830" w:type="dxa"/>
            <w:tcBorders>
              <w:top w:val="nil"/>
              <w:bottom w:val="nil"/>
            </w:tcBorders>
            <w:tcMar>
              <w:top w:w="0" w:type="dxa"/>
              <w:left w:w="0" w:type="dxa"/>
              <w:bottom w:w="0" w:type="dxa"/>
              <w:right w:w="0" w:type="dxa"/>
            </w:tcMar>
            <w:vAlign w:val="center"/>
          </w:tcPr>
          <w:p w14:paraId="578B64B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0.009</w:t>
            </w:r>
          </w:p>
        </w:tc>
        <w:tc>
          <w:tcPr>
            <w:tcW w:w="1834" w:type="dxa"/>
            <w:tcBorders>
              <w:top w:val="nil"/>
              <w:bottom w:val="nil"/>
            </w:tcBorders>
            <w:tcMar>
              <w:top w:w="0" w:type="dxa"/>
              <w:left w:w="0" w:type="dxa"/>
              <w:bottom w:w="0" w:type="dxa"/>
              <w:right w:w="0" w:type="dxa"/>
            </w:tcMar>
            <w:vAlign w:val="center"/>
          </w:tcPr>
          <w:p w14:paraId="19A47DF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020BEB04" w14:textId="77777777">
        <w:trPr>
          <w:jc w:val="center"/>
        </w:trPr>
        <w:tc>
          <w:tcPr>
            <w:tcW w:w="2499" w:type="dxa"/>
            <w:tcBorders>
              <w:top w:val="nil"/>
              <w:bottom w:val="nil"/>
            </w:tcBorders>
            <w:tcMar>
              <w:top w:w="0" w:type="dxa"/>
              <w:left w:w="0" w:type="dxa"/>
              <w:bottom w:w="0" w:type="dxa"/>
              <w:right w:w="0" w:type="dxa"/>
            </w:tcMar>
            <w:vAlign w:val="center"/>
          </w:tcPr>
          <w:p w14:paraId="2501E11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r>
              <w:rPr>
                <w:rFonts w:ascii="Times New Roman" w:hAnsi="Times New Roman" w:cs="Times New Roman"/>
                <w:bCs/>
                <w:sz w:val="21"/>
                <w:szCs w:val="21"/>
              </w:rPr>
              <w:t xml:space="preserve">Heart </w:t>
            </w:r>
            <w:proofErr w:type="spellStart"/>
            <w:proofErr w:type="gramStart"/>
            <w:r>
              <w:rPr>
                <w:rFonts w:ascii="Times New Roman" w:hAnsi="Times New Roman" w:cs="Times New Roman"/>
                <w:bCs/>
                <w:sz w:val="21"/>
                <w:szCs w:val="21"/>
              </w:rPr>
              <w:t>rate,beats</w:t>
            </w:r>
            <w:proofErr w:type="spellEnd"/>
            <w:proofErr w:type="gramEnd"/>
            <w:r>
              <w:rPr>
                <w:rFonts w:ascii="Times New Roman" w:hAnsi="Times New Roman" w:cs="Times New Roman"/>
                <w:bCs/>
                <w:sz w:val="21"/>
                <w:szCs w:val="21"/>
              </w:rPr>
              <w:t>/min</w:t>
            </w:r>
          </w:p>
        </w:tc>
        <w:tc>
          <w:tcPr>
            <w:tcW w:w="2355" w:type="dxa"/>
            <w:tcBorders>
              <w:top w:val="nil"/>
              <w:bottom w:val="nil"/>
            </w:tcBorders>
            <w:tcMar>
              <w:top w:w="0" w:type="dxa"/>
              <w:left w:w="0" w:type="dxa"/>
              <w:bottom w:w="0" w:type="dxa"/>
              <w:right w:w="0" w:type="dxa"/>
            </w:tcMar>
            <w:vAlign w:val="center"/>
          </w:tcPr>
          <w:p w14:paraId="5425173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81.84 ± 14.94</w:t>
            </w:r>
          </w:p>
        </w:tc>
        <w:tc>
          <w:tcPr>
            <w:tcW w:w="2205" w:type="dxa"/>
            <w:tcBorders>
              <w:top w:val="nil"/>
              <w:bottom w:val="nil"/>
            </w:tcBorders>
            <w:tcMar>
              <w:top w:w="0" w:type="dxa"/>
              <w:left w:w="0" w:type="dxa"/>
              <w:bottom w:w="0" w:type="dxa"/>
              <w:right w:w="0" w:type="dxa"/>
            </w:tcMar>
            <w:vAlign w:val="center"/>
          </w:tcPr>
          <w:p w14:paraId="2DF81CA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80.79 ± 13.96</w:t>
            </w:r>
          </w:p>
        </w:tc>
        <w:tc>
          <w:tcPr>
            <w:tcW w:w="2325" w:type="dxa"/>
            <w:tcBorders>
              <w:top w:val="nil"/>
              <w:bottom w:val="nil"/>
            </w:tcBorders>
            <w:tcMar>
              <w:top w:w="0" w:type="dxa"/>
              <w:left w:w="0" w:type="dxa"/>
              <w:bottom w:w="0" w:type="dxa"/>
              <w:right w:w="0" w:type="dxa"/>
            </w:tcMar>
            <w:vAlign w:val="center"/>
          </w:tcPr>
          <w:p w14:paraId="227008B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85.40 ± 17.38</w:t>
            </w:r>
          </w:p>
        </w:tc>
        <w:tc>
          <w:tcPr>
            <w:tcW w:w="1354" w:type="dxa"/>
            <w:tcBorders>
              <w:top w:val="nil"/>
              <w:bottom w:val="nil"/>
            </w:tcBorders>
            <w:tcMar>
              <w:top w:w="0" w:type="dxa"/>
              <w:left w:w="0" w:type="dxa"/>
              <w:bottom w:w="0" w:type="dxa"/>
              <w:right w:w="0" w:type="dxa"/>
            </w:tcMar>
            <w:vAlign w:val="center"/>
          </w:tcPr>
          <w:p w14:paraId="3F0A0F7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0001408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0.293</w:t>
            </w:r>
          </w:p>
        </w:tc>
        <w:tc>
          <w:tcPr>
            <w:tcW w:w="1834" w:type="dxa"/>
            <w:tcBorders>
              <w:top w:val="nil"/>
              <w:bottom w:val="nil"/>
            </w:tcBorders>
            <w:tcMar>
              <w:top w:w="0" w:type="dxa"/>
              <w:left w:w="0" w:type="dxa"/>
              <w:bottom w:w="0" w:type="dxa"/>
              <w:right w:w="0" w:type="dxa"/>
            </w:tcMar>
            <w:vAlign w:val="center"/>
          </w:tcPr>
          <w:p w14:paraId="4B150FC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0E7CBBC1" w14:textId="77777777">
        <w:trPr>
          <w:jc w:val="center"/>
        </w:trPr>
        <w:tc>
          <w:tcPr>
            <w:tcW w:w="2499" w:type="dxa"/>
            <w:tcBorders>
              <w:top w:val="nil"/>
              <w:bottom w:val="nil"/>
            </w:tcBorders>
            <w:tcMar>
              <w:top w:w="0" w:type="dxa"/>
              <w:left w:w="0" w:type="dxa"/>
              <w:bottom w:w="0" w:type="dxa"/>
              <w:right w:w="0" w:type="dxa"/>
            </w:tcMar>
            <w:vAlign w:val="center"/>
          </w:tcPr>
          <w:p w14:paraId="1E43BAF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40" w:after="40" w:line="276" w:lineRule="auto"/>
              <w:ind w:right="10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SBP,mmHg</w:t>
            </w:r>
            <w:proofErr w:type="spellEnd"/>
            <w:proofErr w:type="gramEnd"/>
          </w:p>
        </w:tc>
        <w:tc>
          <w:tcPr>
            <w:tcW w:w="2355" w:type="dxa"/>
            <w:tcBorders>
              <w:top w:val="nil"/>
              <w:bottom w:val="nil"/>
            </w:tcBorders>
            <w:tcMar>
              <w:top w:w="0" w:type="dxa"/>
              <w:left w:w="0" w:type="dxa"/>
              <w:bottom w:w="0" w:type="dxa"/>
              <w:right w:w="0" w:type="dxa"/>
            </w:tcMar>
            <w:vAlign w:val="center"/>
          </w:tcPr>
          <w:p w14:paraId="2769612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119.73 ± 22.43</w:t>
            </w:r>
          </w:p>
        </w:tc>
        <w:tc>
          <w:tcPr>
            <w:tcW w:w="2205" w:type="dxa"/>
            <w:tcBorders>
              <w:top w:val="nil"/>
              <w:bottom w:val="nil"/>
            </w:tcBorders>
            <w:tcMar>
              <w:top w:w="0" w:type="dxa"/>
              <w:left w:w="0" w:type="dxa"/>
              <w:bottom w:w="0" w:type="dxa"/>
              <w:right w:w="0" w:type="dxa"/>
            </w:tcMar>
            <w:vAlign w:val="center"/>
          </w:tcPr>
          <w:p w14:paraId="10C07BC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118.94 ± 21.85</w:t>
            </w:r>
          </w:p>
        </w:tc>
        <w:tc>
          <w:tcPr>
            <w:tcW w:w="2325" w:type="dxa"/>
            <w:tcBorders>
              <w:top w:val="nil"/>
              <w:bottom w:val="nil"/>
            </w:tcBorders>
            <w:tcMar>
              <w:top w:w="0" w:type="dxa"/>
              <w:left w:w="0" w:type="dxa"/>
              <w:bottom w:w="0" w:type="dxa"/>
              <w:right w:w="0" w:type="dxa"/>
            </w:tcMar>
            <w:vAlign w:val="center"/>
          </w:tcPr>
          <w:p w14:paraId="4358F84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122.41 ± 24.08</w:t>
            </w:r>
          </w:p>
        </w:tc>
        <w:tc>
          <w:tcPr>
            <w:tcW w:w="1354" w:type="dxa"/>
            <w:tcBorders>
              <w:top w:val="nil"/>
              <w:bottom w:val="nil"/>
            </w:tcBorders>
            <w:tcMar>
              <w:top w:w="0" w:type="dxa"/>
              <w:left w:w="0" w:type="dxa"/>
              <w:bottom w:w="0" w:type="dxa"/>
              <w:right w:w="0" w:type="dxa"/>
            </w:tcMar>
            <w:vAlign w:val="center"/>
          </w:tcPr>
          <w:p w14:paraId="473A839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2AD79EC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0.151</w:t>
            </w:r>
          </w:p>
        </w:tc>
        <w:tc>
          <w:tcPr>
            <w:tcW w:w="1834" w:type="dxa"/>
            <w:tcBorders>
              <w:top w:val="nil"/>
              <w:bottom w:val="nil"/>
            </w:tcBorders>
            <w:tcMar>
              <w:top w:w="0" w:type="dxa"/>
              <w:left w:w="0" w:type="dxa"/>
              <w:bottom w:w="0" w:type="dxa"/>
              <w:right w:w="0" w:type="dxa"/>
            </w:tcMar>
            <w:vAlign w:val="center"/>
          </w:tcPr>
          <w:p w14:paraId="2CF357D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194B9B4D" w14:textId="77777777">
        <w:trPr>
          <w:jc w:val="center"/>
        </w:trPr>
        <w:tc>
          <w:tcPr>
            <w:tcW w:w="2499" w:type="dxa"/>
            <w:tcBorders>
              <w:top w:val="nil"/>
              <w:bottom w:val="nil"/>
            </w:tcBorders>
            <w:tcMar>
              <w:top w:w="0" w:type="dxa"/>
              <w:left w:w="0" w:type="dxa"/>
              <w:bottom w:w="0" w:type="dxa"/>
              <w:right w:w="0" w:type="dxa"/>
            </w:tcMar>
            <w:vAlign w:val="center"/>
          </w:tcPr>
          <w:p w14:paraId="623B91E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40" w:after="40" w:line="276" w:lineRule="auto"/>
              <w:ind w:right="10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DBP,mmHg</w:t>
            </w:r>
            <w:proofErr w:type="spellEnd"/>
            <w:proofErr w:type="gramEnd"/>
          </w:p>
        </w:tc>
        <w:tc>
          <w:tcPr>
            <w:tcW w:w="2355" w:type="dxa"/>
            <w:tcBorders>
              <w:top w:val="nil"/>
              <w:bottom w:val="nil"/>
            </w:tcBorders>
            <w:tcMar>
              <w:top w:w="0" w:type="dxa"/>
              <w:left w:w="0" w:type="dxa"/>
              <w:bottom w:w="0" w:type="dxa"/>
              <w:right w:w="0" w:type="dxa"/>
            </w:tcMar>
            <w:vAlign w:val="center"/>
          </w:tcPr>
          <w:p w14:paraId="225882D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64.37 ± 15.98</w:t>
            </w:r>
          </w:p>
        </w:tc>
        <w:tc>
          <w:tcPr>
            <w:tcW w:w="2205" w:type="dxa"/>
            <w:tcBorders>
              <w:top w:val="nil"/>
              <w:bottom w:val="nil"/>
            </w:tcBorders>
            <w:tcMar>
              <w:top w:w="0" w:type="dxa"/>
              <w:left w:w="0" w:type="dxa"/>
              <w:bottom w:w="0" w:type="dxa"/>
              <w:right w:w="0" w:type="dxa"/>
            </w:tcMar>
            <w:vAlign w:val="center"/>
          </w:tcPr>
          <w:p w14:paraId="38A02F9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63.84 ± 15.34</w:t>
            </w:r>
          </w:p>
        </w:tc>
        <w:tc>
          <w:tcPr>
            <w:tcW w:w="2325" w:type="dxa"/>
            <w:tcBorders>
              <w:top w:val="nil"/>
              <w:bottom w:val="nil"/>
            </w:tcBorders>
            <w:tcMar>
              <w:top w:w="0" w:type="dxa"/>
              <w:left w:w="0" w:type="dxa"/>
              <w:bottom w:w="0" w:type="dxa"/>
              <w:right w:w="0" w:type="dxa"/>
            </w:tcMar>
            <w:vAlign w:val="center"/>
          </w:tcPr>
          <w:p w14:paraId="744FC57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66.17 ± 17.86</w:t>
            </w:r>
          </w:p>
        </w:tc>
        <w:tc>
          <w:tcPr>
            <w:tcW w:w="1354" w:type="dxa"/>
            <w:tcBorders>
              <w:top w:val="nil"/>
              <w:bottom w:val="nil"/>
            </w:tcBorders>
            <w:tcMar>
              <w:top w:w="0" w:type="dxa"/>
              <w:left w:w="0" w:type="dxa"/>
              <w:bottom w:w="0" w:type="dxa"/>
              <w:right w:w="0" w:type="dxa"/>
            </w:tcMar>
            <w:vAlign w:val="center"/>
          </w:tcPr>
          <w:p w14:paraId="33577D3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3E6B5AC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0.140</w:t>
            </w:r>
          </w:p>
        </w:tc>
        <w:tc>
          <w:tcPr>
            <w:tcW w:w="1834" w:type="dxa"/>
            <w:tcBorders>
              <w:top w:val="nil"/>
              <w:bottom w:val="nil"/>
            </w:tcBorders>
            <w:tcMar>
              <w:top w:w="0" w:type="dxa"/>
              <w:left w:w="0" w:type="dxa"/>
              <w:bottom w:w="0" w:type="dxa"/>
              <w:right w:w="0" w:type="dxa"/>
            </w:tcMar>
            <w:vAlign w:val="center"/>
          </w:tcPr>
          <w:p w14:paraId="37858BA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0.023</w:t>
            </w:r>
          </w:p>
        </w:tc>
      </w:tr>
      <w:tr w:rsidR="002F52E7" w14:paraId="52CDD7D9" w14:textId="77777777">
        <w:trPr>
          <w:jc w:val="center"/>
        </w:trPr>
        <w:tc>
          <w:tcPr>
            <w:tcW w:w="2499" w:type="dxa"/>
            <w:tcBorders>
              <w:top w:val="nil"/>
              <w:bottom w:val="nil"/>
            </w:tcBorders>
            <w:tcMar>
              <w:top w:w="0" w:type="dxa"/>
              <w:left w:w="0" w:type="dxa"/>
              <w:bottom w:w="0" w:type="dxa"/>
              <w:right w:w="0" w:type="dxa"/>
            </w:tcMar>
            <w:vAlign w:val="center"/>
          </w:tcPr>
          <w:p w14:paraId="0491A8B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40" w:after="40" w:line="276" w:lineRule="auto"/>
              <w:ind w:right="10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MBP,mmHg</w:t>
            </w:r>
            <w:proofErr w:type="spellEnd"/>
            <w:proofErr w:type="gramEnd"/>
          </w:p>
        </w:tc>
        <w:tc>
          <w:tcPr>
            <w:tcW w:w="2355" w:type="dxa"/>
            <w:tcBorders>
              <w:top w:val="nil"/>
              <w:bottom w:val="nil"/>
            </w:tcBorders>
            <w:tcMar>
              <w:top w:w="0" w:type="dxa"/>
              <w:left w:w="0" w:type="dxa"/>
              <w:bottom w:w="0" w:type="dxa"/>
              <w:right w:w="0" w:type="dxa"/>
            </w:tcMar>
            <w:vAlign w:val="center"/>
          </w:tcPr>
          <w:p w14:paraId="630198B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81.65 ± 16.67</w:t>
            </w:r>
          </w:p>
        </w:tc>
        <w:tc>
          <w:tcPr>
            <w:tcW w:w="2205" w:type="dxa"/>
            <w:tcBorders>
              <w:top w:val="nil"/>
              <w:bottom w:val="nil"/>
            </w:tcBorders>
            <w:tcMar>
              <w:top w:w="0" w:type="dxa"/>
              <w:left w:w="0" w:type="dxa"/>
              <w:bottom w:w="0" w:type="dxa"/>
              <w:right w:w="0" w:type="dxa"/>
            </w:tcMar>
            <w:vAlign w:val="center"/>
          </w:tcPr>
          <w:p w14:paraId="4F4BAAF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81.16 ± 16.14</w:t>
            </w:r>
          </w:p>
        </w:tc>
        <w:tc>
          <w:tcPr>
            <w:tcW w:w="2325" w:type="dxa"/>
            <w:tcBorders>
              <w:top w:val="nil"/>
              <w:bottom w:val="nil"/>
            </w:tcBorders>
            <w:tcMar>
              <w:top w:w="0" w:type="dxa"/>
              <w:left w:w="0" w:type="dxa"/>
              <w:bottom w:w="0" w:type="dxa"/>
              <w:right w:w="0" w:type="dxa"/>
            </w:tcMar>
            <w:vAlign w:val="center"/>
          </w:tcPr>
          <w:p w14:paraId="24E9EE4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83.29 ± 18.28</w:t>
            </w:r>
          </w:p>
        </w:tc>
        <w:tc>
          <w:tcPr>
            <w:tcW w:w="1354" w:type="dxa"/>
            <w:tcBorders>
              <w:top w:val="nil"/>
              <w:bottom w:val="nil"/>
            </w:tcBorders>
            <w:tcMar>
              <w:top w:w="0" w:type="dxa"/>
              <w:left w:w="0" w:type="dxa"/>
              <w:bottom w:w="0" w:type="dxa"/>
              <w:right w:w="0" w:type="dxa"/>
            </w:tcMar>
            <w:vAlign w:val="center"/>
          </w:tcPr>
          <w:p w14:paraId="3D6767B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4301F73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0.124</w:t>
            </w:r>
          </w:p>
        </w:tc>
        <w:tc>
          <w:tcPr>
            <w:tcW w:w="1834" w:type="dxa"/>
            <w:tcBorders>
              <w:top w:val="nil"/>
              <w:bottom w:val="nil"/>
            </w:tcBorders>
            <w:tcMar>
              <w:top w:w="0" w:type="dxa"/>
              <w:left w:w="0" w:type="dxa"/>
              <w:bottom w:w="0" w:type="dxa"/>
              <w:right w:w="0" w:type="dxa"/>
            </w:tcMar>
            <w:vAlign w:val="center"/>
          </w:tcPr>
          <w:p w14:paraId="3D7529B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0.008</w:t>
            </w:r>
          </w:p>
        </w:tc>
      </w:tr>
      <w:tr w:rsidR="002F52E7" w14:paraId="6F833836" w14:textId="77777777">
        <w:trPr>
          <w:jc w:val="center"/>
        </w:trPr>
        <w:tc>
          <w:tcPr>
            <w:tcW w:w="2499" w:type="dxa"/>
            <w:tcBorders>
              <w:top w:val="nil"/>
              <w:bottom w:val="nil"/>
            </w:tcBorders>
            <w:tcMar>
              <w:top w:w="0" w:type="dxa"/>
              <w:left w:w="0" w:type="dxa"/>
              <w:bottom w:w="0" w:type="dxa"/>
              <w:right w:w="0" w:type="dxa"/>
            </w:tcMar>
            <w:vAlign w:val="center"/>
          </w:tcPr>
          <w:p w14:paraId="3DDE8A8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r>
              <w:rPr>
                <w:rFonts w:ascii="Times New Roman" w:hAnsi="Times New Roman" w:cs="Times New Roman"/>
                <w:bCs/>
                <w:sz w:val="21"/>
                <w:szCs w:val="21"/>
              </w:rPr>
              <w:t xml:space="preserve">Resp </w:t>
            </w:r>
            <w:proofErr w:type="spellStart"/>
            <w:proofErr w:type="gramStart"/>
            <w:r>
              <w:rPr>
                <w:rFonts w:ascii="Times New Roman" w:hAnsi="Times New Roman" w:cs="Times New Roman"/>
                <w:bCs/>
                <w:sz w:val="21"/>
                <w:szCs w:val="21"/>
              </w:rPr>
              <w:t>rate,times</w:t>
            </w:r>
            <w:proofErr w:type="spellEnd"/>
            <w:proofErr w:type="gramEnd"/>
            <w:r>
              <w:rPr>
                <w:rFonts w:ascii="Times New Roman" w:hAnsi="Times New Roman" w:cs="Times New Roman"/>
                <w:bCs/>
                <w:sz w:val="21"/>
                <w:szCs w:val="21"/>
              </w:rPr>
              <w:t>/min</w:t>
            </w:r>
          </w:p>
        </w:tc>
        <w:tc>
          <w:tcPr>
            <w:tcW w:w="2355" w:type="dxa"/>
            <w:tcBorders>
              <w:top w:val="nil"/>
              <w:bottom w:val="nil"/>
            </w:tcBorders>
            <w:tcMar>
              <w:top w:w="0" w:type="dxa"/>
              <w:left w:w="0" w:type="dxa"/>
              <w:bottom w:w="0" w:type="dxa"/>
              <w:right w:w="0" w:type="dxa"/>
            </w:tcMar>
            <w:vAlign w:val="center"/>
          </w:tcPr>
          <w:p w14:paraId="1D75500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16.00 [14.00, 19.00]</w:t>
            </w:r>
          </w:p>
        </w:tc>
        <w:tc>
          <w:tcPr>
            <w:tcW w:w="2205" w:type="dxa"/>
            <w:tcBorders>
              <w:top w:val="nil"/>
              <w:bottom w:val="nil"/>
            </w:tcBorders>
            <w:tcMar>
              <w:top w:w="0" w:type="dxa"/>
              <w:left w:w="0" w:type="dxa"/>
              <w:bottom w:w="0" w:type="dxa"/>
              <w:right w:w="0" w:type="dxa"/>
            </w:tcMar>
            <w:vAlign w:val="center"/>
          </w:tcPr>
          <w:p w14:paraId="388D225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16.00 [13.00, 19.00]</w:t>
            </w:r>
          </w:p>
        </w:tc>
        <w:tc>
          <w:tcPr>
            <w:tcW w:w="2325" w:type="dxa"/>
            <w:tcBorders>
              <w:top w:val="nil"/>
              <w:bottom w:val="nil"/>
            </w:tcBorders>
            <w:tcMar>
              <w:top w:w="0" w:type="dxa"/>
              <w:left w:w="0" w:type="dxa"/>
              <w:bottom w:w="0" w:type="dxa"/>
              <w:right w:w="0" w:type="dxa"/>
            </w:tcMar>
            <w:vAlign w:val="center"/>
          </w:tcPr>
          <w:p w14:paraId="196A799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17.00 [14.00, 21.00]</w:t>
            </w:r>
          </w:p>
        </w:tc>
        <w:tc>
          <w:tcPr>
            <w:tcW w:w="1354" w:type="dxa"/>
            <w:tcBorders>
              <w:top w:val="nil"/>
              <w:bottom w:val="nil"/>
            </w:tcBorders>
            <w:tcMar>
              <w:top w:w="0" w:type="dxa"/>
              <w:left w:w="0" w:type="dxa"/>
              <w:bottom w:w="0" w:type="dxa"/>
              <w:right w:w="0" w:type="dxa"/>
            </w:tcMar>
            <w:vAlign w:val="center"/>
          </w:tcPr>
          <w:p w14:paraId="24C7222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0675B73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0.306</w:t>
            </w:r>
          </w:p>
        </w:tc>
        <w:tc>
          <w:tcPr>
            <w:tcW w:w="1834" w:type="dxa"/>
            <w:tcBorders>
              <w:top w:val="nil"/>
              <w:bottom w:val="nil"/>
            </w:tcBorders>
            <w:tcMar>
              <w:top w:w="0" w:type="dxa"/>
              <w:left w:w="0" w:type="dxa"/>
              <w:bottom w:w="0" w:type="dxa"/>
              <w:right w:w="0" w:type="dxa"/>
            </w:tcMar>
            <w:vAlign w:val="center"/>
          </w:tcPr>
          <w:p w14:paraId="6D018CC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120747FD" w14:textId="77777777">
        <w:trPr>
          <w:jc w:val="center"/>
        </w:trPr>
        <w:tc>
          <w:tcPr>
            <w:tcW w:w="2499" w:type="dxa"/>
            <w:tcBorders>
              <w:top w:val="nil"/>
              <w:bottom w:val="nil"/>
            </w:tcBorders>
            <w:tcMar>
              <w:top w:w="0" w:type="dxa"/>
              <w:left w:w="0" w:type="dxa"/>
              <w:bottom w:w="0" w:type="dxa"/>
              <w:right w:w="0" w:type="dxa"/>
            </w:tcMar>
            <w:vAlign w:val="center"/>
          </w:tcPr>
          <w:p w14:paraId="1810622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Temperature,°</w:t>
            </w:r>
            <w:proofErr w:type="gramEnd"/>
            <w:r>
              <w:rPr>
                <w:rFonts w:ascii="Times New Roman" w:hAnsi="Times New Roman" w:cs="Times New Roman"/>
                <w:bCs/>
                <w:sz w:val="21"/>
                <w:szCs w:val="21"/>
              </w:rPr>
              <w:t>C</w:t>
            </w:r>
            <w:proofErr w:type="spellEnd"/>
          </w:p>
        </w:tc>
        <w:tc>
          <w:tcPr>
            <w:tcW w:w="2355" w:type="dxa"/>
            <w:tcBorders>
              <w:top w:val="nil"/>
              <w:bottom w:val="nil"/>
            </w:tcBorders>
            <w:tcMar>
              <w:top w:w="0" w:type="dxa"/>
              <w:left w:w="0" w:type="dxa"/>
              <w:bottom w:w="0" w:type="dxa"/>
              <w:right w:w="0" w:type="dxa"/>
            </w:tcMar>
            <w:vAlign w:val="center"/>
          </w:tcPr>
          <w:p w14:paraId="4793749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36.42 ± 1.80</w:t>
            </w:r>
          </w:p>
        </w:tc>
        <w:tc>
          <w:tcPr>
            <w:tcW w:w="2205" w:type="dxa"/>
            <w:tcBorders>
              <w:top w:val="nil"/>
              <w:bottom w:val="nil"/>
            </w:tcBorders>
            <w:tcMar>
              <w:top w:w="0" w:type="dxa"/>
              <w:left w:w="0" w:type="dxa"/>
              <w:bottom w:w="0" w:type="dxa"/>
              <w:right w:w="0" w:type="dxa"/>
            </w:tcMar>
            <w:vAlign w:val="center"/>
          </w:tcPr>
          <w:p w14:paraId="7EEBFA8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36.42 ± 1.54</w:t>
            </w:r>
          </w:p>
        </w:tc>
        <w:tc>
          <w:tcPr>
            <w:tcW w:w="2325" w:type="dxa"/>
            <w:tcBorders>
              <w:top w:val="nil"/>
              <w:bottom w:val="nil"/>
            </w:tcBorders>
            <w:tcMar>
              <w:top w:w="0" w:type="dxa"/>
              <w:left w:w="0" w:type="dxa"/>
              <w:bottom w:w="0" w:type="dxa"/>
              <w:right w:w="0" w:type="dxa"/>
            </w:tcMar>
            <w:vAlign w:val="center"/>
          </w:tcPr>
          <w:p w14:paraId="3DF6DFB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36.40 ± 2.48</w:t>
            </w:r>
          </w:p>
        </w:tc>
        <w:tc>
          <w:tcPr>
            <w:tcW w:w="1354" w:type="dxa"/>
            <w:tcBorders>
              <w:top w:val="nil"/>
              <w:bottom w:val="nil"/>
            </w:tcBorders>
            <w:tcMar>
              <w:top w:w="0" w:type="dxa"/>
              <w:left w:w="0" w:type="dxa"/>
              <w:bottom w:w="0" w:type="dxa"/>
              <w:right w:w="0" w:type="dxa"/>
            </w:tcMar>
            <w:vAlign w:val="center"/>
          </w:tcPr>
          <w:p w14:paraId="42F04A4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0.788</w:t>
            </w:r>
          </w:p>
        </w:tc>
        <w:tc>
          <w:tcPr>
            <w:tcW w:w="1830" w:type="dxa"/>
            <w:tcBorders>
              <w:top w:val="nil"/>
              <w:bottom w:val="nil"/>
            </w:tcBorders>
            <w:tcMar>
              <w:top w:w="0" w:type="dxa"/>
              <w:left w:w="0" w:type="dxa"/>
              <w:bottom w:w="0" w:type="dxa"/>
              <w:right w:w="0" w:type="dxa"/>
            </w:tcMar>
            <w:vAlign w:val="center"/>
          </w:tcPr>
          <w:p w14:paraId="175DD8B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0.010</w:t>
            </w:r>
          </w:p>
        </w:tc>
        <w:tc>
          <w:tcPr>
            <w:tcW w:w="1834" w:type="dxa"/>
            <w:tcBorders>
              <w:top w:val="nil"/>
              <w:bottom w:val="nil"/>
            </w:tcBorders>
            <w:tcMar>
              <w:top w:w="0" w:type="dxa"/>
              <w:left w:w="0" w:type="dxa"/>
              <w:bottom w:w="0" w:type="dxa"/>
              <w:right w:w="0" w:type="dxa"/>
            </w:tcMar>
            <w:vAlign w:val="center"/>
          </w:tcPr>
          <w:p w14:paraId="064EA47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0.064</w:t>
            </w:r>
          </w:p>
        </w:tc>
      </w:tr>
      <w:tr w:rsidR="002F52E7" w14:paraId="0F543563" w14:textId="77777777">
        <w:trPr>
          <w:jc w:val="center"/>
        </w:trPr>
        <w:tc>
          <w:tcPr>
            <w:tcW w:w="2499" w:type="dxa"/>
            <w:tcBorders>
              <w:top w:val="nil"/>
              <w:bottom w:val="nil"/>
            </w:tcBorders>
            <w:tcMar>
              <w:top w:w="0" w:type="dxa"/>
              <w:left w:w="0" w:type="dxa"/>
              <w:bottom w:w="0" w:type="dxa"/>
              <w:right w:w="0" w:type="dxa"/>
            </w:tcMar>
            <w:vAlign w:val="center"/>
          </w:tcPr>
          <w:p w14:paraId="3C616C9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r>
              <w:rPr>
                <w:rFonts w:ascii="Times New Roman" w:hAnsi="Times New Roman" w:cs="Times New Roman"/>
                <w:bCs/>
                <w:sz w:val="21"/>
                <w:szCs w:val="21"/>
              </w:rPr>
              <w:t>Spo</w:t>
            </w:r>
            <w:proofErr w:type="gramStart"/>
            <w:r>
              <w:rPr>
                <w:rFonts w:ascii="Times New Roman" w:hAnsi="Times New Roman" w:cs="Times New Roman"/>
                <w:bCs/>
                <w:sz w:val="21"/>
                <w:szCs w:val="21"/>
              </w:rPr>
              <w:t>2,%</w:t>
            </w:r>
            <w:proofErr w:type="gramEnd"/>
          </w:p>
        </w:tc>
        <w:tc>
          <w:tcPr>
            <w:tcW w:w="2355" w:type="dxa"/>
            <w:tcBorders>
              <w:top w:val="nil"/>
              <w:bottom w:val="nil"/>
            </w:tcBorders>
            <w:tcMar>
              <w:top w:w="0" w:type="dxa"/>
              <w:left w:w="0" w:type="dxa"/>
              <w:bottom w:w="0" w:type="dxa"/>
              <w:right w:w="0" w:type="dxa"/>
            </w:tcMar>
            <w:vAlign w:val="center"/>
          </w:tcPr>
          <w:p w14:paraId="008F686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97.99 ± 3.04</w:t>
            </w:r>
          </w:p>
        </w:tc>
        <w:tc>
          <w:tcPr>
            <w:tcW w:w="2205" w:type="dxa"/>
            <w:tcBorders>
              <w:top w:val="nil"/>
              <w:bottom w:val="nil"/>
            </w:tcBorders>
            <w:tcMar>
              <w:top w:w="0" w:type="dxa"/>
              <w:left w:w="0" w:type="dxa"/>
              <w:bottom w:w="0" w:type="dxa"/>
              <w:right w:w="0" w:type="dxa"/>
            </w:tcMar>
            <w:vAlign w:val="center"/>
          </w:tcPr>
          <w:p w14:paraId="18A4C37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98.19 ± 2.80</w:t>
            </w:r>
          </w:p>
        </w:tc>
        <w:tc>
          <w:tcPr>
            <w:tcW w:w="2325" w:type="dxa"/>
            <w:tcBorders>
              <w:top w:val="nil"/>
              <w:bottom w:val="nil"/>
            </w:tcBorders>
            <w:tcMar>
              <w:top w:w="0" w:type="dxa"/>
              <w:left w:w="0" w:type="dxa"/>
              <w:bottom w:w="0" w:type="dxa"/>
              <w:right w:w="0" w:type="dxa"/>
            </w:tcMar>
            <w:vAlign w:val="center"/>
          </w:tcPr>
          <w:p w14:paraId="03EC28E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97.31 ± 3.67</w:t>
            </w:r>
          </w:p>
        </w:tc>
        <w:tc>
          <w:tcPr>
            <w:tcW w:w="1354" w:type="dxa"/>
            <w:tcBorders>
              <w:top w:val="nil"/>
              <w:bottom w:val="nil"/>
            </w:tcBorders>
            <w:tcMar>
              <w:top w:w="0" w:type="dxa"/>
              <w:left w:w="0" w:type="dxa"/>
              <w:bottom w:w="0" w:type="dxa"/>
              <w:right w:w="0" w:type="dxa"/>
            </w:tcMar>
            <w:vAlign w:val="center"/>
          </w:tcPr>
          <w:p w14:paraId="15E984B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3A942B9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0.270</w:t>
            </w:r>
          </w:p>
        </w:tc>
        <w:tc>
          <w:tcPr>
            <w:tcW w:w="1834" w:type="dxa"/>
            <w:tcBorders>
              <w:top w:val="nil"/>
              <w:bottom w:val="nil"/>
            </w:tcBorders>
            <w:tcMar>
              <w:top w:w="0" w:type="dxa"/>
              <w:left w:w="0" w:type="dxa"/>
              <w:bottom w:w="0" w:type="dxa"/>
              <w:right w:w="0" w:type="dxa"/>
            </w:tcMar>
            <w:vAlign w:val="center"/>
          </w:tcPr>
          <w:p w14:paraId="615830C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0.056</w:t>
            </w:r>
          </w:p>
        </w:tc>
      </w:tr>
      <w:tr w:rsidR="002F52E7" w14:paraId="70101190" w14:textId="77777777">
        <w:trPr>
          <w:jc w:val="center"/>
        </w:trPr>
        <w:tc>
          <w:tcPr>
            <w:tcW w:w="2499" w:type="dxa"/>
            <w:tcBorders>
              <w:top w:val="nil"/>
              <w:bottom w:val="nil"/>
            </w:tcBorders>
            <w:tcMar>
              <w:top w:w="0" w:type="dxa"/>
              <w:left w:w="0" w:type="dxa"/>
              <w:bottom w:w="0" w:type="dxa"/>
              <w:right w:w="0" w:type="dxa"/>
            </w:tcMar>
            <w:vAlign w:val="center"/>
          </w:tcPr>
          <w:p w14:paraId="2C90CA7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Aniongap,mmol</w:t>
            </w:r>
            <w:proofErr w:type="spellEnd"/>
            <w:proofErr w:type="gramEnd"/>
            <w:r>
              <w:rPr>
                <w:rFonts w:ascii="Times New Roman" w:hAnsi="Times New Roman" w:cs="Times New Roman"/>
                <w:bCs/>
                <w:sz w:val="21"/>
                <w:szCs w:val="21"/>
              </w:rPr>
              <w:t>/L</w:t>
            </w:r>
          </w:p>
        </w:tc>
        <w:tc>
          <w:tcPr>
            <w:tcW w:w="2355" w:type="dxa"/>
            <w:tcBorders>
              <w:top w:val="nil"/>
              <w:bottom w:val="nil"/>
            </w:tcBorders>
            <w:tcMar>
              <w:top w:w="0" w:type="dxa"/>
              <w:left w:w="0" w:type="dxa"/>
              <w:bottom w:w="0" w:type="dxa"/>
              <w:right w:w="0" w:type="dxa"/>
            </w:tcMar>
            <w:vAlign w:val="center"/>
          </w:tcPr>
          <w:p w14:paraId="49B322B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14.11 ± 3.36</w:t>
            </w:r>
          </w:p>
        </w:tc>
        <w:tc>
          <w:tcPr>
            <w:tcW w:w="2205" w:type="dxa"/>
            <w:tcBorders>
              <w:top w:val="nil"/>
              <w:bottom w:val="nil"/>
            </w:tcBorders>
            <w:tcMar>
              <w:top w:w="0" w:type="dxa"/>
              <w:left w:w="0" w:type="dxa"/>
              <w:bottom w:w="0" w:type="dxa"/>
              <w:right w:w="0" w:type="dxa"/>
            </w:tcMar>
            <w:vAlign w:val="center"/>
          </w:tcPr>
          <w:p w14:paraId="7847EC9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13.74 ± 3.06</w:t>
            </w:r>
          </w:p>
        </w:tc>
        <w:tc>
          <w:tcPr>
            <w:tcW w:w="2325" w:type="dxa"/>
            <w:tcBorders>
              <w:top w:val="nil"/>
              <w:bottom w:val="nil"/>
            </w:tcBorders>
            <w:tcMar>
              <w:top w:w="0" w:type="dxa"/>
              <w:left w:w="0" w:type="dxa"/>
              <w:bottom w:w="0" w:type="dxa"/>
              <w:right w:w="0" w:type="dxa"/>
            </w:tcMar>
            <w:vAlign w:val="center"/>
          </w:tcPr>
          <w:p w14:paraId="7A4C77C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15.37 ± 3.97</w:t>
            </w:r>
          </w:p>
        </w:tc>
        <w:tc>
          <w:tcPr>
            <w:tcW w:w="1354" w:type="dxa"/>
            <w:tcBorders>
              <w:top w:val="nil"/>
              <w:bottom w:val="nil"/>
            </w:tcBorders>
            <w:tcMar>
              <w:top w:w="0" w:type="dxa"/>
              <w:left w:w="0" w:type="dxa"/>
              <w:bottom w:w="0" w:type="dxa"/>
              <w:right w:w="0" w:type="dxa"/>
            </w:tcMar>
            <w:vAlign w:val="center"/>
          </w:tcPr>
          <w:p w14:paraId="629D0BF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3DE05BB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0.459</w:t>
            </w:r>
          </w:p>
        </w:tc>
        <w:tc>
          <w:tcPr>
            <w:tcW w:w="1834" w:type="dxa"/>
            <w:tcBorders>
              <w:top w:val="nil"/>
              <w:bottom w:val="nil"/>
            </w:tcBorders>
            <w:tcMar>
              <w:top w:w="0" w:type="dxa"/>
              <w:left w:w="0" w:type="dxa"/>
              <w:bottom w:w="0" w:type="dxa"/>
              <w:right w:w="0" w:type="dxa"/>
            </w:tcMar>
            <w:vAlign w:val="center"/>
          </w:tcPr>
          <w:p w14:paraId="632A7D2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0.019</w:t>
            </w:r>
          </w:p>
        </w:tc>
      </w:tr>
      <w:tr w:rsidR="002F52E7" w14:paraId="22EE5628" w14:textId="77777777">
        <w:trPr>
          <w:jc w:val="center"/>
        </w:trPr>
        <w:tc>
          <w:tcPr>
            <w:tcW w:w="2499" w:type="dxa"/>
            <w:tcBorders>
              <w:top w:val="nil"/>
              <w:bottom w:val="nil"/>
            </w:tcBorders>
            <w:tcMar>
              <w:top w:w="0" w:type="dxa"/>
              <w:left w:w="0" w:type="dxa"/>
              <w:bottom w:w="0" w:type="dxa"/>
              <w:right w:w="0" w:type="dxa"/>
            </w:tcMar>
            <w:vAlign w:val="center"/>
          </w:tcPr>
          <w:p w14:paraId="337EBDB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Bicarbonate,mmol</w:t>
            </w:r>
            <w:proofErr w:type="spellEnd"/>
            <w:proofErr w:type="gramEnd"/>
            <w:r>
              <w:rPr>
                <w:rFonts w:ascii="Times New Roman" w:hAnsi="Times New Roman" w:cs="Times New Roman"/>
                <w:bCs/>
                <w:sz w:val="21"/>
                <w:szCs w:val="21"/>
              </w:rPr>
              <w:t>/L</w:t>
            </w:r>
          </w:p>
        </w:tc>
        <w:tc>
          <w:tcPr>
            <w:tcW w:w="2355" w:type="dxa"/>
            <w:tcBorders>
              <w:top w:val="nil"/>
              <w:bottom w:val="nil"/>
            </w:tcBorders>
            <w:tcMar>
              <w:top w:w="0" w:type="dxa"/>
              <w:left w:w="0" w:type="dxa"/>
              <w:bottom w:w="0" w:type="dxa"/>
              <w:right w:w="0" w:type="dxa"/>
            </w:tcMar>
            <w:vAlign w:val="center"/>
          </w:tcPr>
          <w:p w14:paraId="20401D3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24.37 ± 3.77</w:t>
            </w:r>
          </w:p>
        </w:tc>
        <w:tc>
          <w:tcPr>
            <w:tcW w:w="2205" w:type="dxa"/>
            <w:tcBorders>
              <w:top w:val="nil"/>
              <w:bottom w:val="nil"/>
            </w:tcBorders>
            <w:tcMar>
              <w:top w:w="0" w:type="dxa"/>
              <w:left w:w="0" w:type="dxa"/>
              <w:bottom w:w="0" w:type="dxa"/>
              <w:right w:w="0" w:type="dxa"/>
            </w:tcMar>
            <w:vAlign w:val="center"/>
          </w:tcPr>
          <w:p w14:paraId="56ADD91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24.80 ± 3.48</w:t>
            </w:r>
          </w:p>
        </w:tc>
        <w:tc>
          <w:tcPr>
            <w:tcW w:w="2325" w:type="dxa"/>
            <w:tcBorders>
              <w:top w:val="nil"/>
              <w:bottom w:val="nil"/>
            </w:tcBorders>
            <w:tcMar>
              <w:top w:w="0" w:type="dxa"/>
              <w:left w:w="0" w:type="dxa"/>
              <w:bottom w:w="0" w:type="dxa"/>
              <w:right w:w="0" w:type="dxa"/>
            </w:tcMar>
            <w:vAlign w:val="center"/>
          </w:tcPr>
          <w:p w14:paraId="666E28D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22.94 ± 4.32</w:t>
            </w:r>
          </w:p>
        </w:tc>
        <w:tc>
          <w:tcPr>
            <w:tcW w:w="1354" w:type="dxa"/>
            <w:tcBorders>
              <w:top w:val="nil"/>
              <w:bottom w:val="nil"/>
            </w:tcBorders>
            <w:tcMar>
              <w:top w:w="0" w:type="dxa"/>
              <w:left w:w="0" w:type="dxa"/>
              <w:bottom w:w="0" w:type="dxa"/>
              <w:right w:w="0" w:type="dxa"/>
            </w:tcMar>
            <w:vAlign w:val="center"/>
          </w:tcPr>
          <w:p w14:paraId="2B217FA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3F2AB7F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0.475</w:t>
            </w:r>
          </w:p>
        </w:tc>
        <w:tc>
          <w:tcPr>
            <w:tcW w:w="1834" w:type="dxa"/>
            <w:tcBorders>
              <w:top w:val="nil"/>
              <w:bottom w:val="nil"/>
            </w:tcBorders>
            <w:tcMar>
              <w:top w:w="0" w:type="dxa"/>
              <w:left w:w="0" w:type="dxa"/>
              <w:bottom w:w="0" w:type="dxa"/>
              <w:right w:w="0" w:type="dxa"/>
            </w:tcMar>
            <w:vAlign w:val="center"/>
          </w:tcPr>
          <w:p w14:paraId="64E0E64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429DAB1E" w14:textId="77777777">
        <w:trPr>
          <w:jc w:val="center"/>
        </w:trPr>
        <w:tc>
          <w:tcPr>
            <w:tcW w:w="2499" w:type="dxa"/>
            <w:tcBorders>
              <w:top w:val="nil"/>
              <w:bottom w:val="nil"/>
            </w:tcBorders>
            <w:tcMar>
              <w:top w:w="0" w:type="dxa"/>
              <w:left w:w="0" w:type="dxa"/>
              <w:bottom w:w="0" w:type="dxa"/>
              <w:right w:w="0" w:type="dxa"/>
            </w:tcMar>
            <w:vAlign w:val="center"/>
          </w:tcPr>
          <w:p w14:paraId="2C6C10C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Chloride,mEq</w:t>
            </w:r>
            <w:proofErr w:type="spellEnd"/>
            <w:proofErr w:type="gramEnd"/>
            <w:r>
              <w:rPr>
                <w:rFonts w:ascii="Times New Roman" w:hAnsi="Times New Roman" w:cs="Times New Roman"/>
                <w:bCs/>
                <w:sz w:val="21"/>
                <w:szCs w:val="21"/>
              </w:rPr>
              <w:t>/L</w:t>
            </w:r>
          </w:p>
        </w:tc>
        <w:tc>
          <w:tcPr>
            <w:tcW w:w="2355" w:type="dxa"/>
            <w:tcBorders>
              <w:top w:val="nil"/>
              <w:bottom w:val="nil"/>
            </w:tcBorders>
            <w:tcMar>
              <w:top w:w="0" w:type="dxa"/>
              <w:left w:w="0" w:type="dxa"/>
              <w:bottom w:w="0" w:type="dxa"/>
              <w:right w:w="0" w:type="dxa"/>
            </w:tcMar>
            <w:vAlign w:val="center"/>
          </w:tcPr>
          <w:p w14:paraId="48CB75E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102.42 ± 4.48</w:t>
            </w:r>
          </w:p>
        </w:tc>
        <w:tc>
          <w:tcPr>
            <w:tcW w:w="2205" w:type="dxa"/>
            <w:tcBorders>
              <w:top w:val="nil"/>
              <w:bottom w:val="nil"/>
            </w:tcBorders>
            <w:tcMar>
              <w:top w:w="0" w:type="dxa"/>
              <w:left w:w="0" w:type="dxa"/>
              <w:bottom w:w="0" w:type="dxa"/>
              <w:right w:w="0" w:type="dxa"/>
            </w:tcMar>
            <w:vAlign w:val="center"/>
          </w:tcPr>
          <w:p w14:paraId="40763AA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102.76 ± 4.17</w:t>
            </w:r>
          </w:p>
        </w:tc>
        <w:tc>
          <w:tcPr>
            <w:tcW w:w="2325" w:type="dxa"/>
            <w:tcBorders>
              <w:top w:val="nil"/>
              <w:bottom w:val="nil"/>
            </w:tcBorders>
            <w:tcMar>
              <w:top w:w="0" w:type="dxa"/>
              <w:left w:w="0" w:type="dxa"/>
              <w:bottom w:w="0" w:type="dxa"/>
              <w:right w:w="0" w:type="dxa"/>
            </w:tcMar>
            <w:vAlign w:val="center"/>
          </w:tcPr>
          <w:p w14:paraId="12B5644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101.27 ± 5.25</w:t>
            </w:r>
          </w:p>
        </w:tc>
        <w:tc>
          <w:tcPr>
            <w:tcW w:w="1354" w:type="dxa"/>
            <w:tcBorders>
              <w:top w:val="nil"/>
              <w:bottom w:val="nil"/>
            </w:tcBorders>
            <w:tcMar>
              <w:top w:w="0" w:type="dxa"/>
              <w:left w:w="0" w:type="dxa"/>
              <w:bottom w:w="0" w:type="dxa"/>
              <w:right w:w="0" w:type="dxa"/>
            </w:tcMar>
            <w:vAlign w:val="center"/>
          </w:tcPr>
          <w:p w14:paraId="53D3B29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7B76D4F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0.314</w:t>
            </w:r>
          </w:p>
        </w:tc>
        <w:tc>
          <w:tcPr>
            <w:tcW w:w="1834" w:type="dxa"/>
            <w:tcBorders>
              <w:top w:val="nil"/>
              <w:bottom w:val="nil"/>
            </w:tcBorders>
            <w:tcMar>
              <w:top w:w="0" w:type="dxa"/>
              <w:left w:w="0" w:type="dxa"/>
              <w:bottom w:w="0" w:type="dxa"/>
              <w:right w:w="0" w:type="dxa"/>
            </w:tcMar>
            <w:vAlign w:val="center"/>
          </w:tcPr>
          <w:p w14:paraId="18D51BF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3FE2FEB0" w14:textId="77777777">
        <w:trPr>
          <w:jc w:val="center"/>
        </w:trPr>
        <w:tc>
          <w:tcPr>
            <w:tcW w:w="2499" w:type="dxa"/>
            <w:tcBorders>
              <w:top w:val="nil"/>
              <w:bottom w:val="nil"/>
            </w:tcBorders>
            <w:tcMar>
              <w:top w:w="0" w:type="dxa"/>
              <w:left w:w="0" w:type="dxa"/>
              <w:bottom w:w="0" w:type="dxa"/>
              <w:right w:w="0" w:type="dxa"/>
            </w:tcMar>
            <w:vAlign w:val="center"/>
          </w:tcPr>
          <w:p w14:paraId="35BA6B1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Sodium,mEq</w:t>
            </w:r>
            <w:proofErr w:type="spellEnd"/>
            <w:proofErr w:type="gramEnd"/>
            <w:r>
              <w:rPr>
                <w:rFonts w:ascii="Times New Roman" w:hAnsi="Times New Roman" w:cs="Times New Roman"/>
                <w:bCs/>
                <w:sz w:val="21"/>
                <w:szCs w:val="21"/>
              </w:rPr>
              <w:t>/L</w:t>
            </w:r>
          </w:p>
        </w:tc>
        <w:tc>
          <w:tcPr>
            <w:tcW w:w="2355" w:type="dxa"/>
            <w:tcBorders>
              <w:top w:val="nil"/>
              <w:bottom w:val="nil"/>
            </w:tcBorders>
            <w:tcMar>
              <w:top w:w="0" w:type="dxa"/>
              <w:left w:w="0" w:type="dxa"/>
              <w:bottom w:w="0" w:type="dxa"/>
              <w:right w:w="0" w:type="dxa"/>
            </w:tcMar>
            <w:vAlign w:val="center"/>
          </w:tcPr>
          <w:p w14:paraId="4BAA953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138.66 ± 3.71</w:t>
            </w:r>
          </w:p>
        </w:tc>
        <w:tc>
          <w:tcPr>
            <w:tcW w:w="2205" w:type="dxa"/>
            <w:tcBorders>
              <w:top w:val="nil"/>
              <w:bottom w:val="nil"/>
            </w:tcBorders>
            <w:tcMar>
              <w:top w:w="0" w:type="dxa"/>
              <w:left w:w="0" w:type="dxa"/>
              <w:bottom w:w="0" w:type="dxa"/>
              <w:right w:w="0" w:type="dxa"/>
            </w:tcMar>
            <w:vAlign w:val="center"/>
          </w:tcPr>
          <w:p w14:paraId="6A2A31B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139.07 ± 3.43</w:t>
            </w:r>
          </w:p>
        </w:tc>
        <w:tc>
          <w:tcPr>
            <w:tcW w:w="2325" w:type="dxa"/>
            <w:tcBorders>
              <w:top w:val="nil"/>
              <w:bottom w:val="nil"/>
            </w:tcBorders>
            <w:tcMar>
              <w:top w:w="0" w:type="dxa"/>
              <w:left w:w="0" w:type="dxa"/>
              <w:bottom w:w="0" w:type="dxa"/>
              <w:right w:w="0" w:type="dxa"/>
            </w:tcMar>
            <w:vAlign w:val="center"/>
          </w:tcPr>
          <w:p w14:paraId="6FC3480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137.26 ± 4.23</w:t>
            </w:r>
          </w:p>
        </w:tc>
        <w:tc>
          <w:tcPr>
            <w:tcW w:w="1354" w:type="dxa"/>
            <w:tcBorders>
              <w:top w:val="nil"/>
              <w:bottom w:val="nil"/>
            </w:tcBorders>
            <w:tcMar>
              <w:top w:w="0" w:type="dxa"/>
              <w:left w:w="0" w:type="dxa"/>
              <w:bottom w:w="0" w:type="dxa"/>
              <w:right w:w="0" w:type="dxa"/>
            </w:tcMar>
            <w:vAlign w:val="center"/>
          </w:tcPr>
          <w:p w14:paraId="31AEEDA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1EDF6FF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0.471</w:t>
            </w:r>
          </w:p>
        </w:tc>
        <w:tc>
          <w:tcPr>
            <w:tcW w:w="1834" w:type="dxa"/>
            <w:tcBorders>
              <w:top w:val="nil"/>
              <w:bottom w:val="nil"/>
            </w:tcBorders>
            <w:tcMar>
              <w:top w:w="0" w:type="dxa"/>
              <w:left w:w="0" w:type="dxa"/>
              <w:bottom w:w="0" w:type="dxa"/>
              <w:right w:w="0" w:type="dxa"/>
            </w:tcMar>
            <w:vAlign w:val="center"/>
          </w:tcPr>
          <w:p w14:paraId="7CD62F5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0.072</w:t>
            </w:r>
          </w:p>
        </w:tc>
      </w:tr>
      <w:tr w:rsidR="002F52E7" w14:paraId="7B25EA16" w14:textId="77777777">
        <w:trPr>
          <w:jc w:val="center"/>
        </w:trPr>
        <w:tc>
          <w:tcPr>
            <w:tcW w:w="2499" w:type="dxa"/>
            <w:tcBorders>
              <w:top w:val="nil"/>
              <w:bottom w:val="nil"/>
            </w:tcBorders>
            <w:tcMar>
              <w:top w:w="0" w:type="dxa"/>
              <w:left w:w="0" w:type="dxa"/>
              <w:bottom w:w="0" w:type="dxa"/>
              <w:right w:w="0" w:type="dxa"/>
            </w:tcMar>
            <w:vAlign w:val="center"/>
          </w:tcPr>
          <w:p w14:paraId="025176F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Potassium,mEq</w:t>
            </w:r>
            <w:proofErr w:type="spellEnd"/>
            <w:proofErr w:type="gramEnd"/>
            <w:r>
              <w:rPr>
                <w:rFonts w:ascii="Times New Roman" w:hAnsi="Times New Roman" w:cs="Times New Roman"/>
                <w:bCs/>
                <w:sz w:val="21"/>
                <w:szCs w:val="21"/>
              </w:rPr>
              <w:t>/L</w:t>
            </w:r>
          </w:p>
        </w:tc>
        <w:tc>
          <w:tcPr>
            <w:tcW w:w="2355" w:type="dxa"/>
            <w:tcBorders>
              <w:top w:val="nil"/>
              <w:bottom w:val="nil"/>
            </w:tcBorders>
            <w:tcMar>
              <w:top w:w="0" w:type="dxa"/>
              <w:left w:w="0" w:type="dxa"/>
              <w:bottom w:w="0" w:type="dxa"/>
              <w:right w:w="0" w:type="dxa"/>
            </w:tcMar>
            <w:vAlign w:val="center"/>
          </w:tcPr>
          <w:p w14:paraId="0A4C963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4.20 ± 0.57</w:t>
            </w:r>
          </w:p>
        </w:tc>
        <w:tc>
          <w:tcPr>
            <w:tcW w:w="2205" w:type="dxa"/>
            <w:tcBorders>
              <w:top w:val="nil"/>
              <w:bottom w:val="nil"/>
            </w:tcBorders>
            <w:tcMar>
              <w:top w:w="0" w:type="dxa"/>
              <w:left w:w="0" w:type="dxa"/>
              <w:bottom w:w="0" w:type="dxa"/>
              <w:right w:w="0" w:type="dxa"/>
            </w:tcMar>
            <w:vAlign w:val="center"/>
          </w:tcPr>
          <w:p w14:paraId="372BFC0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4.16 ± 0.52</w:t>
            </w:r>
          </w:p>
        </w:tc>
        <w:tc>
          <w:tcPr>
            <w:tcW w:w="2325" w:type="dxa"/>
            <w:tcBorders>
              <w:top w:val="nil"/>
              <w:bottom w:val="nil"/>
            </w:tcBorders>
            <w:tcMar>
              <w:top w:w="0" w:type="dxa"/>
              <w:left w:w="0" w:type="dxa"/>
              <w:bottom w:w="0" w:type="dxa"/>
              <w:right w:w="0" w:type="dxa"/>
            </w:tcMar>
            <w:vAlign w:val="center"/>
          </w:tcPr>
          <w:p w14:paraId="2D70518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4.32 ± 0.70</w:t>
            </w:r>
          </w:p>
        </w:tc>
        <w:tc>
          <w:tcPr>
            <w:tcW w:w="1354" w:type="dxa"/>
            <w:tcBorders>
              <w:top w:val="nil"/>
              <w:bottom w:val="nil"/>
            </w:tcBorders>
            <w:tcMar>
              <w:top w:w="0" w:type="dxa"/>
              <w:left w:w="0" w:type="dxa"/>
              <w:bottom w:w="0" w:type="dxa"/>
              <w:right w:w="0" w:type="dxa"/>
            </w:tcMar>
            <w:vAlign w:val="center"/>
          </w:tcPr>
          <w:p w14:paraId="48F587E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0E6BA88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0.261</w:t>
            </w:r>
          </w:p>
        </w:tc>
        <w:tc>
          <w:tcPr>
            <w:tcW w:w="1834" w:type="dxa"/>
            <w:tcBorders>
              <w:top w:val="nil"/>
              <w:bottom w:val="nil"/>
            </w:tcBorders>
            <w:tcMar>
              <w:top w:w="0" w:type="dxa"/>
              <w:left w:w="0" w:type="dxa"/>
              <w:bottom w:w="0" w:type="dxa"/>
              <w:right w:w="0" w:type="dxa"/>
            </w:tcMar>
            <w:vAlign w:val="center"/>
          </w:tcPr>
          <w:p w14:paraId="532CDCF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0.048</w:t>
            </w:r>
          </w:p>
        </w:tc>
      </w:tr>
      <w:tr w:rsidR="002F52E7" w14:paraId="1A879069" w14:textId="77777777">
        <w:trPr>
          <w:jc w:val="center"/>
        </w:trPr>
        <w:tc>
          <w:tcPr>
            <w:tcW w:w="2499" w:type="dxa"/>
            <w:tcBorders>
              <w:top w:val="nil"/>
              <w:bottom w:val="nil"/>
            </w:tcBorders>
            <w:tcMar>
              <w:top w:w="0" w:type="dxa"/>
              <w:left w:w="0" w:type="dxa"/>
              <w:bottom w:w="0" w:type="dxa"/>
              <w:right w:w="0" w:type="dxa"/>
            </w:tcMar>
            <w:vAlign w:val="center"/>
          </w:tcPr>
          <w:p w14:paraId="78923F9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Magnesium,mEq</w:t>
            </w:r>
            <w:proofErr w:type="spellEnd"/>
            <w:proofErr w:type="gramEnd"/>
            <w:r>
              <w:rPr>
                <w:rFonts w:ascii="Times New Roman" w:hAnsi="Times New Roman" w:cs="Times New Roman"/>
                <w:bCs/>
                <w:sz w:val="21"/>
                <w:szCs w:val="21"/>
              </w:rPr>
              <w:t>/L</w:t>
            </w:r>
          </w:p>
        </w:tc>
        <w:tc>
          <w:tcPr>
            <w:tcW w:w="2355" w:type="dxa"/>
            <w:tcBorders>
              <w:top w:val="nil"/>
              <w:bottom w:val="nil"/>
            </w:tcBorders>
            <w:tcMar>
              <w:top w:w="0" w:type="dxa"/>
              <w:left w:w="0" w:type="dxa"/>
              <w:bottom w:w="0" w:type="dxa"/>
              <w:right w:w="0" w:type="dxa"/>
            </w:tcMar>
            <w:vAlign w:val="center"/>
          </w:tcPr>
          <w:p w14:paraId="1D9E1F0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2.01 ± 0.32</w:t>
            </w:r>
          </w:p>
        </w:tc>
        <w:tc>
          <w:tcPr>
            <w:tcW w:w="2205" w:type="dxa"/>
            <w:tcBorders>
              <w:top w:val="nil"/>
              <w:bottom w:val="nil"/>
            </w:tcBorders>
            <w:tcMar>
              <w:top w:w="0" w:type="dxa"/>
              <w:left w:w="0" w:type="dxa"/>
              <w:bottom w:w="0" w:type="dxa"/>
              <w:right w:w="0" w:type="dxa"/>
            </w:tcMar>
            <w:vAlign w:val="center"/>
          </w:tcPr>
          <w:p w14:paraId="561A338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2.02 ± 0.31</w:t>
            </w:r>
          </w:p>
        </w:tc>
        <w:tc>
          <w:tcPr>
            <w:tcW w:w="2325" w:type="dxa"/>
            <w:tcBorders>
              <w:top w:val="nil"/>
              <w:bottom w:val="nil"/>
            </w:tcBorders>
            <w:tcMar>
              <w:top w:w="0" w:type="dxa"/>
              <w:left w:w="0" w:type="dxa"/>
              <w:bottom w:w="0" w:type="dxa"/>
              <w:right w:w="0" w:type="dxa"/>
            </w:tcMar>
            <w:vAlign w:val="center"/>
          </w:tcPr>
          <w:p w14:paraId="46379AE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1.98 ± 0.33</w:t>
            </w:r>
          </w:p>
        </w:tc>
        <w:tc>
          <w:tcPr>
            <w:tcW w:w="1354" w:type="dxa"/>
            <w:tcBorders>
              <w:top w:val="nil"/>
              <w:bottom w:val="nil"/>
            </w:tcBorders>
            <w:tcMar>
              <w:top w:w="0" w:type="dxa"/>
              <w:left w:w="0" w:type="dxa"/>
              <w:bottom w:w="0" w:type="dxa"/>
              <w:right w:w="0" w:type="dxa"/>
            </w:tcMar>
            <w:vAlign w:val="center"/>
          </w:tcPr>
          <w:p w14:paraId="5E3EA07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239E6AB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0.132</w:t>
            </w:r>
          </w:p>
        </w:tc>
        <w:tc>
          <w:tcPr>
            <w:tcW w:w="1834" w:type="dxa"/>
            <w:tcBorders>
              <w:top w:val="nil"/>
              <w:bottom w:val="nil"/>
            </w:tcBorders>
            <w:tcMar>
              <w:top w:w="0" w:type="dxa"/>
              <w:left w:w="0" w:type="dxa"/>
              <w:bottom w:w="0" w:type="dxa"/>
              <w:right w:w="0" w:type="dxa"/>
            </w:tcMar>
            <w:vAlign w:val="center"/>
          </w:tcPr>
          <w:p w14:paraId="0F71C46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0.061</w:t>
            </w:r>
          </w:p>
        </w:tc>
      </w:tr>
      <w:tr w:rsidR="002F52E7" w14:paraId="7E71C3FE" w14:textId="77777777">
        <w:trPr>
          <w:jc w:val="center"/>
        </w:trPr>
        <w:tc>
          <w:tcPr>
            <w:tcW w:w="2499" w:type="dxa"/>
            <w:tcBorders>
              <w:top w:val="nil"/>
              <w:bottom w:val="nil"/>
            </w:tcBorders>
            <w:tcMar>
              <w:top w:w="0" w:type="dxa"/>
              <w:left w:w="0" w:type="dxa"/>
              <w:bottom w:w="0" w:type="dxa"/>
              <w:right w:w="0" w:type="dxa"/>
            </w:tcMar>
            <w:vAlign w:val="center"/>
          </w:tcPr>
          <w:p w14:paraId="5DBBD77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r>
              <w:rPr>
                <w:rFonts w:ascii="Times New Roman" w:hAnsi="Times New Roman" w:cs="Times New Roman"/>
                <w:bCs/>
                <w:sz w:val="21"/>
                <w:szCs w:val="21"/>
              </w:rPr>
              <w:t xml:space="preserve">Urea </w:t>
            </w:r>
            <w:proofErr w:type="spellStart"/>
            <w:proofErr w:type="gramStart"/>
            <w:r>
              <w:rPr>
                <w:rFonts w:ascii="Times New Roman" w:hAnsi="Times New Roman" w:cs="Times New Roman"/>
                <w:bCs/>
                <w:sz w:val="21"/>
                <w:szCs w:val="21"/>
              </w:rPr>
              <w:t>nitrogen,mg</w:t>
            </w:r>
            <w:proofErr w:type="spellEnd"/>
            <w:proofErr w:type="gramEnd"/>
            <w:r>
              <w:rPr>
                <w:rFonts w:ascii="Times New Roman" w:hAnsi="Times New Roman" w:cs="Times New Roman"/>
                <w:bCs/>
                <w:sz w:val="21"/>
                <w:szCs w:val="21"/>
              </w:rPr>
              <w:t>/dl</w:t>
            </w:r>
          </w:p>
        </w:tc>
        <w:tc>
          <w:tcPr>
            <w:tcW w:w="2355" w:type="dxa"/>
            <w:tcBorders>
              <w:top w:val="nil"/>
              <w:bottom w:val="nil"/>
            </w:tcBorders>
            <w:tcMar>
              <w:top w:w="0" w:type="dxa"/>
              <w:left w:w="0" w:type="dxa"/>
              <w:bottom w:w="0" w:type="dxa"/>
              <w:right w:w="0" w:type="dxa"/>
            </w:tcMar>
            <w:vAlign w:val="center"/>
          </w:tcPr>
          <w:p w14:paraId="0A451F5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19.00 [15.00, 27.00]</w:t>
            </w:r>
          </w:p>
        </w:tc>
        <w:tc>
          <w:tcPr>
            <w:tcW w:w="2205" w:type="dxa"/>
            <w:tcBorders>
              <w:top w:val="nil"/>
              <w:bottom w:val="nil"/>
            </w:tcBorders>
            <w:tcMar>
              <w:top w:w="0" w:type="dxa"/>
              <w:left w:w="0" w:type="dxa"/>
              <w:bottom w:w="0" w:type="dxa"/>
              <w:right w:w="0" w:type="dxa"/>
            </w:tcMar>
            <w:vAlign w:val="center"/>
          </w:tcPr>
          <w:p w14:paraId="18CEECF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18.00 [14.00, 25.00]</w:t>
            </w:r>
          </w:p>
        </w:tc>
        <w:tc>
          <w:tcPr>
            <w:tcW w:w="2325" w:type="dxa"/>
            <w:tcBorders>
              <w:top w:val="nil"/>
              <w:bottom w:val="nil"/>
            </w:tcBorders>
            <w:tcMar>
              <w:top w:w="0" w:type="dxa"/>
              <w:left w:w="0" w:type="dxa"/>
              <w:bottom w:w="0" w:type="dxa"/>
              <w:right w:w="0" w:type="dxa"/>
            </w:tcMar>
            <w:vAlign w:val="center"/>
          </w:tcPr>
          <w:p w14:paraId="5564D22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22.00 [17.00, 35.00]</w:t>
            </w:r>
          </w:p>
        </w:tc>
        <w:tc>
          <w:tcPr>
            <w:tcW w:w="1354" w:type="dxa"/>
            <w:tcBorders>
              <w:top w:val="nil"/>
              <w:bottom w:val="nil"/>
            </w:tcBorders>
            <w:tcMar>
              <w:top w:w="0" w:type="dxa"/>
              <w:left w:w="0" w:type="dxa"/>
              <w:bottom w:w="0" w:type="dxa"/>
              <w:right w:w="0" w:type="dxa"/>
            </w:tcMar>
            <w:vAlign w:val="center"/>
          </w:tcPr>
          <w:p w14:paraId="17E03FD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10FE3B7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0.369</w:t>
            </w:r>
          </w:p>
        </w:tc>
        <w:tc>
          <w:tcPr>
            <w:tcW w:w="1834" w:type="dxa"/>
            <w:tcBorders>
              <w:top w:val="nil"/>
              <w:bottom w:val="nil"/>
            </w:tcBorders>
            <w:tcMar>
              <w:top w:w="0" w:type="dxa"/>
              <w:left w:w="0" w:type="dxa"/>
              <w:bottom w:w="0" w:type="dxa"/>
              <w:right w:w="0" w:type="dxa"/>
            </w:tcMar>
            <w:vAlign w:val="center"/>
          </w:tcPr>
          <w:p w14:paraId="043B9FE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2D37A603" w14:textId="77777777">
        <w:trPr>
          <w:jc w:val="center"/>
        </w:trPr>
        <w:tc>
          <w:tcPr>
            <w:tcW w:w="2499" w:type="dxa"/>
            <w:tcBorders>
              <w:top w:val="nil"/>
              <w:bottom w:val="nil"/>
            </w:tcBorders>
            <w:tcMar>
              <w:top w:w="0" w:type="dxa"/>
              <w:left w:w="0" w:type="dxa"/>
              <w:bottom w:w="0" w:type="dxa"/>
              <w:right w:w="0" w:type="dxa"/>
            </w:tcMar>
            <w:vAlign w:val="center"/>
          </w:tcPr>
          <w:p w14:paraId="6D78E32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Creatinine,mg</w:t>
            </w:r>
            <w:proofErr w:type="spellEnd"/>
            <w:proofErr w:type="gramEnd"/>
            <w:r>
              <w:rPr>
                <w:rFonts w:ascii="Times New Roman" w:hAnsi="Times New Roman" w:cs="Times New Roman"/>
                <w:bCs/>
                <w:sz w:val="21"/>
                <w:szCs w:val="21"/>
              </w:rPr>
              <w:t>/dL</w:t>
            </w:r>
          </w:p>
        </w:tc>
        <w:tc>
          <w:tcPr>
            <w:tcW w:w="2355" w:type="dxa"/>
            <w:tcBorders>
              <w:top w:val="nil"/>
              <w:bottom w:val="nil"/>
            </w:tcBorders>
            <w:tcMar>
              <w:top w:w="0" w:type="dxa"/>
              <w:left w:w="0" w:type="dxa"/>
              <w:bottom w:w="0" w:type="dxa"/>
              <w:right w:w="0" w:type="dxa"/>
            </w:tcMar>
            <w:vAlign w:val="center"/>
          </w:tcPr>
          <w:p w14:paraId="51AE4C9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0.80 [0.60, 1.00]</w:t>
            </w:r>
          </w:p>
        </w:tc>
        <w:tc>
          <w:tcPr>
            <w:tcW w:w="2205" w:type="dxa"/>
            <w:tcBorders>
              <w:top w:val="nil"/>
              <w:bottom w:val="nil"/>
            </w:tcBorders>
            <w:tcMar>
              <w:top w:w="0" w:type="dxa"/>
              <w:left w:w="0" w:type="dxa"/>
              <w:bottom w:w="0" w:type="dxa"/>
              <w:right w:w="0" w:type="dxa"/>
            </w:tcMar>
            <w:vAlign w:val="center"/>
          </w:tcPr>
          <w:p w14:paraId="26BC3FF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0.80 [0.60, 1.00]</w:t>
            </w:r>
          </w:p>
        </w:tc>
        <w:tc>
          <w:tcPr>
            <w:tcW w:w="2325" w:type="dxa"/>
            <w:tcBorders>
              <w:top w:val="nil"/>
              <w:bottom w:val="nil"/>
            </w:tcBorders>
            <w:tcMar>
              <w:top w:w="0" w:type="dxa"/>
              <w:left w:w="0" w:type="dxa"/>
              <w:bottom w:w="0" w:type="dxa"/>
              <w:right w:w="0" w:type="dxa"/>
            </w:tcMar>
            <w:vAlign w:val="center"/>
          </w:tcPr>
          <w:p w14:paraId="1EEE2EF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0.80 [0.60, 1.10]</w:t>
            </w:r>
          </w:p>
        </w:tc>
        <w:tc>
          <w:tcPr>
            <w:tcW w:w="1354" w:type="dxa"/>
            <w:tcBorders>
              <w:top w:val="nil"/>
              <w:bottom w:val="nil"/>
            </w:tcBorders>
            <w:tcMar>
              <w:top w:w="0" w:type="dxa"/>
              <w:left w:w="0" w:type="dxa"/>
              <w:bottom w:w="0" w:type="dxa"/>
              <w:right w:w="0" w:type="dxa"/>
            </w:tcMar>
            <w:vAlign w:val="center"/>
          </w:tcPr>
          <w:p w14:paraId="328D4DF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71F5D7F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0.134</w:t>
            </w:r>
          </w:p>
        </w:tc>
        <w:tc>
          <w:tcPr>
            <w:tcW w:w="1834" w:type="dxa"/>
            <w:tcBorders>
              <w:top w:val="nil"/>
              <w:bottom w:val="nil"/>
            </w:tcBorders>
            <w:tcMar>
              <w:top w:w="0" w:type="dxa"/>
              <w:left w:w="0" w:type="dxa"/>
              <w:bottom w:w="0" w:type="dxa"/>
              <w:right w:w="0" w:type="dxa"/>
            </w:tcMar>
            <w:vAlign w:val="center"/>
          </w:tcPr>
          <w:p w14:paraId="7F6A547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0.069</w:t>
            </w:r>
          </w:p>
        </w:tc>
      </w:tr>
      <w:tr w:rsidR="002F52E7" w14:paraId="2E6C5DF2" w14:textId="77777777">
        <w:trPr>
          <w:jc w:val="center"/>
        </w:trPr>
        <w:tc>
          <w:tcPr>
            <w:tcW w:w="2499" w:type="dxa"/>
            <w:tcBorders>
              <w:top w:val="nil"/>
              <w:bottom w:val="nil"/>
            </w:tcBorders>
            <w:tcMar>
              <w:top w:w="0" w:type="dxa"/>
              <w:left w:w="0" w:type="dxa"/>
              <w:bottom w:w="0" w:type="dxa"/>
              <w:right w:w="0" w:type="dxa"/>
            </w:tcMar>
            <w:vAlign w:val="center"/>
          </w:tcPr>
          <w:p w14:paraId="4AE884E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eGFR,mL</w:t>
            </w:r>
            <w:proofErr w:type="spellEnd"/>
            <w:proofErr w:type="gramEnd"/>
            <w:r>
              <w:rPr>
                <w:rFonts w:ascii="Times New Roman" w:hAnsi="Times New Roman" w:cs="Times New Roman"/>
                <w:bCs/>
                <w:sz w:val="21"/>
                <w:szCs w:val="21"/>
              </w:rPr>
              <w:t>/min/1.73m²</w:t>
            </w:r>
          </w:p>
        </w:tc>
        <w:tc>
          <w:tcPr>
            <w:tcW w:w="2355" w:type="dxa"/>
            <w:tcBorders>
              <w:top w:val="nil"/>
              <w:bottom w:val="nil"/>
            </w:tcBorders>
            <w:tcMar>
              <w:top w:w="0" w:type="dxa"/>
              <w:left w:w="0" w:type="dxa"/>
              <w:bottom w:w="0" w:type="dxa"/>
              <w:right w:w="0" w:type="dxa"/>
            </w:tcMar>
            <w:vAlign w:val="center"/>
          </w:tcPr>
          <w:p w14:paraId="553F542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eastAsia="Arial" w:hAnsi="Times New Roman" w:cs="Times New Roman"/>
                <w:color w:val="000000"/>
                <w:sz w:val="21"/>
                <w:szCs w:val="21"/>
              </w:rPr>
              <w:t>104.73 [79.18, 128.73]</w:t>
            </w:r>
          </w:p>
        </w:tc>
        <w:tc>
          <w:tcPr>
            <w:tcW w:w="2205" w:type="dxa"/>
            <w:tcBorders>
              <w:top w:val="nil"/>
              <w:bottom w:val="nil"/>
            </w:tcBorders>
            <w:tcMar>
              <w:top w:w="0" w:type="dxa"/>
              <w:left w:w="0" w:type="dxa"/>
              <w:bottom w:w="0" w:type="dxa"/>
              <w:right w:w="0" w:type="dxa"/>
            </w:tcMar>
            <w:vAlign w:val="center"/>
          </w:tcPr>
          <w:p w14:paraId="798C4BE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eastAsia="Arial" w:hAnsi="Times New Roman" w:cs="Times New Roman"/>
                <w:color w:val="000000"/>
                <w:sz w:val="21"/>
                <w:szCs w:val="21"/>
              </w:rPr>
              <w:t>105.91 [80.99, 129.09]</w:t>
            </w:r>
          </w:p>
        </w:tc>
        <w:tc>
          <w:tcPr>
            <w:tcW w:w="2325" w:type="dxa"/>
            <w:tcBorders>
              <w:top w:val="nil"/>
              <w:bottom w:val="nil"/>
            </w:tcBorders>
            <w:tcMar>
              <w:top w:w="0" w:type="dxa"/>
              <w:left w:w="0" w:type="dxa"/>
              <w:bottom w:w="0" w:type="dxa"/>
              <w:right w:w="0" w:type="dxa"/>
            </w:tcMar>
            <w:vAlign w:val="center"/>
          </w:tcPr>
          <w:p w14:paraId="164816A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eastAsia="Arial" w:hAnsi="Times New Roman" w:cs="Times New Roman"/>
                <w:color w:val="000000"/>
                <w:sz w:val="21"/>
                <w:szCs w:val="21"/>
              </w:rPr>
              <w:t>96.35 [70.36, 128.38]</w:t>
            </w:r>
          </w:p>
        </w:tc>
        <w:tc>
          <w:tcPr>
            <w:tcW w:w="1354" w:type="dxa"/>
            <w:tcBorders>
              <w:top w:val="nil"/>
              <w:bottom w:val="nil"/>
            </w:tcBorders>
            <w:tcMar>
              <w:top w:w="0" w:type="dxa"/>
              <w:left w:w="0" w:type="dxa"/>
              <w:bottom w:w="0" w:type="dxa"/>
              <w:right w:w="0" w:type="dxa"/>
            </w:tcMar>
            <w:vAlign w:val="center"/>
          </w:tcPr>
          <w:p w14:paraId="669936A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eastAsia="Arial" w:hAnsi="Times New Roman" w:cs="Times New Roman"/>
                <w:color w:val="000000"/>
                <w:sz w:val="21"/>
                <w:szCs w:val="21"/>
              </w:rPr>
              <w:t>&lt;0.001</w:t>
            </w:r>
          </w:p>
        </w:tc>
        <w:tc>
          <w:tcPr>
            <w:tcW w:w="1830" w:type="dxa"/>
            <w:tcBorders>
              <w:top w:val="nil"/>
              <w:bottom w:val="nil"/>
            </w:tcBorders>
            <w:tcMar>
              <w:top w:w="0" w:type="dxa"/>
              <w:left w:w="0" w:type="dxa"/>
              <w:bottom w:w="0" w:type="dxa"/>
              <w:right w:w="0" w:type="dxa"/>
            </w:tcMar>
            <w:vAlign w:val="center"/>
          </w:tcPr>
          <w:p w14:paraId="1ED3149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lang w:eastAsia="zh-CN"/>
              </w:rPr>
            </w:pPr>
            <w:r>
              <w:rPr>
                <w:rFonts w:ascii="Times New Roman" w:hAnsi="Times New Roman" w:cs="Times New Roman"/>
                <w:bCs/>
                <w:sz w:val="21"/>
                <w:szCs w:val="21"/>
              </w:rPr>
              <w:t>0.</w:t>
            </w:r>
            <w:r>
              <w:rPr>
                <w:rFonts w:ascii="Times New Roman" w:hAnsi="Times New Roman" w:cs="Times New Roman" w:hint="eastAsia"/>
                <w:bCs/>
                <w:sz w:val="21"/>
                <w:szCs w:val="21"/>
                <w:lang w:eastAsia="zh-CN"/>
              </w:rPr>
              <w:t>075</w:t>
            </w:r>
          </w:p>
        </w:tc>
        <w:tc>
          <w:tcPr>
            <w:tcW w:w="1834" w:type="dxa"/>
            <w:tcBorders>
              <w:top w:val="nil"/>
              <w:bottom w:val="nil"/>
            </w:tcBorders>
            <w:tcMar>
              <w:top w:w="0" w:type="dxa"/>
              <w:left w:w="0" w:type="dxa"/>
              <w:bottom w:w="0" w:type="dxa"/>
              <w:right w:w="0" w:type="dxa"/>
            </w:tcMar>
            <w:vAlign w:val="center"/>
          </w:tcPr>
          <w:p w14:paraId="22C9AFD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lang w:eastAsia="zh-CN"/>
              </w:rPr>
            </w:pPr>
            <w:r>
              <w:rPr>
                <w:rFonts w:ascii="Times New Roman" w:hAnsi="Times New Roman" w:cs="Times New Roman"/>
                <w:sz w:val="21"/>
                <w:szCs w:val="21"/>
              </w:rPr>
              <w:t>0.0</w:t>
            </w:r>
            <w:r>
              <w:rPr>
                <w:rFonts w:ascii="Times New Roman" w:hAnsi="Times New Roman" w:cs="Times New Roman" w:hint="eastAsia"/>
                <w:sz w:val="21"/>
                <w:szCs w:val="21"/>
                <w:lang w:eastAsia="zh-CN"/>
              </w:rPr>
              <w:t>26</w:t>
            </w:r>
          </w:p>
        </w:tc>
      </w:tr>
      <w:tr w:rsidR="002F52E7" w14:paraId="10FFFB76" w14:textId="77777777">
        <w:trPr>
          <w:jc w:val="center"/>
        </w:trPr>
        <w:tc>
          <w:tcPr>
            <w:tcW w:w="2499" w:type="dxa"/>
            <w:tcBorders>
              <w:top w:val="nil"/>
              <w:bottom w:val="nil"/>
            </w:tcBorders>
            <w:tcMar>
              <w:top w:w="0" w:type="dxa"/>
              <w:left w:w="0" w:type="dxa"/>
              <w:bottom w:w="0" w:type="dxa"/>
              <w:right w:w="0" w:type="dxa"/>
            </w:tcMar>
            <w:vAlign w:val="center"/>
          </w:tcPr>
          <w:p w14:paraId="0E5CCA4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rPr>
                <w:rFonts w:ascii="Times New Roman" w:hAnsi="Times New Roman" w:cs="Times New Roman"/>
                <w:bCs/>
                <w:sz w:val="21"/>
                <w:szCs w:val="21"/>
                <w:lang w:eastAsia="zh-CN"/>
              </w:rPr>
            </w:pPr>
            <w:r>
              <w:rPr>
                <w:rFonts w:ascii="Times New Roman" w:hAnsi="Times New Roman" w:cs="Times New Roman"/>
                <w:bCs/>
                <w:sz w:val="21"/>
                <w:szCs w:val="21"/>
              </w:rPr>
              <w:t xml:space="preserve">INR, </w:t>
            </w:r>
          </w:p>
        </w:tc>
        <w:tc>
          <w:tcPr>
            <w:tcW w:w="2355" w:type="dxa"/>
            <w:tcBorders>
              <w:top w:val="nil"/>
              <w:bottom w:val="nil"/>
            </w:tcBorders>
            <w:tcMar>
              <w:top w:w="0" w:type="dxa"/>
              <w:left w:w="0" w:type="dxa"/>
              <w:bottom w:w="0" w:type="dxa"/>
              <w:right w:w="0" w:type="dxa"/>
            </w:tcMar>
            <w:vAlign w:val="center"/>
          </w:tcPr>
          <w:p w14:paraId="18C8FCE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1.10 [1.10, 1.20]</w:t>
            </w:r>
          </w:p>
        </w:tc>
        <w:tc>
          <w:tcPr>
            <w:tcW w:w="2205" w:type="dxa"/>
            <w:tcBorders>
              <w:top w:val="nil"/>
              <w:bottom w:val="nil"/>
            </w:tcBorders>
            <w:tcMar>
              <w:top w:w="0" w:type="dxa"/>
              <w:left w:w="0" w:type="dxa"/>
              <w:bottom w:w="0" w:type="dxa"/>
              <w:right w:w="0" w:type="dxa"/>
            </w:tcMar>
            <w:vAlign w:val="center"/>
          </w:tcPr>
          <w:p w14:paraId="719C08F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1.10 [1.10, 1.20]</w:t>
            </w:r>
          </w:p>
        </w:tc>
        <w:tc>
          <w:tcPr>
            <w:tcW w:w="2325" w:type="dxa"/>
            <w:tcBorders>
              <w:top w:val="nil"/>
              <w:bottom w:val="nil"/>
            </w:tcBorders>
            <w:tcMar>
              <w:top w:w="0" w:type="dxa"/>
              <w:left w:w="0" w:type="dxa"/>
              <w:bottom w:w="0" w:type="dxa"/>
              <w:right w:w="0" w:type="dxa"/>
            </w:tcMar>
            <w:vAlign w:val="center"/>
          </w:tcPr>
          <w:p w14:paraId="0A10785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1.20 [1.10, 1.30]</w:t>
            </w:r>
          </w:p>
        </w:tc>
        <w:tc>
          <w:tcPr>
            <w:tcW w:w="1354" w:type="dxa"/>
            <w:tcBorders>
              <w:top w:val="nil"/>
              <w:bottom w:val="nil"/>
            </w:tcBorders>
            <w:tcMar>
              <w:top w:w="0" w:type="dxa"/>
              <w:left w:w="0" w:type="dxa"/>
              <w:bottom w:w="0" w:type="dxa"/>
              <w:right w:w="0" w:type="dxa"/>
            </w:tcMar>
            <w:vAlign w:val="center"/>
          </w:tcPr>
          <w:p w14:paraId="34E4A90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4336013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0.158</w:t>
            </w:r>
          </w:p>
        </w:tc>
        <w:tc>
          <w:tcPr>
            <w:tcW w:w="1834" w:type="dxa"/>
            <w:tcBorders>
              <w:top w:val="nil"/>
              <w:bottom w:val="nil"/>
            </w:tcBorders>
            <w:tcMar>
              <w:top w:w="0" w:type="dxa"/>
              <w:left w:w="0" w:type="dxa"/>
              <w:bottom w:w="0" w:type="dxa"/>
              <w:right w:w="0" w:type="dxa"/>
            </w:tcMar>
            <w:vAlign w:val="center"/>
          </w:tcPr>
          <w:p w14:paraId="09DA266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780A0DEF" w14:textId="77777777">
        <w:trPr>
          <w:jc w:val="center"/>
        </w:trPr>
        <w:tc>
          <w:tcPr>
            <w:tcW w:w="2499" w:type="dxa"/>
            <w:tcBorders>
              <w:top w:val="nil"/>
              <w:bottom w:val="nil"/>
            </w:tcBorders>
            <w:tcMar>
              <w:top w:w="0" w:type="dxa"/>
              <w:left w:w="0" w:type="dxa"/>
              <w:bottom w:w="0" w:type="dxa"/>
              <w:right w:w="0" w:type="dxa"/>
            </w:tcMar>
            <w:vAlign w:val="center"/>
          </w:tcPr>
          <w:p w14:paraId="475EA0A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gramStart"/>
            <w:r>
              <w:rPr>
                <w:rFonts w:ascii="Times New Roman" w:hAnsi="Times New Roman" w:cs="Times New Roman"/>
                <w:bCs/>
                <w:sz w:val="21"/>
                <w:szCs w:val="21"/>
              </w:rPr>
              <w:t>PT,s</w:t>
            </w:r>
            <w:proofErr w:type="gramEnd"/>
          </w:p>
        </w:tc>
        <w:tc>
          <w:tcPr>
            <w:tcW w:w="2355" w:type="dxa"/>
            <w:tcBorders>
              <w:top w:val="nil"/>
              <w:bottom w:val="nil"/>
            </w:tcBorders>
            <w:tcMar>
              <w:top w:w="0" w:type="dxa"/>
              <w:left w:w="0" w:type="dxa"/>
              <w:bottom w:w="0" w:type="dxa"/>
              <w:right w:w="0" w:type="dxa"/>
            </w:tcMar>
            <w:vAlign w:val="center"/>
          </w:tcPr>
          <w:p w14:paraId="1445144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12.50 [11.70, 13.80]</w:t>
            </w:r>
          </w:p>
        </w:tc>
        <w:tc>
          <w:tcPr>
            <w:tcW w:w="2205" w:type="dxa"/>
            <w:tcBorders>
              <w:top w:val="nil"/>
              <w:bottom w:val="nil"/>
            </w:tcBorders>
            <w:tcMar>
              <w:top w:w="0" w:type="dxa"/>
              <w:left w:w="0" w:type="dxa"/>
              <w:bottom w:w="0" w:type="dxa"/>
              <w:right w:w="0" w:type="dxa"/>
            </w:tcMar>
            <w:vAlign w:val="center"/>
          </w:tcPr>
          <w:p w14:paraId="392704A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12.40 [11.60, 13.60]</w:t>
            </w:r>
          </w:p>
        </w:tc>
        <w:tc>
          <w:tcPr>
            <w:tcW w:w="2325" w:type="dxa"/>
            <w:tcBorders>
              <w:top w:val="nil"/>
              <w:bottom w:val="nil"/>
            </w:tcBorders>
            <w:tcMar>
              <w:top w:w="0" w:type="dxa"/>
              <w:left w:w="0" w:type="dxa"/>
              <w:bottom w:w="0" w:type="dxa"/>
              <w:right w:w="0" w:type="dxa"/>
            </w:tcMar>
            <w:vAlign w:val="center"/>
          </w:tcPr>
          <w:p w14:paraId="28EABBA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12.80 [11.90, 14.50]</w:t>
            </w:r>
          </w:p>
        </w:tc>
        <w:tc>
          <w:tcPr>
            <w:tcW w:w="1354" w:type="dxa"/>
            <w:tcBorders>
              <w:top w:val="nil"/>
              <w:bottom w:val="nil"/>
            </w:tcBorders>
            <w:tcMar>
              <w:top w:w="0" w:type="dxa"/>
              <w:left w:w="0" w:type="dxa"/>
              <w:bottom w:w="0" w:type="dxa"/>
              <w:right w:w="0" w:type="dxa"/>
            </w:tcMar>
            <w:vAlign w:val="center"/>
          </w:tcPr>
          <w:p w14:paraId="502EFED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35F2746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0.159</w:t>
            </w:r>
          </w:p>
        </w:tc>
        <w:tc>
          <w:tcPr>
            <w:tcW w:w="1834" w:type="dxa"/>
            <w:tcBorders>
              <w:top w:val="nil"/>
              <w:bottom w:val="nil"/>
            </w:tcBorders>
            <w:tcMar>
              <w:top w:w="0" w:type="dxa"/>
              <w:left w:w="0" w:type="dxa"/>
              <w:bottom w:w="0" w:type="dxa"/>
              <w:right w:w="0" w:type="dxa"/>
            </w:tcMar>
            <w:vAlign w:val="center"/>
          </w:tcPr>
          <w:p w14:paraId="3167D95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0.008</w:t>
            </w:r>
          </w:p>
        </w:tc>
      </w:tr>
      <w:tr w:rsidR="002F52E7" w14:paraId="1E8AEB99" w14:textId="77777777">
        <w:trPr>
          <w:jc w:val="center"/>
        </w:trPr>
        <w:tc>
          <w:tcPr>
            <w:tcW w:w="2499" w:type="dxa"/>
            <w:tcBorders>
              <w:top w:val="nil"/>
              <w:bottom w:val="nil"/>
            </w:tcBorders>
            <w:tcMar>
              <w:top w:w="0" w:type="dxa"/>
              <w:left w:w="0" w:type="dxa"/>
              <w:bottom w:w="0" w:type="dxa"/>
              <w:right w:w="0" w:type="dxa"/>
            </w:tcMar>
            <w:vAlign w:val="center"/>
          </w:tcPr>
          <w:p w14:paraId="34C58B8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gramStart"/>
            <w:r>
              <w:rPr>
                <w:rFonts w:ascii="Times New Roman" w:hAnsi="Times New Roman" w:cs="Times New Roman"/>
                <w:bCs/>
                <w:sz w:val="21"/>
                <w:szCs w:val="21"/>
              </w:rPr>
              <w:t>PTT,s</w:t>
            </w:r>
            <w:proofErr w:type="gramEnd"/>
          </w:p>
        </w:tc>
        <w:tc>
          <w:tcPr>
            <w:tcW w:w="2355" w:type="dxa"/>
            <w:tcBorders>
              <w:top w:val="nil"/>
              <w:bottom w:val="nil"/>
            </w:tcBorders>
            <w:tcMar>
              <w:top w:w="0" w:type="dxa"/>
              <w:left w:w="0" w:type="dxa"/>
              <w:bottom w:w="0" w:type="dxa"/>
              <w:right w:w="0" w:type="dxa"/>
            </w:tcMar>
            <w:vAlign w:val="center"/>
          </w:tcPr>
          <w:p w14:paraId="19867DB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32.10 [28.40, 44.18]</w:t>
            </w:r>
          </w:p>
        </w:tc>
        <w:tc>
          <w:tcPr>
            <w:tcW w:w="2205" w:type="dxa"/>
            <w:tcBorders>
              <w:top w:val="nil"/>
              <w:bottom w:val="nil"/>
            </w:tcBorders>
            <w:tcMar>
              <w:top w:w="0" w:type="dxa"/>
              <w:left w:w="0" w:type="dxa"/>
              <w:bottom w:w="0" w:type="dxa"/>
              <w:right w:w="0" w:type="dxa"/>
            </w:tcMar>
            <w:vAlign w:val="center"/>
          </w:tcPr>
          <w:p w14:paraId="57913D0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32.00 [28.50, 43.30]</w:t>
            </w:r>
          </w:p>
        </w:tc>
        <w:tc>
          <w:tcPr>
            <w:tcW w:w="2325" w:type="dxa"/>
            <w:tcBorders>
              <w:top w:val="nil"/>
              <w:bottom w:val="nil"/>
            </w:tcBorders>
            <w:tcMar>
              <w:top w:w="0" w:type="dxa"/>
              <w:left w:w="0" w:type="dxa"/>
              <w:bottom w:w="0" w:type="dxa"/>
              <w:right w:w="0" w:type="dxa"/>
            </w:tcMar>
            <w:vAlign w:val="center"/>
          </w:tcPr>
          <w:p w14:paraId="79E013A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32.20 [28.10, 49.20]</w:t>
            </w:r>
          </w:p>
        </w:tc>
        <w:tc>
          <w:tcPr>
            <w:tcW w:w="1354" w:type="dxa"/>
            <w:tcBorders>
              <w:top w:val="nil"/>
              <w:bottom w:val="nil"/>
            </w:tcBorders>
            <w:tcMar>
              <w:top w:w="0" w:type="dxa"/>
              <w:left w:w="0" w:type="dxa"/>
              <w:bottom w:w="0" w:type="dxa"/>
              <w:right w:w="0" w:type="dxa"/>
            </w:tcMar>
            <w:vAlign w:val="center"/>
          </w:tcPr>
          <w:p w14:paraId="245FF2F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0.425</w:t>
            </w:r>
          </w:p>
        </w:tc>
        <w:tc>
          <w:tcPr>
            <w:tcW w:w="1830" w:type="dxa"/>
            <w:tcBorders>
              <w:top w:val="nil"/>
              <w:bottom w:val="nil"/>
            </w:tcBorders>
            <w:tcMar>
              <w:top w:w="0" w:type="dxa"/>
              <w:left w:w="0" w:type="dxa"/>
              <w:bottom w:w="0" w:type="dxa"/>
              <w:right w:w="0" w:type="dxa"/>
            </w:tcMar>
            <w:vAlign w:val="center"/>
          </w:tcPr>
          <w:p w14:paraId="0FF9F2F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0.171</w:t>
            </w:r>
          </w:p>
        </w:tc>
        <w:tc>
          <w:tcPr>
            <w:tcW w:w="1834" w:type="dxa"/>
            <w:tcBorders>
              <w:top w:val="nil"/>
              <w:bottom w:val="nil"/>
            </w:tcBorders>
            <w:tcMar>
              <w:top w:w="0" w:type="dxa"/>
              <w:left w:w="0" w:type="dxa"/>
              <w:bottom w:w="0" w:type="dxa"/>
              <w:right w:w="0" w:type="dxa"/>
            </w:tcMar>
            <w:vAlign w:val="center"/>
          </w:tcPr>
          <w:p w14:paraId="02EB78E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6B307FAD" w14:textId="77777777">
        <w:trPr>
          <w:jc w:val="center"/>
        </w:trPr>
        <w:tc>
          <w:tcPr>
            <w:tcW w:w="2499" w:type="dxa"/>
            <w:tcBorders>
              <w:top w:val="nil"/>
              <w:bottom w:val="nil"/>
            </w:tcBorders>
            <w:tcMar>
              <w:top w:w="0" w:type="dxa"/>
              <w:left w:w="0" w:type="dxa"/>
              <w:bottom w:w="0" w:type="dxa"/>
              <w:right w:w="0" w:type="dxa"/>
            </w:tcMar>
            <w:vAlign w:val="center"/>
          </w:tcPr>
          <w:p w14:paraId="527D1BB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40" w:after="40" w:line="276" w:lineRule="auto"/>
              <w:ind w:right="100"/>
              <w:rPr>
                <w:rFonts w:ascii="Times New Roman" w:hAnsi="Times New Roman" w:cs="Times New Roman"/>
                <w:bCs/>
                <w:sz w:val="21"/>
                <w:szCs w:val="21"/>
                <w:lang w:eastAsia="zh-CN"/>
              </w:rPr>
            </w:pPr>
            <w:proofErr w:type="gramStart"/>
            <w:r>
              <w:rPr>
                <w:rFonts w:ascii="Times New Roman" w:hAnsi="Times New Roman" w:cs="Times New Roman"/>
                <w:bCs/>
                <w:sz w:val="21"/>
                <w:szCs w:val="21"/>
              </w:rPr>
              <w:t>ALT,IU</w:t>
            </w:r>
            <w:proofErr w:type="gramEnd"/>
            <w:r>
              <w:rPr>
                <w:rFonts w:ascii="Times New Roman" w:hAnsi="Times New Roman" w:cs="Times New Roman"/>
                <w:bCs/>
                <w:sz w:val="21"/>
                <w:szCs w:val="21"/>
              </w:rPr>
              <w:t>/L</w:t>
            </w:r>
          </w:p>
        </w:tc>
        <w:tc>
          <w:tcPr>
            <w:tcW w:w="2355" w:type="dxa"/>
            <w:tcBorders>
              <w:top w:val="nil"/>
              <w:bottom w:val="nil"/>
            </w:tcBorders>
            <w:tcMar>
              <w:top w:w="0" w:type="dxa"/>
              <w:left w:w="0" w:type="dxa"/>
              <w:bottom w:w="0" w:type="dxa"/>
              <w:right w:w="0" w:type="dxa"/>
            </w:tcMar>
            <w:vAlign w:val="center"/>
          </w:tcPr>
          <w:p w14:paraId="249CD86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23.00 [16.00, 35.00]</w:t>
            </w:r>
          </w:p>
        </w:tc>
        <w:tc>
          <w:tcPr>
            <w:tcW w:w="2205" w:type="dxa"/>
            <w:tcBorders>
              <w:top w:val="nil"/>
              <w:bottom w:val="nil"/>
            </w:tcBorders>
            <w:tcMar>
              <w:top w:w="0" w:type="dxa"/>
              <w:left w:w="0" w:type="dxa"/>
              <w:bottom w:w="0" w:type="dxa"/>
              <w:right w:w="0" w:type="dxa"/>
            </w:tcMar>
            <w:vAlign w:val="center"/>
          </w:tcPr>
          <w:p w14:paraId="3026C59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22.00 [16.00, 33.00]</w:t>
            </w:r>
          </w:p>
        </w:tc>
        <w:tc>
          <w:tcPr>
            <w:tcW w:w="2325" w:type="dxa"/>
            <w:tcBorders>
              <w:top w:val="nil"/>
              <w:bottom w:val="nil"/>
            </w:tcBorders>
            <w:tcMar>
              <w:top w:w="0" w:type="dxa"/>
              <w:left w:w="0" w:type="dxa"/>
              <w:bottom w:w="0" w:type="dxa"/>
              <w:right w:w="0" w:type="dxa"/>
            </w:tcMar>
            <w:vAlign w:val="center"/>
          </w:tcPr>
          <w:p w14:paraId="5A778B2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25.00 [17.00, 45.00]</w:t>
            </w:r>
          </w:p>
        </w:tc>
        <w:tc>
          <w:tcPr>
            <w:tcW w:w="1354" w:type="dxa"/>
            <w:tcBorders>
              <w:top w:val="nil"/>
              <w:bottom w:val="nil"/>
            </w:tcBorders>
            <w:tcMar>
              <w:top w:w="0" w:type="dxa"/>
              <w:left w:w="0" w:type="dxa"/>
              <w:bottom w:w="0" w:type="dxa"/>
              <w:right w:w="0" w:type="dxa"/>
            </w:tcMar>
            <w:vAlign w:val="center"/>
          </w:tcPr>
          <w:p w14:paraId="3722015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2E9ABDA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0.170</w:t>
            </w:r>
          </w:p>
        </w:tc>
        <w:tc>
          <w:tcPr>
            <w:tcW w:w="1834" w:type="dxa"/>
            <w:tcBorders>
              <w:top w:val="nil"/>
              <w:bottom w:val="nil"/>
            </w:tcBorders>
            <w:tcMar>
              <w:top w:w="0" w:type="dxa"/>
              <w:left w:w="0" w:type="dxa"/>
              <w:bottom w:w="0" w:type="dxa"/>
              <w:right w:w="0" w:type="dxa"/>
            </w:tcMar>
            <w:vAlign w:val="center"/>
          </w:tcPr>
          <w:p w14:paraId="016A6EF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0.048</w:t>
            </w:r>
          </w:p>
        </w:tc>
      </w:tr>
      <w:tr w:rsidR="002F52E7" w14:paraId="0C7E40CD" w14:textId="77777777">
        <w:trPr>
          <w:jc w:val="center"/>
        </w:trPr>
        <w:tc>
          <w:tcPr>
            <w:tcW w:w="2499" w:type="dxa"/>
            <w:tcBorders>
              <w:top w:val="nil"/>
              <w:bottom w:val="nil"/>
            </w:tcBorders>
            <w:tcMar>
              <w:top w:w="0" w:type="dxa"/>
              <w:left w:w="0" w:type="dxa"/>
              <w:bottom w:w="0" w:type="dxa"/>
              <w:right w:w="0" w:type="dxa"/>
            </w:tcMar>
            <w:vAlign w:val="center"/>
          </w:tcPr>
          <w:p w14:paraId="3E9F10A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40" w:after="40" w:line="276" w:lineRule="auto"/>
              <w:ind w:right="100"/>
              <w:rPr>
                <w:rFonts w:ascii="Times New Roman" w:hAnsi="Times New Roman" w:cs="Times New Roman"/>
                <w:bCs/>
                <w:sz w:val="21"/>
                <w:szCs w:val="21"/>
                <w:lang w:eastAsia="zh-CN"/>
              </w:rPr>
            </w:pPr>
            <w:proofErr w:type="gramStart"/>
            <w:r>
              <w:rPr>
                <w:rFonts w:ascii="Times New Roman" w:hAnsi="Times New Roman" w:cs="Times New Roman"/>
                <w:bCs/>
                <w:sz w:val="21"/>
                <w:szCs w:val="21"/>
              </w:rPr>
              <w:t>AST,IU</w:t>
            </w:r>
            <w:proofErr w:type="gramEnd"/>
            <w:r>
              <w:rPr>
                <w:rFonts w:ascii="Times New Roman" w:hAnsi="Times New Roman" w:cs="Times New Roman"/>
                <w:bCs/>
                <w:sz w:val="21"/>
                <w:szCs w:val="21"/>
              </w:rPr>
              <w:t>/L</w:t>
            </w:r>
          </w:p>
        </w:tc>
        <w:tc>
          <w:tcPr>
            <w:tcW w:w="2355" w:type="dxa"/>
            <w:tcBorders>
              <w:top w:val="nil"/>
              <w:bottom w:val="nil"/>
            </w:tcBorders>
            <w:tcMar>
              <w:top w:w="0" w:type="dxa"/>
              <w:left w:w="0" w:type="dxa"/>
              <w:bottom w:w="0" w:type="dxa"/>
              <w:right w:w="0" w:type="dxa"/>
            </w:tcMar>
            <w:vAlign w:val="center"/>
          </w:tcPr>
          <w:p w14:paraId="774E9EF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26.00 [19.00, 42.00]</w:t>
            </w:r>
          </w:p>
        </w:tc>
        <w:tc>
          <w:tcPr>
            <w:tcW w:w="2205" w:type="dxa"/>
            <w:tcBorders>
              <w:top w:val="nil"/>
              <w:bottom w:val="nil"/>
            </w:tcBorders>
            <w:tcMar>
              <w:top w:w="0" w:type="dxa"/>
              <w:left w:w="0" w:type="dxa"/>
              <w:bottom w:w="0" w:type="dxa"/>
              <w:right w:w="0" w:type="dxa"/>
            </w:tcMar>
            <w:vAlign w:val="center"/>
          </w:tcPr>
          <w:p w14:paraId="1E359B2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25.00 [19.00, 38.00]</w:t>
            </w:r>
          </w:p>
        </w:tc>
        <w:tc>
          <w:tcPr>
            <w:tcW w:w="2325" w:type="dxa"/>
            <w:tcBorders>
              <w:top w:val="nil"/>
              <w:bottom w:val="nil"/>
            </w:tcBorders>
            <w:tcMar>
              <w:top w:w="0" w:type="dxa"/>
              <w:left w:w="0" w:type="dxa"/>
              <w:bottom w:w="0" w:type="dxa"/>
              <w:right w:w="0" w:type="dxa"/>
            </w:tcMar>
            <w:vAlign w:val="center"/>
          </w:tcPr>
          <w:p w14:paraId="098E528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31.00 [20.00, 72.00]</w:t>
            </w:r>
          </w:p>
        </w:tc>
        <w:tc>
          <w:tcPr>
            <w:tcW w:w="1354" w:type="dxa"/>
            <w:tcBorders>
              <w:top w:val="nil"/>
              <w:bottom w:val="nil"/>
            </w:tcBorders>
            <w:tcMar>
              <w:top w:w="0" w:type="dxa"/>
              <w:left w:w="0" w:type="dxa"/>
              <w:bottom w:w="0" w:type="dxa"/>
              <w:right w:w="0" w:type="dxa"/>
            </w:tcMar>
            <w:vAlign w:val="center"/>
          </w:tcPr>
          <w:p w14:paraId="3400EEB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22D1DA7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0.193</w:t>
            </w:r>
          </w:p>
        </w:tc>
        <w:tc>
          <w:tcPr>
            <w:tcW w:w="1834" w:type="dxa"/>
            <w:tcBorders>
              <w:top w:val="nil"/>
              <w:bottom w:val="nil"/>
            </w:tcBorders>
            <w:tcMar>
              <w:top w:w="0" w:type="dxa"/>
              <w:left w:w="0" w:type="dxa"/>
              <w:bottom w:w="0" w:type="dxa"/>
              <w:right w:w="0" w:type="dxa"/>
            </w:tcMar>
            <w:vAlign w:val="center"/>
          </w:tcPr>
          <w:p w14:paraId="67B7AD3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0.063</w:t>
            </w:r>
          </w:p>
        </w:tc>
      </w:tr>
      <w:tr w:rsidR="002F52E7" w14:paraId="15FA75F6" w14:textId="77777777">
        <w:trPr>
          <w:jc w:val="center"/>
        </w:trPr>
        <w:tc>
          <w:tcPr>
            <w:tcW w:w="2499" w:type="dxa"/>
            <w:tcBorders>
              <w:top w:val="nil"/>
              <w:bottom w:val="nil"/>
            </w:tcBorders>
            <w:tcMar>
              <w:top w:w="0" w:type="dxa"/>
              <w:left w:w="0" w:type="dxa"/>
              <w:bottom w:w="0" w:type="dxa"/>
              <w:right w:w="0" w:type="dxa"/>
            </w:tcMar>
            <w:vAlign w:val="center"/>
          </w:tcPr>
          <w:p w14:paraId="6288B61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40" w:after="40" w:line="276" w:lineRule="auto"/>
              <w:ind w:right="10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Albumin,g</w:t>
            </w:r>
            <w:proofErr w:type="spellEnd"/>
            <w:proofErr w:type="gramEnd"/>
            <w:r>
              <w:rPr>
                <w:rFonts w:ascii="Times New Roman" w:hAnsi="Times New Roman" w:cs="Times New Roman"/>
                <w:bCs/>
                <w:sz w:val="21"/>
                <w:szCs w:val="21"/>
              </w:rPr>
              <w:t>/dL</w:t>
            </w:r>
          </w:p>
        </w:tc>
        <w:tc>
          <w:tcPr>
            <w:tcW w:w="2355" w:type="dxa"/>
            <w:tcBorders>
              <w:top w:val="nil"/>
              <w:bottom w:val="nil"/>
            </w:tcBorders>
            <w:tcMar>
              <w:top w:w="0" w:type="dxa"/>
              <w:left w:w="0" w:type="dxa"/>
              <w:bottom w:w="0" w:type="dxa"/>
              <w:right w:w="0" w:type="dxa"/>
            </w:tcMar>
            <w:vAlign w:val="center"/>
          </w:tcPr>
          <w:p w14:paraId="31BD697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3.74 ± 0.56</w:t>
            </w:r>
          </w:p>
        </w:tc>
        <w:tc>
          <w:tcPr>
            <w:tcW w:w="2205" w:type="dxa"/>
            <w:tcBorders>
              <w:top w:val="nil"/>
              <w:bottom w:val="nil"/>
            </w:tcBorders>
            <w:tcMar>
              <w:top w:w="0" w:type="dxa"/>
              <w:left w:w="0" w:type="dxa"/>
              <w:bottom w:w="0" w:type="dxa"/>
              <w:right w:w="0" w:type="dxa"/>
            </w:tcMar>
            <w:vAlign w:val="center"/>
          </w:tcPr>
          <w:p w14:paraId="4A84CCE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3.80 ± 0.53</w:t>
            </w:r>
          </w:p>
        </w:tc>
        <w:tc>
          <w:tcPr>
            <w:tcW w:w="2325" w:type="dxa"/>
            <w:tcBorders>
              <w:top w:val="nil"/>
              <w:bottom w:val="nil"/>
            </w:tcBorders>
            <w:tcMar>
              <w:top w:w="0" w:type="dxa"/>
              <w:left w:w="0" w:type="dxa"/>
              <w:bottom w:w="0" w:type="dxa"/>
              <w:right w:w="0" w:type="dxa"/>
            </w:tcMar>
            <w:vAlign w:val="center"/>
          </w:tcPr>
          <w:p w14:paraId="63B5BAB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3.55 ± 0.60</w:t>
            </w:r>
          </w:p>
        </w:tc>
        <w:tc>
          <w:tcPr>
            <w:tcW w:w="1354" w:type="dxa"/>
            <w:tcBorders>
              <w:top w:val="nil"/>
              <w:bottom w:val="nil"/>
            </w:tcBorders>
            <w:tcMar>
              <w:top w:w="0" w:type="dxa"/>
              <w:left w:w="0" w:type="dxa"/>
              <w:bottom w:w="0" w:type="dxa"/>
              <w:right w:w="0" w:type="dxa"/>
            </w:tcMar>
            <w:vAlign w:val="center"/>
          </w:tcPr>
          <w:p w14:paraId="4DC907E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3440E15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0.437</w:t>
            </w:r>
          </w:p>
        </w:tc>
        <w:tc>
          <w:tcPr>
            <w:tcW w:w="1834" w:type="dxa"/>
            <w:tcBorders>
              <w:top w:val="nil"/>
              <w:bottom w:val="nil"/>
            </w:tcBorders>
            <w:tcMar>
              <w:top w:w="0" w:type="dxa"/>
              <w:left w:w="0" w:type="dxa"/>
              <w:bottom w:w="0" w:type="dxa"/>
              <w:right w:w="0" w:type="dxa"/>
            </w:tcMar>
            <w:vAlign w:val="center"/>
          </w:tcPr>
          <w:p w14:paraId="381197D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09F2D1E0" w14:textId="77777777">
        <w:trPr>
          <w:jc w:val="center"/>
        </w:trPr>
        <w:tc>
          <w:tcPr>
            <w:tcW w:w="2499" w:type="dxa"/>
            <w:tcBorders>
              <w:top w:val="nil"/>
              <w:bottom w:val="nil"/>
            </w:tcBorders>
            <w:tcMar>
              <w:top w:w="0" w:type="dxa"/>
              <w:left w:w="0" w:type="dxa"/>
              <w:bottom w:w="0" w:type="dxa"/>
              <w:right w:w="0" w:type="dxa"/>
            </w:tcMar>
            <w:vAlign w:val="center"/>
          </w:tcPr>
          <w:p w14:paraId="448C1EF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40" w:after="40" w:line="276" w:lineRule="auto"/>
              <w:ind w:right="100"/>
              <w:rPr>
                <w:rFonts w:ascii="Times New Roman" w:hAnsi="Times New Roman" w:cs="Times New Roman"/>
                <w:bCs/>
                <w:sz w:val="21"/>
                <w:szCs w:val="21"/>
                <w:lang w:eastAsia="zh-CN"/>
              </w:rPr>
            </w:pPr>
            <w:r>
              <w:rPr>
                <w:rFonts w:ascii="Times New Roman" w:hAnsi="Times New Roman" w:cs="Times New Roman"/>
                <w:bCs/>
                <w:sz w:val="21"/>
                <w:szCs w:val="21"/>
              </w:rPr>
              <w:t xml:space="preserve">Total </w:t>
            </w:r>
            <w:proofErr w:type="spellStart"/>
            <w:proofErr w:type="gramStart"/>
            <w:r>
              <w:rPr>
                <w:rFonts w:ascii="Times New Roman" w:hAnsi="Times New Roman" w:cs="Times New Roman"/>
                <w:bCs/>
                <w:sz w:val="21"/>
                <w:szCs w:val="21"/>
              </w:rPr>
              <w:t>bilirubin,mg</w:t>
            </w:r>
            <w:proofErr w:type="spellEnd"/>
            <w:proofErr w:type="gramEnd"/>
            <w:r>
              <w:rPr>
                <w:rFonts w:ascii="Times New Roman" w:hAnsi="Times New Roman" w:cs="Times New Roman"/>
                <w:bCs/>
                <w:sz w:val="21"/>
                <w:szCs w:val="21"/>
              </w:rPr>
              <w:t>/dL</w:t>
            </w:r>
          </w:p>
        </w:tc>
        <w:tc>
          <w:tcPr>
            <w:tcW w:w="2355" w:type="dxa"/>
            <w:tcBorders>
              <w:top w:val="nil"/>
              <w:bottom w:val="nil"/>
            </w:tcBorders>
            <w:tcMar>
              <w:top w:w="0" w:type="dxa"/>
              <w:left w:w="0" w:type="dxa"/>
              <w:bottom w:w="0" w:type="dxa"/>
              <w:right w:w="0" w:type="dxa"/>
            </w:tcMar>
            <w:vAlign w:val="center"/>
          </w:tcPr>
          <w:p w14:paraId="4E8C668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0.50 [0.40, 0.80]</w:t>
            </w:r>
          </w:p>
        </w:tc>
        <w:tc>
          <w:tcPr>
            <w:tcW w:w="2205" w:type="dxa"/>
            <w:tcBorders>
              <w:top w:val="nil"/>
              <w:bottom w:val="nil"/>
            </w:tcBorders>
            <w:tcMar>
              <w:top w:w="0" w:type="dxa"/>
              <w:left w:w="0" w:type="dxa"/>
              <w:bottom w:w="0" w:type="dxa"/>
              <w:right w:w="0" w:type="dxa"/>
            </w:tcMar>
            <w:vAlign w:val="center"/>
          </w:tcPr>
          <w:p w14:paraId="7B456A5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0.50 [0.40, 0.70]</w:t>
            </w:r>
          </w:p>
        </w:tc>
        <w:tc>
          <w:tcPr>
            <w:tcW w:w="2325" w:type="dxa"/>
            <w:tcBorders>
              <w:top w:val="nil"/>
              <w:bottom w:val="nil"/>
            </w:tcBorders>
            <w:tcMar>
              <w:top w:w="0" w:type="dxa"/>
              <w:left w:w="0" w:type="dxa"/>
              <w:bottom w:w="0" w:type="dxa"/>
              <w:right w:w="0" w:type="dxa"/>
            </w:tcMar>
            <w:vAlign w:val="center"/>
          </w:tcPr>
          <w:p w14:paraId="310D284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0.50 [0.40, 0.80]</w:t>
            </w:r>
          </w:p>
        </w:tc>
        <w:tc>
          <w:tcPr>
            <w:tcW w:w="1354" w:type="dxa"/>
            <w:tcBorders>
              <w:top w:val="nil"/>
              <w:bottom w:val="nil"/>
            </w:tcBorders>
            <w:tcMar>
              <w:top w:w="0" w:type="dxa"/>
              <w:left w:w="0" w:type="dxa"/>
              <w:bottom w:w="0" w:type="dxa"/>
              <w:right w:w="0" w:type="dxa"/>
            </w:tcMar>
            <w:vAlign w:val="center"/>
          </w:tcPr>
          <w:p w14:paraId="60D001B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0.761</w:t>
            </w:r>
          </w:p>
        </w:tc>
        <w:tc>
          <w:tcPr>
            <w:tcW w:w="1830" w:type="dxa"/>
            <w:tcBorders>
              <w:top w:val="nil"/>
              <w:bottom w:val="nil"/>
            </w:tcBorders>
            <w:tcMar>
              <w:top w:w="0" w:type="dxa"/>
              <w:left w:w="0" w:type="dxa"/>
              <w:bottom w:w="0" w:type="dxa"/>
              <w:right w:w="0" w:type="dxa"/>
            </w:tcMar>
            <w:vAlign w:val="center"/>
          </w:tcPr>
          <w:p w14:paraId="26DDB67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0.091</w:t>
            </w:r>
          </w:p>
        </w:tc>
        <w:tc>
          <w:tcPr>
            <w:tcW w:w="1834" w:type="dxa"/>
            <w:tcBorders>
              <w:top w:val="nil"/>
              <w:bottom w:val="nil"/>
            </w:tcBorders>
            <w:tcMar>
              <w:top w:w="0" w:type="dxa"/>
              <w:left w:w="0" w:type="dxa"/>
              <w:bottom w:w="0" w:type="dxa"/>
              <w:right w:w="0" w:type="dxa"/>
            </w:tcMar>
            <w:vAlign w:val="center"/>
          </w:tcPr>
          <w:p w14:paraId="22AE0B4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0.010</w:t>
            </w:r>
          </w:p>
        </w:tc>
      </w:tr>
      <w:tr w:rsidR="002F52E7" w14:paraId="30A5190F" w14:textId="77777777">
        <w:trPr>
          <w:jc w:val="center"/>
        </w:trPr>
        <w:tc>
          <w:tcPr>
            <w:tcW w:w="2499" w:type="dxa"/>
            <w:tcBorders>
              <w:top w:val="nil"/>
              <w:bottom w:val="nil"/>
            </w:tcBorders>
            <w:tcMar>
              <w:top w:w="0" w:type="dxa"/>
              <w:left w:w="0" w:type="dxa"/>
              <w:bottom w:w="0" w:type="dxa"/>
              <w:right w:w="0" w:type="dxa"/>
            </w:tcMar>
            <w:vAlign w:val="center"/>
          </w:tcPr>
          <w:p w14:paraId="436A2B4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r>
              <w:rPr>
                <w:rFonts w:ascii="Times New Roman" w:hAnsi="Times New Roman" w:cs="Times New Roman"/>
                <w:bCs/>
                <w:sz w:val="21"/>
                <w:szCs w:val="21"/>
              </w:rPr>
              <w:t>Hemoglobin, g/dL</w:t>
            </w:r>
          </w:p>
        </w:tc>
        <w:tc>
          <w:tcPr>
            <w:tcW w:w="2355" w:type="dxa"/>
            <w:tcBorders>
              <w:top w:val="nil"/>
              <w:bottom w:val="nil"/>
            </w:tcBorders>
            <w:tcMar>
              <w:top w:w="0" w:type="dxa"/>
              <w:left w:w="0" w:type="dxa"/>
              <w:bottom w:w="0" w:type="dxa"/>
              <w:right w:w="0" w:type="dxa"/>
            </w:tcMar>
            <w:vAlign w:val="center"/>
          </w:tcPr>
          <w:p w14:paraId="5B0A553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12.43 ± 2.10</w:t>
            </w:r>
          </w:p>
        </w:tc>
        <w:tc>
          <w:tcPr>
            <w:tcW w:w="2205" w:type="dxa"/>
            <w:tcBorders>
              <w:top w:val="nil"/>
              <w:bottom w:val="nil"/>
            </w:tcBorders>
            <w:tcMar>
              <w:top w:w="0" w:type="dxa"/>
              <w:left w:w="0" w:type="dxa"/>
              <w:bottom w:w="0" w:type="dxa"/>
              <w:right w:w="0" w:type="dxa"/>
            </w:tcMar>
            <w:vAlign w:val="center"/>
          </w:tcPr>
          <w:p w14:paraId="36753CA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12.57 ± 2.02</w:t>
            </w:r>
          </w:p>
        </w:tc>
        <w:tc>
          <w:tcPr>
            <w:tcW w:w="2325" w:type="dxa"/>
            <w:tcBorders>
              <w:top w:val="nil"/>
              <w:bottom w:val="nil"/>
            </w:tcBorders>
            <w:tcMar>
              <w:top w:w="0" w:type="dxa"/>
              <w:left w:w="0" w:type="dxa"/>
              <w:bottom w:w="0" w:type="dxa"/>
              <w:right w:w="0" w:type="dxa"/>
            </w:tcMar>
            <w:vAlign w:val="center"/>
          </w:tcPr>
          <w:p w14:paraId="4AA4F30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11.97 ± 2.27</w:t>
            </w:r>
          </w:p>
        </w:tc>
        <w:tc>
          <w:tcPr>
            <w:tcW w:w="1354" w:type="dxa"/>
            <w:tcBorders>
              <w:top w:val="nil"/>
              <w:bottom w:val="nil"/>
            </w:tcBorders>
            <w:tcMar>
              <w:top w:w="0" w:type="dxa"/>
              <w:left w:w="0" w:type="dxa"/>
              <w:bottom w:w="0" w:type="dxa"/>
              <w:right w:w="0" w:type="dxa"/>
            </w:tcMar>
            <w:vAlign w:val="center"/>
          </w:tcPr>
          <w:p w14:paraId="350BAF3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1C4D341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0.281</w:t>
            </w:r>
          </w:p>
        </w:tc>
        <w:tc>
          <w:tcPr>
            <w:tcW w:w="1834" w:type="dxa"/>
            <w:tcBorders>
              <w:top w:val="nil"/>
              <w:bottom w:val="nil"/>
            </w:tcBorders>
            <w:tcMar>
              <w:top w:w="0" w:type="dxa"/>
              <w:left w:w="0" w:type="dxa"/>
              <w:bottom w:w="0" w:type="dxa"/>
              <w:right w:w="0" w:type="dxa"/>
            </w:tcMar>
            <w:vAlign w:val="center"/>
          </w:tcPr>
          <w:p w14:paraId="58D2F8F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076F5DFB" w14:textId="77777777">
        <w:trPr>
          <w:jc w:val="center"/>
        </w:trPr>
        <w:tc>
          <w:tcPr>
            <w:tcW w:w="2499" w:type="dxa"/>
            <w:tcBorders>
              <w:top w:val="nil"/>
              <w:bottom w:val="nil"/>
            </w:tcBorders>
            <w:tcMar>
              <w:top w:w="0" w:type="dxa"/>
              <w:left w:w="0" w:type="dxa"/>
              <w:bottom w:w="0" w:type="dxa"/>
              <w:right w:w="0" w:type="dxa"/>
            </w:tcMar>
            <w:vAlign w:val="center"/>
          </w:tcPr>
          <w:p w14:paraId="48BF105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Platelet,K</w:t>
            </w:r>
            <w:proofErr w:type="spellEnd"/>
            <w:proofErr w:type="gramEnd"/>
            <w:r>
              <w:rPr>
                <w:rFonts w:ascii="Times New Roman" w:hAnsi="Times New Roman" w:cs="Times New Roman"/>
                <w:bCs/>
                <w:sz w:val="21"/>
                <w:szCs w:val="21"/>
              </w:rPr>
              <w:t>/µL</w:t>
            </w:r>
          </w:p>
        </w:tc>
        <w:tc>
          <w:tcPr>
            <w:tcW w:w="2355" w:type="dxa"/>
            <w:tcBorders>
              <w:top w:val="nil"/>
              <w:bottom w:val="nil"/>
            </w:tcBorders>
            <w:tcMar>
              <w:top w:w="0" w:type="dxa"/>
              <w:left w:w="0" w:type="dxa"/>
              <w:bottom w:w="0" w:type="dxa"/>
              <w:right w:w="0" w:type="dxa"/>
            </w:tcMar>
            <w:vAlign w:val="center"/>
          </w:tcPr>
          <w:p w14:paraId="64E1D24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209.00 [171.00, 257.00]</w:t>
            </w:r>
          </w:p>
        </w:tc>
        <w:tc>
          <w:tcPr>
            <w:tcW w:w="2205" w:type="dxa"/>
            <w:tcBorders>
              <w:top w:val="nil"/>
              <w:bottom w:val="nil"/>
            </w:tcBorders>
            <w:tcMar>
              <w:top w:w="0" w:type="dxa"/>
              <w:left w:w="0" w:type="dxa"/>
              <w:bottom w:w="0" w:type="dxa"/>
              <w:right w:w="0" w:type="dxa"/>
            </w:tcMar>
            <w:vAlign w:val="center"/>
          </w:tcPr>
          <w:p w14:paraId="464D12B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209.00 [171.00, 254.00]</w:t>
            </w:r>
          </w:p>
        </w:tc>
        <w:tc>
          <w:tcPr>
            <w:tcW w:w="2325" w:type="dxa"/>
            <w:tcBorders>
              <w:top w:val="nil"/>
              <w:bottom w:val="nil"/>
            </w:tcBorders>
            <w:tcMar>
              <w:top w:w="0" w:type="dxa"/>
              <w:left w:w="0" w:type="dxa"/>
              <w:bottom w:w="0" w:type="dxa"/>
              <w:right w:w="0" w:type="dxa"/>
            </w:tcMar>
            <w:vAlign w:val="center"/>
          </w:tcPr>
          <w:p w14:paraId="15D3A1F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213.00 [171.00, 266.00]</w:t>
            </w:r>
          </w:p>
        </w:tc>
        <w:tc>
          <w:tcPr>
            <w:tcW w:w="1354" w:type="dxa"/>
            <w:tcBorders>
              <w:top w:val="nil"/>
              <w:bottom w:val="nil"/>
            </w:tcBorders>
            <w:tcMar>
              <w:top w:w="0" w:type="dxa"/>
              <w:left w:w="0" w:type="dxa"/>
              <w:bottom w:w="0" w:type="dxa"/>
              <w:right w:w="0" w:type="dxa"/>
            </w:tcMar>
            <w:vAlign w:val="center"/>
          </w:tcPr>
          <w:p w14:paraId="72F85B8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0.031</w:t>
            </w:r>
          </w:p>
        </w:tc>
        <w:tc>
          <w:tcPr>
            <w:tcW w:w="1830" w:type="dxa"/>
            <w:tcBorders>
              <w:top w:val="nil"/>
              <w:bottom w:val="nil"/>
            </w:tcBorders>
            <w:tcMar>
              <w:top w:w="0" w:type="dxa"/>
              <w:left w:w="0" w:type="dxa"/>
              <w:bottom w:w="0" w:type="dxa"/>
              <w:right w:w="0" w:type="dxa"/>
            </w:tcMar>
            <w:vAlign w:val="center"/>
          </w:tcPr>
          <w:p w14:paraId="3CDB9CF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0.095</w:t>
            </w:r>
          </w:p>
        </w:tc>
        <w:tc>
          <w:tcPr>
            <w:tcW w:w="1834" w:type="dxa"/>
            <w:tcBorders>
              <w:top w:val="nil"/>
              <w:bottom w:val="nil"/>
            </w:tcBorders>
            <w:tcMar>
              <w:top w:w="0" w:type="dxa"/>
              <w:left w:w="0" w:type="dxa"/>
              <w:bottom w:w="0" w:type="dxa"/>
              <w:right w:w="0" w:type="dxa"/>
            </w:tcMar>
            <w:vAlign w:val="center"/>
          </w:tcPr>
          <w:p w14:paraId="50206FD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24A7F580" w14:textId="77777777">
        <w:trPr>
          <w:jc w:val="center"/>
        </w:trPr>
        <w:tc>
          <w:tcPr>
            <w:tcW w:w="2499" w:type="dxa"/>
            <w:tcBorders>
              <w:top w:val="nil"/>
              <w:bottom w:val="nil"/>
            </w:tcBorders>
            <w:tcMar>
              <w:top w:w="0" w:type="dxa"/>
              <w:left w:w="0" w:type="dxa"/>
              <w:bottom w:w="0" w:type="dxa"/>
              <w:right w:w="0" w:type="dxa"/>
            </w:tcMar>
            <w:vAlign w:val="center"/>
          </w:tcPr>
          <w:p w14:paraId="5675159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gramStart"/>
            <w:r>
              <w:rPr>
                <w:rFonts w:ascii="Times New Roman" w:hAnsi="Times New Roman" w:cs="Times New Roman"/>
                <w:bCs/>
                <w:sz w:val="21"/>
                <w:szCs w:val="21"/>
              </w:rPr>
              <w:t>RDW,%</w:t>
            </w:r>
            <w:proofErr w:type="gramEnd"/>
          </w:p>
        </w:tc>
        <w:tc>
          <w:tcPr>
            <w:tcW w:w="2355" w:type="dxa"/>
            <w:tcBorders>
              <w:top w:val="nil"/>
              <w:bottom w:val="nil"/>
            </w:tcBorders>
            <w:tcMar>
              <w:top w:w="0" w:type="dxa"/>
              <w:left w:w="0" w:type="dxa"/>
              <w:bottom w:w="0" w:type="dxa"/>
              <w:right w:w="0" w:type="dxa"/>
            </w:tcMar>
            <w:vAlign w:val="center"/>
          </w:tcPr>
          <w:p w14:paraId="64CB010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14.09 ± 1.67</w:t>
            </w:r>
          </w:p>
        </w:tc>
        <w:tc>
          <w:tcPr>
            <w:tcW w:w="2205" w:type="dxa"/>
            <w:tcBorders>
              <w:top w:val="nil"/>
              <w:bottom w:val="nil"/>
            </w:tcBorders>
            <w:tcMar>
              <w:top w:w="0" w:type="dxa"/>
              <w:left w:w="0" w:type="dxa"/>
              <w:bottom w:w="0" w:type="dxa"/>
              <w:right w:w="0" w:type="dxa"/>
            </w:tcMar>
            <w:vAlign w:val="center"/>
          </w:tcPr>
          <w:p w14:paraId="5AF4217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14.04 ± 1.63</w:t>
            </w:r>
          </w:p>
        </w:tc>
        <w:tc>
          <w:tcPr>
            <w:tcW w:w="2325" w:type="dxa"/>
            <w:tcBorders>
              <w:top w:val="nil"/>
              <w:bottom w:val="nil"/>
            </w:tcBorders>
            <w:tcMar>
              <w:top w:w="0" w:type="dxa"/>
              <w:left w:w="0" w:type="dxa"/>
              <w:bottom w:w="0" w:type="dxa"/>
              <w:right w:w="0" w:type="dxa"/>
            </w:tcMar>
            <w:vAlign w:val="center"/>
          </w:tcPr>
          <w:p w14:paraId="62B4D8F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14.26 ± 1.77</w:t>
            </w:r>
          </w:p>
        </w:tc>
        <w:tc>
          <w:tcPr>
            <w:tcW w:w="1354" w:type="dxa"/>
            <w:tcBorders>
              <w:top w:val="nil"/>
              <w:bottom w:val="nil"/>
            </w:tcBorders>
            <w:tcMar>
              <w:top w:w="0" w:type="dxa"/>
              <w:left w:w="0" w:type="dxa"/>
              <w:bottom w:w="0" w:type="dxa"/>
              <w:right w:w="0" w:type="dxa"/>
            </w:tcMar>
            <w:vAlign w:val="center"/>
          </w:tcPr>
          <w:p w14:paraId="4EF3D2B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7AE8B58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0.132</w:t>
            </w:r>
          </w:p>
        </w:tc>
        <w:tc>
          <w:tcPr>
            <w:tcW w:w="1834" w:type="dxa"/>
            <w:tcBorders>
              <w:top w:val="nil"/>
              <w:bottom w:val="nil"/>
            </w:tcBorders>
            <w:tcMar>
              <w:top w:w="0" w:type="dxa"/>
              <w:left w:w="0" w:type="dxa"/>
              <w:bottom w:w="0" w:type="dxa"/>
              <w:right w:w="0" w:type="dxa"/>
            </w:tcMar>
            <w:vAlign w:val="center"/>
          </w:tcPr>
          <w:p w14:paraId="4C88516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0.070</w:t>
            </w:r>
          </w:p>
        </w:tc>
      </w:tr>
      <w:tr w:rsidR="002F52E7" w14:paraId="07108516" w14:textId="77777777">
        <w:trPr>
          <w:jc w:val="center"/>
        </w:trPr>
        <w:tc>
          <w:tcPr>
            <w:tcW w:w="2499" w:type="dxa"/>
            <w:tcBorders>
              <w:top w:val="nil"/>
              <w:bottom w:val="nil"/>
            </w:tcBorders>
            <w:tcMar>
              <w:top w:w="0" w:type="dxa"/>
              <w:left w:w="0" w:type="dxa"/>
              <w:bottom w:w="0" w:type="dxa"/>
              <w:right w:w="0" w:type="dxa"/>
            </w:tcMar>
            <w:vAlign w:val="center"/>
          </w:tcPr>
          <w:p w14:paraId="5A81E67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gramStart"/>
            <w:r>
              <w:rPr>
                <w:rFonts w:ascii="Times New Roman" w:hAnsi="Times New Roman" w:cs="Times New Roman"/>
                <w:bCs/>
                <w:sz w:val="21"/>
                <w:szCs w:val="21"/>
              </w:rPr>
              <w:t>WBC,K</w:t>
            </w:r>
            <w:proofErr w:type="gramEnd"/>
            <w:r>
              <w:rPr>
                <w:rFonts w:ascii="Times New Roman" w:hAnsi="Times New Roman" w:cs="Times New Roman"/>
                <w:bCs/>
                <w:sz w:val="21"/>
                <w:szCs w:val="21"/>
              </w:rPr>
              <w:t>/µL</w:t>
            </w:r>
          </w:p>
        </w:tc>
        <w:tc>
          <w:tcPr>
            <w:tcW w:w="2355" w:type="dxa"/>
            <w:tcBorders>
              <w:top w:val="nil"/>
              <w:bottom w:val="nil"/>
            </w:tcBorders>
            <w:tcMar>
              <w:top w:w="0" w:type="dxa"/>
              <w:left w:w="0" w:type="dxa"/>
              <w:bottom w:w="0" w:type="dxa"/>
              <w:right w:w="0" w:type="dxa"/>
            </w:tcMar>
            <w:vAlign w:val="center"/>
          </w:tcPr>
          <w:p w14:paraId="44747C6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8.40 [6.70, 11.10]</w:t>
            </w:r>
          </w:p>
        </w:tc>
        <w:tc>
          <w:tcPr>
            <w:tcW w:w="2205" w:type="dxa"/>
            <w:tcBorders>
              <w:top w:val="nil"/>
              <w:bottom w:val="nil"/>
            </w:tcBorders>
            <w:tcMar>
              <w:top w:w="0" w:type="dxa"/>
              <w:left w:w="0" w:type="dxa"/>
              <w:bottom w:w="0" w:type="dxa"/>
              <w:right w:w="0" w:type="dxa"/>
            </w:tcMar>
            <w:vAlign w:val="center"/>
          </w:tcPr>
          <w:p w14:paraId="43D5C60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8.10 [6.60, 10.30]</w:t>
            </w:r>
          </w:p>
        </w:tc>
        <w:tc>
          <w:tcPr>
            <w:tcW w:w="2325" w:type="dxa"/>
            <w:tcBorders>
              <w:top w:val="nil"/>
              <w:bottom w:val="nil"/>
            </w:tcBorders>
            <w:tcMar>
              <w:top w:w="0" w:type="dxa"/>
              <w:left w:w="0" w:type="dxa"/>
              <w:bottom w:w="0" w:type="dxa"/>
              <w:right w:w="0" w:type="dxa"/>
            </w:tcMar>
            <w:vAlign w:val="center"/>
          </w:tcPr>
          <w:p w14:paraId="7B1AB40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10.40 [7.60, 14.40]</w:t>
            </w:r>
          </w:p>
        </w:tc>
        <w:tc>
          <w:tcPr>
            <w:tcW w:w="1354" w:type="dxa"/>
            <w:tcBorders>
              <w:top w:val="nil"/>
              <w:bottom w:val="nil"/>
            </w:tcBorders>
            <w:tcMar>
              <w:top w:w="0" w:type="dxa"/>
              <w:left w:w="0" w:type="dxa"/>
              <w:bottom w:w="0" w:type="dxa"/>
              <w:right w:w="0" w:type="dxa"/>
            </w:tcMar>
            <w:vAlign w:val="center"/>
          </w:tcPr>
          <w:p w14:paraId="4A78BD2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14FCF73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0.593</w:t>
            </w:r>
          </w:p>
        </w:tc>
        <w:tc>
          <w:tcPr>
            <w:tcW w:w="1834" w:type="dxa"/>
            <w:tcBorders>
              <w:top w:val="nil"/>
              <w:bottom w:val="nil"/>
            </w:tcBorders>
            <w:tcMar>
              <w:top w:w="0" w:type="dxa"/>
              <w:left w:w="0" w:type="dxa"/>
              <w:bottom w:w="0" w:type="dxa"/>
              <w:right w:w="0" w:type="dxa"/>
            </w:tcMar>
            <w:vAlign w:val="center"/>
          </w:tcPr>
          <w:p w14:paraId="47A459A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0.276</w:t>
            </w:r>
          </w:p>
        </w:tc>
      </w:tr>
      <w:tr w:rsidR="002F52E7" w14:paraId="75F56879" w14:textId="77777777">
        <w:trPr>
          <w:jc w:val="center"/>
        </w:trPr>
        <w:tc>
          <w:tcPr>
            <w:tcW w:w="2499" w:type="dxa"/>
            <w:tcBorders>
              <w:top w:val="nil"/>
              <w:bottom w:val="nil"/>
            </w:tcBorders>
            <w:tcMar>
              <w:top w:w="0" w:type="dxa"/>
              <w:left w:w="0" w:type="dxa"/>
              <w:bottom w:w="0" w:type="dxa"/>
              <w:right w:w="0" w:type="dxa"/>
            </w:tcMar>
            <w:vAlign w:val="center"/>
          </w:tcPr>
          <w:p w14:paraId="1FCE448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proofErr w:type="gramStart"/>
            <w:r>
              <w:rPr>
                <w:rFonts w:ascii="Times New Roman" w:hAnsi="Times New Roman" w:cs="Times New Roman"/>
                <w:bCs/>
                <w:sz w:val="21"/>
                <w:szCs w:val="21"/>
              </w:rPr>
              <w:t>Lactate,mmol</w:t>
            </w:r>
            <w:proofErr w:type="spellEnd"/>
            <w:proofErr w:type="gramEnd"/>
            <w:r>
              <w:rPr>
                <w:rFonts w:ascii="Times New Roman" w:hAnsi="Times New Roman" w:cs="Times New Roman"/>
                <w:bCs/>
                <w:sz w:val="21"/>
                <w:szCs w:val="21"/>
              </w:rPr>
              <w:t>/L</w:t>
            </w:r>
          </w:p>
        </w:tc>
        <w:tc>
          <w:tcPr>
            <w:tcW w:w="2355" w:type="dxa"/>
            <w:tcBorders>
              <w:top w:val="nil"/>
              <w:bottom w:val="nil"/>
            </w:tcBorders>
            <w:tcMar>
              <w:top w:w="0" w:type="dxa"/>
              <w:left w:w="0" w:type="dxa"/>
              <w:bottom w:w="0" w:type="dxa"/>
              <w:right w:w="0" w:type="dxa"/>
            </w:tcMar>
            <w:vAlign w:val="center"/>
          </w:tcPr>
          <w:p w14:paraId="4728D1D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1.40 [1.10, 1.80]</w:t>
            </w:r>
          </w:p>
        </w:tc>
        <w:tc>
          <w:tcPr>
            <w:tcW w:w="2205" w:type="dxa"/>
            <w:tcBorders>
              <w:top w:val="nil"/>
              <w:bottom w:val="nil"/>
            </w:tcBorders>
            <w:tcMar>
              <w:top w:w="0" w:type="dxa"/>
              <w:left w:w="0" w:type="dxa"/>
              <w:bottom w:w="0" w:type="dxa"/>
              <w:right w:w="0" w:type="dxa"/>
            </w:tcMar>
            <w:vAlign w:val="center"/>
          </w:tcPr>
          <w:p w14:paraId="04068E7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1.30 [1.00, 1.70]</w:t>
            </w:r>
          </w:p>
        </w:tc>
        <w:tc>
          <w:tcPr>
            <w:tcW w:w="2325" w:type="dxa"/>
            <w:tcBorders>
              <w:top w:val="nil"/>
              <w:bottom w:val="nil"/>
            </w:tcBorders>
            <w:tcMar>
              <w:top w:w="0" w:type="dxa"/>
              <w:left w:w="0" w:type="dxa"/>
              <w:bottom w:w="0" w:type="dxa"/>
              <w:right w:w="0" w:type="dxa"/>
            </w:tcMar>
            <w:vAlign w:val="center"/>
          </w:tcPr>
          <w:p w14:paraId="0A94BDB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1.50 [1.10, 2.20]</w:t>
            </w:r>
          </w:p>
        </w:tc>
        <w:tc>
          <w:tcPr>
            <w:tcW w:w="1354" w:type="dxa"/>
            <w:tcBorders>
              <w:top w:val="nil"/>
              <w:bottom w:val="nil"/>
            </w:tcBorders>
            <w:tcMar>
              <w:top w:w="0" w:type="dxa"/>
              <w:left w:w="0" w:type="dxa"/>
              <w:bottom w:w="0" w:type="dxa"/>
              <w:right w:w="0" w:type="dxa"/>
            </w:tcMar>
            <w:vAlign w:val="center"/>
          </w:tcPr>
          <w:p w14:paraId="073E850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048105F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0.402</w:t>
            </w:r>
          </w:p>
        </w:tc>
        <w:tc>
          <w:tcPr>
            <w:tcW w:w="1834" w:type="dxa"/>
            <w:tcBorders>
              <w:top w:val="nil"/>
              <w:bottom w:val="nil"/>
            </w:tcBorders>
            <w:tcMar>
              <w:top w:w="0" w:type="dxa"/>
              <w:left w:w="0" w:type="dxa"/>
              <w:bottom w:w="0" w:type="dxa"/>
              <w:right w:w="0" w:type="dxa"/>
            </w:tcMar>
            <w:vAlign w:val="center"/>
          </w:tcPr>
          <w:p w14:paraId="64CF0B6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0.171</w:t>
            </w:r>
          </w:p>
        </w:tc>
      </w:tr>
      <w:tr w:rsidR="002F52E7" w14:paraId="2BCEE1F1" w14:textId="77777777">
        <w:trPr>
          <w:jc w:val="center"/>
        </w:trPr>
        <w:tc>
          <w:tcPr>
            <w:tcW w:w="2499" w:type="dxa"/>
            <w:tcBorders>
              <w:top w:val="nil"/>
              <w:bottom w:val="nil"/>
            </w:tcBorders>
            <w:tcMar>
              <w:top w:w="0" w:type="dxa"/>
              <w:left w:w="0" w:type="dxa"/>
              <w:bottom w:w="0" w:type="dxa"/>
              <w:right w:w="0" w:type="dxa"/>
            </w:tcMar>
            <w:vAlign w:val="center"/>
          </w:tcPr>
          <w:p w14:paraId="62B5E60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r>
              <w:rPr>
                <w:rFonts w:ascii="Times New Roman" w:hAnsi="Times New Roman" w:cs="Times New Roman"/>
                <w:bCs/>
                <w:sz w:val="21"/>
                <w:szCs w:val="21"/>
                <w:lang w:eastAsia="zh-CN"/>
              </w:rPr>
              <w:t>SOFA</w:t>
            </w:r>
          </w:p>
        </w:tc>
        <w:tc>
          <w:tcPr>
            <w:tcW w:w="2355" w:type="dxa"/>
            <w:tcBorders>
              <w:top w:val="nil"/>
              <w:bottom w:val="nil"/>
            </w:tcBorders>
            <w:tcMar>
              <w:top w:w="0" w:type="dxa"/>
              <w:left w:w="0" w:type="dxa"/>
              <w:bottom w:w="0" w:type="dxa"/>
              <w:right w:w="0" w:type="dxa"/>
            </w:tcMar>
            <w:vAlign w:val="center"/>
          </w:tcPr>
          <w:p w14:paraId="7746DFA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4.00 [3.00, 7.00]</w:t>
            </w:r>
          </w:p>
        </w:tc>
        <w:tc>
          <w:tcPr>
            <w:tcW w:w="2205" w:type="dxa"/>
            <w:tcBorders>
              <w:top w:val="nil"/>
              <w:bottom w:val="nil"/>
            </w:tcBorders>
            <w:tcMar>
              <w:top w:w="0" w:type="dxa"/>
              <w:left w:w="0" w:type="dxa"/>
              <w:bottom w:w="0" w:type="dxa"/>
              <w:right w:w="0" w:type="dxa"/>
            </w:tcMar>
            <w:vAlign w:val="center"/>
          </w:tcPr>
          <w:p w14:paraId="74FFEC1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4.00 [2.00, 6.00]</w:t>
            </w:r>
          </w:p>
        </w:tc>
        <w:tc>
          <w:tcPr>
            <w:tcW w:w="2325" w:type="dxa"/>
            <w:tcBorders>
              <w:top w:val="nil"/>
              <w:bottom w:val="nil"/>
            </w:tcBorders>
            <w:tcMar>
              <w:top w:w="0" w:type="dxa"/>
              <w:left w:w="0" w:type="dxa"/>
              <w:bottom w:w="0" w:type="dxa"/>
              <w:right w:w="0" w:type="dxa"/>
            </w:tcMar>
            <w:vAlign w:val="center"/>
          </w:tcPr>
          <w:p w14:paraId="19109B6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5.00 [3.00, 7.00]</w:t>
            </w:r>
          </w:p>
        </w:tc>
        <w:tc>
          <w:tcPr>
            <w:tcW w:w="1354" w:type="dxa"/>
            <w:tcBorders>
              <w:top w:val="nil"/>
              <w:bottom w:val="nil"/>
            </w:tcBorders>
            <w:tcMar>
              <w:top w:w="0" w:type="dxa"/>
              <w:left w:w="0" w:type="dxa"/>
              <w:bottom w:w="0" w:type="dxa"/>
              <w:right w:w="0" w:type="dxa"/>
            </w:tcMar>
            <w:vAlign w:val="center"/>
          </w:tcPr>
          <w:p w14:paraId="2D2673B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37312CC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0.151</w:t>
            </w:r>
          </w:p>
        </w:tc>
        <w:tc>
          <w:tcPr>
            <w:tcW w:w="1834" w:type="dxa"/>
            <w:tcBorders>
              <w:top w:val="nil"/>
              <w:bottom w:val="nil"/>
            </w:tcBorders>
            <w:tcMar>
              <w:top w:w="0" w:type="dxa"/>
              <w:left w:w="0" w:type="dxa"/>
              <w:bottom w:w="0" w:type="dxa"/>
              <w:right w:w="0" w:type="dxa"/>
            </w:tcMar>
            <w:vAlign w:val="center"/>
          </w:tcPr>
          <w:p w14:paraId="748EF80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5BCF947F" w14:textId="77777777">
        <w:trPr>
          <w:jc w:val="center"/>
        </w:trPr>
        <w:tc>
          <w:tcPr>
            <w:tcW w:w="2499" w:type="dxa"/>
            <w:tcBorders>
              <w:top w:val="nil"/>
              <w:bottom w:val="nil"/>
            </w:tcBorders>
            <w:tcMar>
              <w:top w:w="0" w:type="dxa"/>
              <w:left w:w="0" w:type="dxa"/>
              <w:bottom w:w="0" w:type="dxa"/>
              <w:right w:w="0" w:type="dxa"/>
            </w:tcMar>
            <w:vAlign w:val="center"/>
          </w:tcPr>
          <w:p w14:paraId="3ABE9E8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proofErr w:type="spellStart"/>
            <w:r>
              <w:rPr>
                <w:rFonts w:ascii="Times New Roman" w:hAnsi="Times New Roman" w:cs="Times New Roman"/>
                <w:bCs/>
                <w:sz w:val="21"/>
                <w:szCs w:val="21"/>
              </w:rPr>
              <w:t>Apsiii</w:t>
            </w:r>
            <w:proofErr w:type="spellEnd"/>
          </w:p>
        </w:tc>
        <w:tc>
          <w:tcPr>
            <w:tcW w:w="2355" w:type="dxa"/>
            <w:tcBorders>
              <w:top w:val="nil"/>
              <w:bottom w:val="nil"/>
            </w:tcBorders>
            <w:tcMar>
              <w:top w:w="0" w:type="dxa"/>
              <w:left w:w="0" w:type="dxa"/>
              <w:bottom w:w="0" w:type="dxa"/>
              <w:right w:w="0" w:type="dxa"/>
            </w:tcMar>
            <w:vAlign w:val="center"/>
          </w:tcPr>
          <w:p w14:paraId="3DD3D7C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36.00 [28.00, 48.00]</w:t>
            </w:r>
          </w:p>
        </w:tc>
        <w:tc>
          <w:tcPr>
            <w:tcW w:w="2205" w:type="dxa"/>
            <w:tcBorders>
              <w:top w:val="nil"/>
              <w:bottom w:val="nil"/>
            </w:tcBorders>
            <w:tcMar>
              <w:top w:w="0" w:type="dxa"/>
              <w:left w:w="0" w:type="dxa"/>
              <w:bottom w:w="0" w:type="dxa"/>
              <w:right w:w="0" w:type="dxa"/>
            </w:tcMar>
            <w:vAlign w:val="center"/>
          </w:tcPr>
          <w:p w14:paraId="03093B5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34.00 [27.00, 46.00]</w:t>
            </w:r>
          </w:p>
        </w:tc>
        <w:tc>
          <w:tcPr>
            <w:tcW w:w="2325" w:type="dxa"/>
            <w:tcBorders>
              <w:top w:val="nil"/>
              <w:bottom w:val="nil"/>
            </w:tcBorders>
            <w:tcMar>
              <w:top w:w="0" w:type="dxa"/>
              <w:left w:w="0" w:type="dxa"/>
              <w:bottom w:w="0" w:type="dxa"/>
              <w:right w:w="0" w:type="dxa"/>
            </w:tcMar>
            <w:vAlign w:val="center"/>
          </w:tcPr>
          <w:p w14:paraId="1435665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41.00 [32.00, 54.00]</w:t>
            </w:r>
          </w:p>
        </w:tc>
        <w:tc>
          <w:tcPr>
            <w:tcW w:w="1354" w:type="dxa"/>
            <w:tcBorders>
              <w:top w:val="nil"/>
              <w:bottom w:val="nil"/>
            </w:tcBorders>
            <w:tcMar>
              <w:top w:w="0" w:type="dxa"/>
              <w:left w:w="0" w:type="dxa"/>
              <w:bottom w:w="0" w:type="dxa"/>
              <w:right w:w="0" w:type="dxa"/>
            </w:tcMar>
            <w:vAlign w:val="center"/>
          </w:tcPr>
          <w:p w14:paraId="5FA4289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37B62BE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0.336</w:t>
            </w:r>
          </w:p>
        </w:tc>
        <w:tc>
          <w:tcPr>
            <w:tcW w:w="1834" w:type="dxa"/>
            <w:tcBorders>
              <w:top w:val="nil"/>
              <w:bottom w:val="nil"/>
            </w:tcBorders>
            <w:tcMar>
              <w:top w:w="0" w:type="dxa"/>
              <w:left w:w="0" w:type="dxa"/>
              <w:bottom w:w="0" w:type="dxa"/>
              <w:right w:w="0" w:type="dxa"/>
            </w:tcMar>
            <w:vAlign w:val="center"/>
          </w:tcPr>
          <w:p w14:paraId="62BF313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0.027</w:t>
            </w:r>
          </w:p>
        </w:tc>
      </w:tr>
      <w:tr w:rsidR="002F52E7" w14:paraId="0ADA953A" w14:textId="77777777">
        <w:trPr>
          <w:jc w:val="center"/>
        </w:trPr>
        <w:tc>
          <w:tcPr>
            <w:tcW w:w="2499" w:type="dxa"/>
            <w:tcBorders>
              <w:top w:val="nil"/>
              <w:bottom w:val="nil"/>
            </w:tcBorders>
            <w:tcMar>
              <w:top w:w="0" w:type="dxa"/>
              <w:left w:w="0" w:type="dxa"/>
              <w:bottom w:w="0" w:type="dxa"/>
              <w:right w:w="0" w:type="dxa"/>
            </w:tcMar>
            <w:vAlign w:val="center"/>
          </w:tcPr>
          <w:p w14:paraId="4580A89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r>
              <w:rPr>
                <w:rFonts w:ascii="Times New Roman" w:hAnsi="Times New Roman" w:cs="Times New Roman"/>
                <w:bCs/>
                <w:sz w:val="21"/>
                <w:szCs w:val="21"/>
                <w:lang w:eastAsia="zh-CN"/>
              </w:rPr>
              <w:lastRenderedPageBreak/>
              <w:t>SIRS</w:t>
            </w:r>
          </w:p>
        </w:tc>
        <w:tc>
          <w:tcPr>
            <w:tcW w:w="2355" w:type="dxa"/>
            <w:tcBorders>
              <w:top w:val="nil"/>
              <w:bottom w:val="nil"/>
            </w:tcBorders>
            <w:tcMar>
              <w:top w:w="0" w:type="dxa"/>
              <w:left w:w="0" w:type="dxa"/>
              <w:bottom w:w="0" w:type="dxa"/>
              <w:right w:w="0" w:type="dxa"/>
            </w:tcMar>
            <w:vAlign w:val="center"/>
          </w:tcPr>
          <w:p w14:paraId="73D0D4F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3.00 [2.00, 3.00]</w:t>
            </w:r>
          </w:p>
        </w:tc>
        <w:tc>
          <w:tcPr>
            <w:tcW w:w="2205" w:type="dxa"/>
            <w:tcBorders>
              <w:top w:val="nil"/>
              <w:bottom w:val="nil"/>
            </w:tcBorders>
            <w:tcMar>
              <w:top w:w="0" w:type="dxa"/>
              <w:left w:w="0" w:type="dxa"/>
              <w:bottom w:w="0" w:type="dxa"/>
              <w:right w:w="0" w:type="dxa"/>
            </w:tcMar>
            <w:vAlign w:val="center"/>
          </w:tcPr>
          <w:p w14:paraId="2D86EA5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3.00 [2.00, 3.00]</w:t>
            </w:r>
          </w:p>
        </w:tc>
        <w:tc>
          <w:tcPr>
            <w:tcW w:w="2325" w:type="dxa"/>
            <w:tcBorders>
              <w:top w:val="nil"/>
              <w:bottom w:val="nil"/>
            </w:tcBorders>
            <w:tcMar>
              <w:top w:w="0" w:type="dxa"/>
              <w:left w:w="0" w:type="dxa"/>
              <w:bottom w:w="0" w:type="dxa"/>
              <w:right w:w="0" w:type="dxa"/>
            </w:tcMar>
            <w:vAlign w:val="center"/>
          </w:tcPr>
          <w:p w14:paraId="2BD8C09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3.00 [2.00, 3.00]</w:t>
            </w:r>
          </w:p>
        </w:tc>
        <w:tc>
          <w:tcPr>
            <w:tcW w:w="1354" w:type="dxa"/>
            <w:tcBorders>
              <w:top w:val="nil"/>
              <w:bottom w:val="nil"/>
            </w:tcBorders>
            <w:tcMar>
              <w:top w:w="0" w:type="dxa"/>
              <w:left w:w="0" w:type="dxa"/>
              <w:bottom w:w="0" w:type="dxa"/>
              <w:right w:w="0" w:type="dxa"/>
            </w:tcMar>
            <w:vAlign w:val="center"/>
          </w:tcPr>
          <w:p w14:paraId="3560D7B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5F405B2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0.154</w:t>
            </w:r>
          </w:p>
        </w:tc>
        <w:tc>
          <w:tcPr>
            <w:tcW w:w="1834" w:type="dxa"/>
            <w:tcBorders>
              <w:top w:val="nil"/>
              <w:bottom w:val="nil"/>
            </w:tcBorders>
            <w:tcMar>
              <w:top w:w="0" w:type="dxa"/>
              <w:left w:w="0" w:type="dxa"/>
              <w:bottom w:w="0" w:type="dxa"/>
              <w:right w:w="0" w:type="dxa"/>
            </w:tcMar>
            <w:vAlign w:val="center"/>
          </w:tcPr>
          <w:p w14:paraId="42F6A31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0.084</w:t>
            </w:r>
          </w:p>
        </w:tc>
      </w:tr>
      <w:tr w:rsidR="002F52E7" w14:paraId="2B0FCBE0" w14:textId="77777777">
        <w:trPr>
          <w:jc w:val="center"/>
        </w:trPr>
        <w:tc>
          <w:tcPr>
            <w:tcW w:w="2499" w:type="dxa"/>
            <w:tcBorders>
              <w:top w:val="nil"/>
              <w:bottom w:val="nil"/>
            </w:tcBorders>
            <w:tcMar>
              <w:top w:w="0" w:type="dxa"/>
              <w:left w:w="0" w:type="dxa"/>
              <w:bottom w:w="0" w:type="dxa"/>
              <w:right w:w="0" w:type="dxa"/>
            </w:tcMar>
            <w:vAlign w:val="center"/>
          </w:tcPr>
          <w:p w14:paraId="7E9B819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r>
              <w:rPr>
                <w:rFonts w:ascii="Times New Roman" w:hAnsi="Times New Roman" w:cs="Times New Roman"/>
                <w:bCs/>
                <w:sz w:val="21"/>
                <w:szCs w:val="21"/>
                <w:lang w:eastAsia="zh-CN"/>
              </w:rPr>
              <w:t>SAPS-II</w:t>
            </w:r>
          </w:p>
        </w:tc>
        <w:tc>
          <w:tcPr>
            <w:tcW w:w="2355" w:type="dxa"/>
            <w:tcBorders>
              <w:top w:val="nil"/>
              <w:bottom w:val="nil"/>
            </w:tcBorders>
            <w:tcMar>
              <w:top w:w="0" w:type="dxa"/>
              <w:left w:w="0" w:type="dxa"/>
              <w:bottom w:w="0" w:type="dxa"/>
              <w:right w:w="0" w:type="dxa"/>
            </w:tcMar>
            <w:vAlign w:val="center"/>
          </w:tcPr>
          <w:p w14:paraId="2EC6C46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37.02 ± 11.96</w:t>
            </w:r>
          </w:p>
        </w:tc>
        <w:tc>
          <w:tcPr>
            <w:tcW w:w="2205" w:type="dxa"/>
            <w:tcBorders>
              <w:top w:val="nil"/>
              <w:bottom w:val="nil"/>
            </w:tcBorders>
            <w:tcMar>
              <w:top w:w="0" w:type="dxa"/>
              <w:left w:w="0" w:type="dxa"/>
              <w:bottom w:w="0" w:type="dxa"/>
              <w:right w:w="0" w:type="dxa"/>
            </w:tcMar>
            <w:vAlign w:val="center"/>
          </w:tcPr>
          <w:p w14:paraId="1A68D7A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36.46 ± 11.66</w:t>
            </w:r>
          </w:p>
        </w:tc>
        <w:tc>
          <w:tcPr>
            <w:tcW w:w="2325" w:type="dxa"/>
            <w:tcBorders>
              <w:top w:val="nil"/>
              <w:bottom w:val="nil"/>
            </w:tcBorders>
            <w:tcMar>
              <w:top w:w="0" w:type="dxa"/>
              <w:left w:w="0" w:type="dxa"/>
              <w:bottom w:w="0" w:type="dxa"/>
              <w:right w:w="0" w:type="dxa"/>
            </w:tcMar>
            <w:vAlign w:val="center"/>
          </w:tcPr>
          <w:p w14:paraId="43267C7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38.89 ± 12.77</w:t>
            </w:r>
          </w:p>
        </w:tc>
        <w:tc>
          <w:tcPr>
            <w:tcW w:w="1354" w:type="dxa"/>
            <w:tcBorders>
              <w:top w:val="nil"/>
              <w:bottom w:val="nil"/>
            </w:tcBorders>
            <w:tcMar>
              <w:top w:w="0" w:type="dxa"/>
              <w:left w:w="0" w:type="dxa"/>
              <w:bottom w:w="0" w:type="dxa"/>
              <w:right w:w="0" w:type="dxa"/>
            </w:tcMar>
            <w:vAlign w:val="center"/>
          </w:tcPr>
          <w:p w14:paraId="36817D5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20B1DDC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0.199</w:t>
            </w:r>
          </w:p>
        </w:tc>
        <w:tc>
          <w:tcPr>
            <w:tcW w:w="1834" w:type="dxa"/>
            <w:tcBorders>
              <w:top w:val="nil"/>
              <w:bottom w:val="nil"/>
            </w:tcBorders>
            <w:tcMar>
              <w:top w:w="0" w:type="dxa"/>
              <w:left w:w="0" w:type="dxa"/>
              <w:bottom w:w="0" w:type="dxa"/>
              <w:right w:w="0" w:type="dxa"/>
            </w:tcMar>
            <w:vAlign w:val="center"/>
          </w:tcPr>
          <w:p w14:paraId="6295E21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3ACA1544" w14:textId="77777777">
        <w:trPr>
          <w:jc w:val="center"/>
        </w:trPr>
        <w:tc>
          <w:tcPr>
            <w:tcW w:w="2499" w:type="dxa"/>
            <w:tcBorders>
              <w:top w:val="nil"/>
              <w:bottom w:val="nil"/>
            </w:tcBorders>
            <w:tcMar>
              <w:top w:w="0" w:type="dxa"/>
              <w:left w:w="0" w:type="dxa"/>
              <w:bottom w:w="0" w:type="dxa"/>
              <w:right w:w="0" w:type="dxa"/>
            </w:tcMar>
            <w:vAlign w:val="center"/>
          </w:tcPr>
          <w:p w14:paraId="180D0E5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lang w:eastAsia="zh-CN"/>
              </w:rPr>
            </w:pPr>
            <w:r>
              <w:rPr>
                <w:rFonts w:ascii="Times New Roman" w:hAnsi="Times New Roman" w:cs="Times New Roman"/>
                <w:bCs/>
                <w:sz w:val="21"/>
                <w:szCs w:val="21"/>
                <w:lang w:eastAsia="zh-CN"/>
              </w:rPr>
              <w:t>OASIS</w:t>
            </w:r>
          </w:p>
        </w:tc>
        <w:tc>
          <w:tcPr>
            <w:tcW w:w="2355" w:type="dxa"/>
            <w:tcBorders>
              <w:top w:val="nil"/>
              <w:bottom w:val="nil"/>
            </w:tcBorders>
            <w:tcMar>
              <w:top w:w="0" w:type="dxa"/>
              <w:left w:w="0" w:type="dxa"/>
              <w:bottom w:w="0" w:type="dxa"/>
              <w:right w:w="0" w:type="dxa"/>
            </w:tcMar>
            <w:vAlign w:val="center"/>
          </w:tcPr>
          <w:p w14:paraId="47EC01C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31.69 ± 7.76</w:t>
            </w:r>
          </w:p>
        </w:tc>
        <w:tc>
          <w:tcPr>
            <w:tcW w:w="2205" w:type="dxa"/>
            <w:tcBorders>
              <w:top w:val="nil"/>
              <w:bottom w:val="nil"/>
            </w:tcBorders>
            <w:tcMar>
              <w:top w:w="0" w:type="dxa"/>
              <w:left w:w="0" w:type="dxa"/>
              <w:bottom w:w="0" w:type="dxa"/>
              <w:right w:w="0" w:type="dxa"/>
            </w:tcMar>
            <w:vAlign w:val="center"/>
          </w:tcPr>
          <w:p w14:paraId="440C6DB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31.43 ± 7.61</w:t>
            </w:r>
          </w:p>
        </w:tc>
        <w:tc>
          <w:tcPr>
            <w:tcW w:w="2325" w:type="dxa"/>
            <w:tcBorders>
              <w:top w:val="nil"/>
              <w:bottom w:val="nil"/>
            </w:tcBorders>
            <w:tcMar>
              <w:top w:w="0" w:type="dxa"/>
              <w:left w:w="0" w:type="dxa"/>
              <w:bottom w:w="0" w:type="dxa"/>
              <w:right w:w="0" w:type="dxa"/>
            </w:tcMar>
            <w:vAlign w:val="center"/>
          </w:tcPr>
          <w:p w14:paraId="2BDA7B3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32.58 ± 8.17</w:t>
            </w:r>
          </w:p>
        </w:tc>
        <w:tc>
          <w:tcPr>
            <w:tcW w:w="1354" w:type="dxa"/>
            <w:tcBorders>
              <w:top w:val="nil"/>
              <w:bottom w:val="nil"/>
            </w:tcBorders>
            <w:tcMar>
              <w:top w:w="0" w:type="dxa"/>
              <w:left w:w="0" w:type="dxa"/>
              <w:bottom w:w="0" w:type="dxa"/>
              <w:right w:w="0" w:type="dxa"/>
            </w:tcMar>
            <w:vAlign w:val="center"/>
          </w:tcPr>
          <w:p w14:paraId="77B6F15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405534B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0.146</w:t>
            </w:r>
          </w:p>
        </w:tc>
        <w:tc>
          <w:tcPr>
            <w:tcW w:w="1834" w:type="dxa"/>
            <w:tcBorders>
              <w:top w:val="nil"/>
              <w:bottom w:val="nil"/>
            </w:tcBorders>
            <w:tcMar>
              <w:top w:w="0" w:type="dxa"/>
              <w:left w:w="0" w:type="dxa"/>
              <w:bottom w:w="0" w:type="dxa"/>
              <w:right w:w="0" w:type="dxa"/>
            </w:tcMar>
            <w:vAlign w:val="center"/>
          </w:tcPr>
          <w:p w14:paraId="1FD49E5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0.009</w:t>
            </w:r>
          </w:p>
        </w:tc>
      </w:tr>
      <w:tr w:rsidR="002F52E7" w14:paraId="57F61EA6" w14:textId="77777777">
        <w:trPr>
          <w:jc w:val="center"/>
        </w:trPr>
        <w:tc>
          <w:tcPr>
            <w:tcW w:w="2499" w:type="dxa"/>
            <w:tcBorders>
              <w:top w:val="nil"/>
              <w:bottom w:val="nil"/>
            </w:tcBorders>
            <w:tcMar>
              <w:top w:w="0" w:type="dxa"/>
              <w:left w:w="0" w:type="dxa"/>
              <w:bottom w:w="0" w:type="dxa"/>
              <w:right w:w="0" w:type="dxa"/>
            </w:tcMar>
            <w:vAlign w:val="center"/>
          </w:tcPr>
          <w:p w14:paraId="759EA00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proofErr w:type="spellStart"/>
            <w:proofErr w:type="gramStart"/>
            <w:r>
              <w:rPr>
                <w:rFonts w:ascii="Times New Roman" w:hAnsi="Times New Roman" w:cs="Times New Roman"/>
                <w:bCs/>
                <w:sz w:val="21"/>
                <w:szCs w:val="21"/>
              </w:rPr>
              <w:t>Hypertension,n</w:t>
            </w:r>
            <w:proofErr w:type="spellEnd"/>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616D191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4415 (82.3%)</w:t>
            </w:r>
          </w:p>
        </w:tc>
        <w:tc>
          <w:tcPr>
            <w:tcW w:w="2205" w:type="dxa"/>
            <w:tcBorders>
              <w:top w:val="nil"/>
              <w:bottom w:val="nil"/>
            </w:tcBorders>
            <w:tcMar>
              <w:top w:w="0" w:type="dxa"/>
              <w:left w:w="0" w:type="dxa"/>
              <w:bottom w:w="0" w:type="dxa"/>
              <w:right w:w="0" w:type="dxa"/>
            </w:tcMar>
            <w:vAlign w:val="center"/>
          </w:tcPr>
          <w:p w14:paraId="316828D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3387 (81.9%)</w:t>
            </w:r>
          </w:p>
        </w:tc>
        <w:tc>
          <w:tcPr>
            <w:tcW w:w="2325" w:type="dxa"/>
            <w:tcBorders>
              <w:top w:val="nil"/>
              <w:bottom w:val="nil"/>
            </w:tcBorders>
            <w:tcMar>
              <w:top w:w="0" w:type="dxa"/>
              <w:left w:w="0" w:type="dxa"/>
              <w:bottom w:w="0" w:type="dxa"/>
              <w:right w:w="0" w:type="dxa"/>
            </w:tcMar>
            <w:vAlign w:val="center"/>
          </w:tcPr>
          <w:p w14:paraId="03F3EE1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1028 (83.9%)</w:t>
            </w:r>
          </w:p>
        </w:tc>
        <w:tc>
          <w:tcPr>
            <w:tcW w:w="1354" w:type="dxa"/>
            <w:tcBorders>
              <w:top w:val="nil"/>
              <w:bottom w:val="nil"/>
            </w:tcBorders>
            <w:tcMar>
              <w:top w:w="0" w:type="dxa"/>
              <w:left w:w="0" w:type="dxa"/>
              <w:bottom w:w="0" w:type="dxa"/>
              <w:right w:w="0" w:type="dxa"/>
            </w:tcMar>
            <w:vAlign w:val="center"/>
          </w:tcPr>
          <w:p w14:paraId="4001B95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0.108</w:t>
            </w:r>
          </w:p>
        </w:tc>
        <w:tc>
          <w:tcPr>
            <w:tcW w:w="1830" w:type="dxa"/>
            <w:tcBorders>
              <w:top w:val="nil"/>
              <w:bottom w:val="nil"/>
            </w:tcBorders>
            <w:tcMar>
              <w:top w:w="0" w:type="dxa"/>
              <w:left w:w="0" w:type="dxa"/>
              <w:bottom w:w="0" w:type="dxa"/>
              <w:right w:w="0" w:type="dxa"/>
            </w:tcMar>
            <w:vAlign w:val="center"/>
          </w:tcPr>
          <w:p w14:paraId="1D30991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0.054</w:t>
            </w:r>
          </w:p>
        </w:tc>
        <w:tc>
          <w:tcPr>
            <w:tcW w:w="1834" w:type="dxa"/>
            <w:tcBorders>
              <w:top w:val="nil"/>
              <w:bottom w:val="nil"/>
            </w:tcBorders>
            <w:tcMar>
              <w:top w:w="0" w:type="dxa"/>
              <w:left w:w="0" w:type="dxa"/>
              <w:bottom w:w="0" w:type="dxa"/>
              <w:right w:w="0" w:type="dxa"/>
            </w:tcMar>
            <w:vAlign w:val="center"/>
          </w:tcPr>
          <w:p w14:paraId="6C6E210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7FC4D8FB" w14:textId="77777777">
        <w:trPr>
          <w:jc w:val="center"/>
        </w:trPr>
        <w:tc>
          <w:tcPr>
            <w:tcW w:w="2499" w:type="dxa"/>
            <w:tcBorders>
              <w:top w:val="nil"/>
              <w:bottom w:val="nil"/>
            </w:tcBorders>
            <w:tcMar>
              <w:top w:w="0" w:type="dxa"/>
              <w:left w:w="0" w:type="dxa"/>
              <w:bottom w:w="0" w:type="dxa"/>
              <w:right w:w="0" w:type="dxa"/>
            </w:tcMar>
            <w:vAlign w:val="center"/>
          </w:tcPr>
          <w:p w14:paraId="1802B22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Diabetes </w:t>
            </w:r>
            <w:proofErr w:type="spellStart"/>
            <w:proofErr w:type="gramStart"/>
            <w:r>
              <w:rPr>
                <w:rFonts w:ascii="Times New Roman" w:hAnsi="Times New Roman" w:cs="Times New Roman"/>
                <w:bCs/>
                <w:sz w:val="21"/>
                <w:szCs w:val="21"/>
              </w:rPr>
              <w:t>mellitus,n</w:t>
            </w:r>
            <w:proofErr w:type="spellEnd"/>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3A785E1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2436 (45.4%)</w:t>
            </w:r>
          </w:p>
        </w:tc>
        <w:tc>
          <w:tcPr>
            <w:tcW w:w="2205" w:type="dxa"/>
            <w:tcBorders>
              <w:top w:val="nil"/>
              <w:bottom w:val="nil"/>
            </w:tcBorders>
            <w:tcMar>
              <w:top w:w="0" w:type="dxa"/>
              <w:left w:w="0" w:type="dxa"/>
              <w:bottom w:w="0" w:type="dxa"/>
              <w:right w:w="0" w:type="dxa"/>
            </w:tcMar>
            <w:vAlign w:val="center"/>
          </w:tcPr>
          <w:p w14:paraId="36BDE0A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1733 (41.9%)</w:t>
            </w:r>
          </w:p>
        </w:tc>
        <w:tc>
          <w:tcPr>
            <w:tcW w:w="2325" w:type="dxa"/>
            <w:tcBorders>
              <w:top w:val="nil"/>
              <w:bottom w:val="nil"/>
            </w:tcBorders>
            <w:tcMar>
              <w:top w:w="0" w:type="dxa"/>
              <w:left w:w="0" w:type="dxa"/>
              <w:bottom w:w="0" w:type="dxa"/>
              <w:right w:w="0" w:type="dxa"/>
            </w:tcMar>
            <w:vAlign w:val="center"/>
          </w:tcPr>
          <w:p w14:paraId="2D6174F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703 (57.4%)</w:t>
            </w:r>
          </w:p>
        </w:tc>
        <w:tc>
          <w:tcPr>
            <w:tcW w:w="1354" w:type="dxa"/>
            <w:tcBorders>
              <w:top w:val="nil"/>
              <w:bottom w:val="nil"/>
            </w:tcBorders>
            <w:tcMar>
              <w:top w:w="0" w:type="dxa"/>
              <w:left w:w="0" w:type="dxa"/>
              <w:bottom w:w="0" w:type="dxa"/>
              <w:right w:w="0" w:type="dxa"/>
            </w:tcMar>
            <w:vAlign w:val="center"/>
          </w:tcPr>
          <w:p w14:paraId="0ED1D87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236A1CC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0.314</w:t>
            </w:r>
          </w:p>
        </w:tc>
        <w:tc>
          <w:tcPr>
            <w:tcW w:w="1834" w:type="dxa"/>
            <w:tcBorders>
              <w:top w:val="nil"/>
              <w:bottom w:val="nil"/>
            </w:tcBorders>
            <w:tcMar>
              <w:top w:w="0" w:type="dxa"/>
              <w:left w:w="0" w:type="dxa"/>
              <w:bottom w:w="0" w:type="dxa"/>
              <w:right w:w="0" w:type="dxa"/>
            </w:tcMar>
            <w:vAlign w:val="center"/>
          </w:tcPr>
          <w:p w14:paraId="38DFE0E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3AD9D5BC" w14:textId="77777777">
        <w:trPr>
          <w:trHeight w:val="249"/>
          <w:jc w:val="center"/>
        </w:trPr>
        <w:tc>
          <w:tcPr>
            <w:tcW w:w="2499" w:type="dxa"/>
            <w:tcBorders>
              <w:top w:val="nil"/>
              <w:bottom w:val="nil"/>
            </w:tcBorders>
            <w:tcMar>
              <w:top w:w="0" w:type="dxa"/>
              <w:left w:w="0" w:type="dxa"/>
              <w:bottom w:w="0" w:type="dxa"/>
              <w:right w:w="0" w:type="dxa"/>
            </w:tcMar>
            <w:vAlign w:val="center"/>
          </w:tcPr>
          <w:p w14:paraId="3DC5232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Myocardial infarct,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4EE330E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2884 (53.8%)</w:t>
            </w:r>
          </w:p>
        </w:tc>
        <w:tc>
          <w:tcPr>
            <w:tcW w:w="2205" w:type="dxa"/>
            <w:tcBorders>
              <w:top w:val="nil"/>
              <w:bottom w:val="nil"/>
            </w:tcBorders>
            <w:tcMar>
              <w:top w:w="0" w:type="dxa"/>
              <w:left w:w="0" w:type="dxa"/>
              <w:bottom w:w="0" w:type="dxa"/>
              <w:right w:w="0" w:type="dxa"/>
            </w:tcMar>
            <w:vAlign w:val="center"/>
          </w:tcPr>
          <w:p w14:paraId="7CD86A5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2101 (50.8%)</w:t>
            </w:r>
          </w:p>
        </w:tc>
        <w:tc>
          <w:tcPr>
            <w:tcW w:w="2325" w:type="dxa"/>
            <w:tcBorders>
              <w:top w:val="nil"/>
              <w:bottom w:val="nil"/>
            </w:tcBorders>
            <w:tcMar>
              <w:top w:w="0" w:type="dxa"/>
              <w:left w:w="0" w:type="dxa"/>
              <w:bottom w:w="0" w:type="dxa"/>
              <w:right w:w="0" w:type="dxa"/>
            </w:tcMar>
            <w:vAlign w:val="center"/>
          </w:tcPr>
          <w:p w14:paraId="15750DB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783 (63.9%)</w:t>
            </w:r>
          </w:p>
        </w:tc>
        <w:tc>
          <w:tcPr>
            <w:tcW w:w="1354" w:type="dxa"/>
            <w:tcBorders>
              <w:top w:val="nil"/>
              <w:bottom w:val="nil"/>
            </w:tcBorders>
            <w:tcMar>
              <w:top w:w="0" w:type="dxa"/>
              <w:left w:w="0" w:type="dxa"/>
              <w:bottom w:w="0" w:type="dxa"/>
              <w:right w:w="0" w:type="dxa"/>
            </w:tcMar>
            <w:vAlign w:val="center"/>
          </w:tcPr>
          <w:p w14:paraId="469CB5B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04F343B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0.268</w:t>
            </w:r>
          </w:p>
        </w:tc>
        <w:tc>
          <w:tcPr>
            <w:tcW w:w="1834" w:type="dxa"/>
            <w:tcBorders>
              <w:top w:val="nil"/>
              <w:bottom w:val="nil"/>
            </w:tcBorders>
            <w:tcMar>
              <w:top w:w="0" w:type="dxa"/>
              <w:left w:w="0" w:type="dxa"/>
              <w:bottom w:w="0" w:type="dxa"/>
              <w:right w:w="0" w:type="dxa"/>
            </w:tcMar>
            <w:vAlign w:val="center"/>
          </w:tcPr>
          <w:p w14:paraId="0378582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2868931A" w14:textId="77777777">
        <w:trPr>
          <w:jc w:val="center"/>
        </w:trPr>
        <w:tc>
          <w:tcPr>
            <w:tcW w:w="2499" w:type="dxa"/>
            <w:tcBorders>
              <w:top w:val="nil"/>
              <w:bottom w:val="nil"/>
            </w:tcBorders>
            <w:tcMar>
              <w:top w:w="0" w:type="dxa"/>
              <w:left w:w="0" w:type="dxa"/>
              <w:bottom w:w="0" w:type="dxa"/>
              <w:right w:w="0" w:type="dxa"/>
            </w:tcMar>
            <w:vAlign w:val="center"/>
          </w:tcPr>
          <w:p w14:paraId="51E96EC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Congestive heart failure,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034BAE3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2202 (41.1%)</w:t>
            </w:r>
          </w:p>
        </w:tc>
        <w:tc>
          <w:tcPr>
            <w:tcW w:w="2205" w:type="dxa"/>
            <w:tcBorders>
              <w:top w:val="nil"/>
              <w:bottom w:val="nil"/>
            </w:tcBorders>
            <w:tcMar>
              <w:top w:w="0" w:type="dxa"/>
              <w:left w:w="0" w:type="dxa"/>
              <w:bottom w:w="0" w:type="dxa"/>
              <w:right w:w="0" w:type="dxa"/>
            </w:tcMar>
            <w:vAlign w:val="center"/>
          </w:tcPr>
          <w:p w14:paraId="09668F3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1524 (36.8%)</w:t>
            </w:r>
          </w:p>
        </w:tc>
        <w:tc>
          <w:tcPr>
            <w:tcW w:w="2325" w:type="dxa"/>
            <w:tcBorders>
              <w:top w:val="nil"/>
              <w:bottom w:val="nil"/>
            </w:tcBorders>
            <w:tcMar>
              <w:top w:w="0" w:type="dxa"/>
              <w:left w:w="0" w:type="dxa"/>
              <w:bottom w:w="0" w:type="dxa"/>
              <w:right w:w="0" w:type="dxa"/>
            </w:tcMar>
            <w:vAlign w:val="center"/>
          </w:tcPr>
          <w:p w14:paraId="3E908BF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678 (55.3%)</w:t>
            </w:r>
          </w:p>
        </w:tc>
        <w:tc>
          <w:tcPr>
            <w:tcW w:w="1354" w:type="dxa"/>
            <w:tcBorders>
              <w:top w:val="nil"/>
              <w:bottom w:val="nil"/>
            </w:tcBorders>
            <w:tcMar>
              <w:top w:w="0" w:type="dxa"/>
              <w:left w:w="0" w:type="dxa"/>
              <w:bottom w:w="0" w:type="dxa"/>
              <w:right w:w="0" w:type="dxa"/>
            </w:tcMar>
            <w:vAlign w:val="center"/>
          </w:tcPr>
          <w:p w14:paraId="4A567DE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7328E92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0.378</w:t>
            </w:r>
          </w:p>
        </w:tc>
        <w:tc>
          <w:tcPr>
            <w:tcW w:w="1834" w:type="dxa"/>
            <w:tcBorders>
              <w:top w:val="nil"/>
              <w:bottom w:val="nil"/>
            </w:tcBorders>
            <w:tcMar>
              <w:top w:w="0" w:type="dxa"/>
              <w:left w:w="0" w:type="dxa"/>
              <w:bottom w:w="0" w:type="dxa"/>
              <w:right w:w="0" w:type="dxa"/>
            </w:tcMar>
            <w:vAlign w:val="center"/>
          </w:tcPr>
          <w:p w14:paraId="038535A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52A48AF0" w14:textId="77777777">
        <w:trPr>
          <w:jc w:val="center"/>
        </w:trPr>
        <w:tc>
          <w:tcPr>
            <w:tcW w:w="2499" w:type="dxa"/>
            <w:tcBorders>
              <w:top w:val="nil"/>
              <w:bottom w:val="nil"/>
            </w:tcBorders>
            <w:tcMar>
              <w:top w:w="0" w:type="dxa"/>
              <w:left w:w="0" w:type="dxa"/>
              <w:bottom w:w="0" w:type="dxa"/>
              <w:right w:w="0" w:type="dxa"/>
            </w:tcMar>
            <w:vAlign w:val="center"/>
          </w:tcPr>
          <w:p w14:paraId="4EE005D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Atrial fibrillation,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034CE83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1947 (36.3%)</w:t>
            </w:r>
          </w:p>
        </w:tc>
        <w:tc>
          <w:tcPr>
            <w:tcW w:w="2205" w:type="dxa"/>
            <w:tcBorders>
              <w:top w:val="nil"/>
              <w:bottom w:val="nil"/>
            </w:tcBorders>
            <w:tcMar>
              <w:top w:w="0" w:type="dxa"/>
              <w:left w:w="0" w:type="dxa"/>
              <w:bottom w:w="0" w:type="dxa"/>
              <w:right w:w="0" w:type="dxa"/>
            </w:tcMar>
            <w:vAlign w:val="center"/>
          </w:tcPr>
          <w:p w14:paraId="3874668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1504 (36.4%)</w:t>
            </w:r>
          </w:p>
        </w:tc>
        <w:tc>
          <w:tcPr>
            <w:tcW w:w="2325" w:type="dxa"/>
            <w:tcBorders>
              <w:top w:val="nil"/>
              <w:bottom w:val="nil"/>
            </w:tcBorders>
            <w:tcMar>
              <w:top w:w="0" w:type="dxa"/>
              <w:left w:w="0" w:type="dxa"/>
              <w:bottom w:w="0" w:type="dxa"/>
              <w:right w:w="0" w:type="dxa"/>
            </w:tcMar>
            <w:vAlign w:val="center"/>
          </w:tcPr>
          <w:p w14:paraId="648E5B3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443 (36.2%)</w:t>
            </w:r>
          </w:p>
        </w:tc>
        <w:tc>
          <w:tcPr>
            <w:tcW w:w="1354" w:type="dxa"/>
            <w:tcBorders>
              <w:top w:val="nil"/>
              <w:bottom w:val="nil"/>
            </w:tcBorders>
            <w:tcMar>
              <w:top w:w="0" w:type="dxa"/>
              <w:left w:w="0" w:type="dxa"/>
              <w:bottom w:w="0" w:type="dxa"/>
              <w:right w:w="0" w:type="dxa"/>
            </w:tcMar>
            <w:vAlign w:val="center"/>
          </w:tcPr>
          <w:p w14:paraId="444EBF8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0.929</w:t>
            </w:r>
          </w:p>
        </w:tc>
        <w:tc>
          <w:tcPr>
            <w:tcW w:w="1830" w:type="dxa"/>
            <w:tcBorders>
              <w:top w:val="nil"/>
              <w:bottom w:val="nil"/>
            </w:tcBorders>
            <w:tcMar>
              <w:top w:w="0" w:type="dxa"/>
              <w:left w:w="0" w:type="dxa"/>
              <w:bottom w:w="0" w:type="dxa"/>
              <w:right w:w="0" w:type="dxa"/>
            </w:tcMar>
            <w:vAlign w:val="center"/>
          </w:tcPr>
          <w:p w14:paraId="1C16506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0.004</w:t>
            </w:r>
          </w:p>
        </w:tc>
        <w:tc>
          <w:tcPr>
            <w:tcW w:w="1834" w:type="dxa"/>
            <w:tcBorders>
              <w:top w:val="nil"/>
              <w:bottom w:val="nil"/>
            </w:tcBorders>
            <w:tcMar>
              <w:top w:w="0" w:type="dxa"/>
              <w:left w:w="0" w:type="dxa"/>
              <w:bottom w:w="0" w:type="dxa"/>
              <w:right w:w="0" w:type="dxa"/>
            </w:tcMar>
            <w:vAlign w:val="center"/>
          </w:tcPr>
          <w:p w14:paraId="1F170EE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3F21C25F" w14:textId="77777777">
        <w:trPr>
          <w:jc w:val="center"/>
        </w:trPr>
        <w:tc>
          <w:tcPr>
            <w:tcW w:w="2499" w:type="dxa"/>
            <w:tcBorders>
              <w:top w:val="nil"/>
              <w:bottom w:val="nil"/>
            </w:tcBorders>
            <w:tcMar>
              <w:top w:w="0" w:type="dxa"/>
              <w:left w:w="0" w:type="dxa"/>
              <w:bottom w:w="0" w:type="dxa"/>
              <w:right w:w="0" w:type="dxa"/>
            </w:tcMar>
            <w:vAlign w:val="center"/>
          </w:tcPr>
          <w:p w14:paraId="0D73082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Hyperlipidemia,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110CC0C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3056 (57.0%)</w:t>
            </w:r>
          </w:p>
        </w:tc>
        <w:tc>
          <w:tcPr>
            <w:tcW w:w="2205" w:type="dxa"/>
            <w:tcBorders>
              <w:top w:val="nil"/>
              <w:bottom w:val="nil"/>
            </w:tcBorders>
            <w:tcMar>
              <w:top w:w="0" w:type="dxa"/>
              <w:left w:w="0" w:type="dxa"/>
              <w:bottom w:w="0" w:type="dxa"/>
              <w:right w:w="0" w:type="dxa"/>
            </w:tcMar>
            <w:vAlign w:val="center"/>
          </w:tcPr>
          <w:p w14:paraId="314B2D8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2429 (58.7%)</w:t>
            </w:r>
          </w:p>
        </w:tc>
        <w:tc>
          <w:tcPr>
            <w:tcW w:w="2325" w:type="dxa"/>
            <w:tcBorders>
              <w:top w:val="nil"/>
              <w:bottom w:val="nil"/>
            </w:tcBorders>
            <w:tcMar>
              <w:top w:w="0" w:type="dxa"/>
              <w:left w:w="0" w:type="dxa"/>
              <w:bottom w:w="0" w:type="dxa"/>
              <w:right w:w="0" w:type="dxa"/>
            </w:tcMar>
            <w:vAlign w:val="center"/>
          </w:tcPr>
          <w:p w14:paraId="2C1ECBE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627 (51.2%)</w:t>
            </w:r>
          </w:p>
        </w:tc>
        <w:tc>
          <w:tcPr>
            <w:tcW w:w="1354" w:type="dxa"/>
            <w:tcBorders>
              <w:top w:val="nil"/>
              <w:bottom w:val="nil"/>
            </w:tcBorders>
            <w:tcMar>
              <w:top w:w="0" w:type="dxa"/>
              <w:left w:w="0" w:type="dxa"/>
              <w:bottom w:w="0" w:type="dxa"/>
              <w:right w:w="0" w:type="dxa"/>
            </w:tcMar>
            <w:vAlign w:val="center"/>
          </w:tcPr>
          <w:p w14:paraId="3481C67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71A7CA1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0.152</w:t>
            </w:r>
          </w:p>
        </w:tc>
        <w:tc>
          <w:tcPr>
            <w:tcW w:w="1834" w:type="dxa"/>
            <w:tcBorders>
              <w:top w:val="nil"/>
              <w:bottom w:val="nil"/>
            </w:tcBorders>
            <w:tcMar>
              <w:top w:w="0" w:type="dxa"/>
              <w:left w:w="0" w:type="dxa"/>
              <w:bottom w:w="0" w:type="dxa"/>
              <w:right w:w="0" w:type="dxa"/>
            </w:tcMar>
            <w:vAlign w:val="center"/>
          </w:tcPr>
          <w:p w14:paraId="4D011F7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0.045</w:t>
            </w:r>
          </w:p>
        </w:tc>
      </w:tr>
      <w:tr w:rsidR="002F52E7" w14:paraId="585FF7E9" w14:textId="77777777">
        <w:trPr>
          <w:jc w:val="center"/>
        </w:trPr>
        <w:tc>
          <w:tcPr>
            <w:tcW w:w="2499" w:type="dxa"/>
            <w:tcBorders>
              <w:top w:val="nil"/>
              <w:bottom w:val="nil"/>
            </w:tcBorders>
            <w:tcMar>
              <w:top w:w="0" w:type="dxa"/>
              <w:left w:w="0" w:type="dxa"/>
              <w:bottom w:w="0" w:type="dxa"/>
              <w:right w:w="0" w:type="dxa"/>
            </w:tcMar>
            <w:vAlign w:val="center"/>
          </w:tcPr>
          <w:p w14:paraId="0D2A86B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Peripheral vascular disease,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337DCF0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823 (15.3%)</w:t>
            </w:r>
          </w:p>
        </w:tc>
        <w:tc>
          <w:tcPr>
            <w:tcW w:w="2205" w:type="dxa"/>
            <w:tcBorders>
              <w:top w:val="nil"/>
              <w:bottom w:val="nil"/>
            </w:tcBorders>
            <w:tcMar>
              <w:top w:w="0" w:type="dxa"/>
              <w:left w:w="0" w:type="dxa"/>
              <w:bottom w:w="0" w:type="dxa"/>
              <w:right w:w="0" w:type="dxa"/>
            </w:tcMar>
            <w:vAlign w:val="center"/>
          </w:tcPr>
          <w:p w14:paraId="7C7CF9A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613 (14.8%)</w:t>
            </w:r>
          </w:p>
        </w:tc>
        <w:tc>
          <w:tcPr>
            <w:tcW w:w="2325" w:type="dxa"/>
            <w:tcBorders>
              <w:top w:val="nil"/>
              <w:bottom w:val="nil"/>
            </w:tcBorders>
            <w:tcMar>
              <w:top w:w="0" w:type="dxa"/>
              <w:left w:w="0" w:type="dxa"/>
              <w:bottom w:w="0" w:type="dxa"/>
              <w:right w:w="0" w:type="dxa"/>
            </w:tcMar>
            <w:vAlign w:val="center"/>
          </w:tcPr>
          <w:p w14:paraId="6181F33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210 (17.1%)</w:t>
            </w:r>
          </w:p>
        </w:tc>
        <w:tc>
          <w:tcPr>
            <w:tcW w:w="1354" w:type="dxa"/>
            <w:tcBorders>
              <w:top w:val="nil"/>
              <w:bottom w:val="nil"/>
            </w:tcBorders>
            <w:tcMar>
              <w:top w:w="0" w:type="dxa"/>
              <w:left w:w="0" w:type="dxa"/>
              <w:bottom w:w="0" w:type="dxa"/>
              <w:right w:w="0" w:type="dxa"/>
            </w:tcMar>
            <w:vAlign w:val="center"/>
          </w:tcPr>
          <w:p w14:paraId="515BD7A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0.053</w:t>
            </w:r>
          </w:p>
        </w:tc>
        <w:tc>
          <w:tcPr>
            <w:tcW w:w="1830" w:type="dxa"/>
            <w:tcBorders>
              <w:top w:val="nil"/>
              <w:bottom w:val="nil"/>
            </w:tcBorders>
            <w:tcMar>
              <w:top w:w="0" w:type="dxa"/>
              <w:left w:w="0" w:type="dxa"/>
              <w:bottom w:w="0" w:type="dxa"/>
              <w:right w:w="0" w:type="dxa"/>
            </w:tcMar>
            <w:vAlign w:val="center"/>
          </w:tcPr>
          <w:p w14:paraId="4B6CD94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0.063</w:t>
            </w:r>
          </w:p>
        </w:tc>
        <w:tc>
          <w:tcPr>
            <w:tcW w:w="1834" w:type="dxa"/>
            <w:tcBorders>
              <w:top w:val="nil"/>
              <w:bottom w:val="nil"/>
            </w:tcBorders>
            <w:tcMar>
              <w:top w:w="0" w:type="dxa"/>
              <w:left w:w="0" w:type="dxa"/>
              <w:bottom w:w="0" w:type="dxa"/>
              <w:right w:w="0" w:type="dxa"/>
            </w:tcMar>
            <w:vAlign w:val="center"/>
          </w:tcPr>
          <w:p w14:paraId="29D7D70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0.011</w:t>
            </w:r>
          </w:p>
        </w:tc>
      </w:tr>
      <w:tr w:rsidR="002F52E7" w14:paraId="1EFE1B92" w14:textId="77777777">
        <w:trPr>
          <w:jc w:val="center"/>
        </w:trPr>
        <w:tc>
          <w:tcPr>
            <w:tcW w:w="2499" w:type="dxa"/>
            <w:tcBorders>
              <w:top w:val="nil"/>
              <w:bottom w:val="nil"/>
            </w:tcBorders>
            <w:tcMar>
              <w:top w:w="0" w:type="dxa"/>
              <w:left w:w="0" w:type="dxa"/>
              <w:bottom w:w="0" w:type="dxa"/>
              <w:right w:w="0" w:type="dxa"/>
            </w:tcMar>
            <w:vAlign w:val="center"/>
          </w:tcPr>
          <w:p w14:paraId="74B6887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Cerebrovascular disease,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199E7A3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1121 (20.9%)</w:t>
            </w:r>
          </w:p>
        </w:tc>
        <w:tc>
          <w:tcPr>
            <w:tcW w:w="2205" w:type="dxa"/>
            <w:tcBorders>
              <w:top w:val="nil"/>
              <w:bottom w:val="nil"/>
            </w:tcBorders>
            <w:tcMar>
              <w:top w:w="0" w:type="dxa"/>
              <w:left w:w="0" w:type="dxa"/>
              <w:bottom w:w="0" w:type="dxa"/>
              <w:right w:w="0" w:type="dxa"/>
            </w:tcMar>
            <w:vAlign w:val="center"/>
          </w:tcPr>
          <w:p w14:paraId="6FC2D44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854 (20.6%)</w:t>
            </w:r>
          </w:p>
        </w:tc>
        <w:tc>
          <w:tcPr>
            <w:tcW w:w="2325" w:type="dxa"/>
            <w:tcBorders>
              <w:top w:val="nil"/>
              <w:bottom w:val="nil"/>
            </w:tcBorders>
            <w:tcMar>
              <w:top w:w="0" w:type="dxa"/>
              <w:left w:w="0" w:type="dxa"/>
              <w:bottom w:w="0" w:type="dxa"/>
              <w:right w:w="0" w:type="dxa"/>
            </w:tcMar>
            <w:vAlign w:val="center"/>
          </w:tcPr>
          <w:p w14:paraId="2055F11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267 (21.8%)</w:t>
            </w:r>
          </w:p>
        </w:tc>
        <w:tc>
          <w:tcPr>
            <w:tcW w:w="1354" w:type="dxa"/>
            <w:tcBorders>
              <w:top w:val="nil"/>
              <w:bottom w:val="nil"/>
            </w:tcBorders>
            <w:tcMar>
              <w:top w:w="0" w:type="dxa"/>
              <w:left w:w="0" w:type="dxa"/>
              <w:bottom w:w="0" w:type="dxa"/>
              <w:right w:w="0" w:type="dxa"/>
            </w:tcMar>
            <w:vAlign w:val="center"/>
          </w:tcPr>
          <w:p w14:paraId="1C0F0F2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0.406</w:t>
            </w:r>
          </w:p>
        </w:tc>
        <w:tc>
          <w:tcPr>
            <w:tcW w:w="1830" w:type="dxa"/>
            <w:tcBorders>
              <w:top w:val="nil"/>
              <w:bottom w:val="nil"/>
            </w:tcBorders>
            <w:tcMar>
              <w:top w:w="0" w:type="dxa"/>
              <w:left w:w="0" w:type="dxa"/>
              <w:bottom w:w="0" w:type="dxa"/>
              <w:right w:w="0" w:type="dxa"/>
            </w:tcMar>
            <w:vAlign w:val="center"/>
          </w:tcPr>
          <w:p w14:paraId="08C4C7B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0.028</w:t>
            </w:r>
          </w:p>
        </w:tc>
        <w:tc>
          <w:tcPr>
            <w:tcW w:w="1834" w:type="dxa"/>
            <w:tcBorders>
              <w:top w:val="nil"/>
              <w:bottom w:val="nil"/>
            </w:tcBorders>
            <w:tcMar>
              <w:top w:w="0" w:type="dxa"/>
              <w:left w:w="0" w:type="dxa"/>
              <w:bottom w:w="0" w:type="dxa"/>
              <w:right w:w="0" w:type="dxa"/>
            </w:tcMar>
            <w:vAlign w:val="center"/>
          </w:tcPr>
          <w:p w14:paraId="002ED06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0.007</w:t>
            </w:r>
          </w:p>
        </w:tc>
      </w:tr>
      <w:tr w:rsidR="002F52E7" w14:paraId="29A89FAB" w14:textId="77777777">
        <w:trPr>
          <w:jc w:val="center"/>
        </w:trPr>
        <w:tc>
          <w:tcPr>
            <w:tcW w:w="2499" w:type="dxa"/>
            <w:tcBorders>
              <w:top w:val="nil"/>
              <w:bottom w:val="nil"/>
            </w:tcBorders>
            <w:tcMar>
              <w:top w:w="0" w:type="dxa"/>
              <w:left w:w="0" w:type="dxa"/>
              <w:bottom w:w="0" w:type="dxa"/>
              <w:right w:w="0" w:type="dxa"/>
            </w:tcMar>
            <w:vAlign w:val="center"/>
          </w:tcPr>
          <w:p w14:paraId="1574783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Dementia,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3033FB5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114 (2.1%)</w:t>
            </w:r>
          </w:p>
        </w:tc>
        <w:tc>
          <w:tcPr>
            <w:tcW w:w="2205" w:type="dxa"/>
            <w:tcBorders>
              <w:top w:val="nil"/>
              <w:bottom w:val="nil"/>
            </w:tcBorders>
            <w:tcMar>
              <w:top w:w="0" w:type="dxa"/>
              <w:left w:w="0" w:type="dxa"/>
              <w:bottom w:w="0" w:type="dxa"/>
              <w:right w:w="0" w:type="dxa"/>
            </w:tcMar>
            <w:vAlign w:val="center"/>
          </w:tcPr>
          <w:p w14:paraId="553D348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81 (2.0%)</w:t>
            </w:r>
          </w:p>
        </w:tc>
        <w:tc>
          <w:tcPr>
            <w:tcW w:w="2325" w:type="dxa"/>
            <w:tcBorders>
              <w:top w:val="nil"/>
              <w:bottom w:val="nil"/>
            </w:tcBorders>
            <w:tcMar>
              <w:top w:w="0" w:type="dxa"/>
              <w:left w:w="0" w:type="dxa"/>
              <w:bottom w:w="0" w:type="dxa"/>
              <w:right w:w="0" w:type="dxa"/>
            </w:tcMar>
            <w:vAlign w:val="center"/>
          </w:tcPr>
          <w:p w14:paraId="2814302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33 (2.7%)</w:t>
            </w:r>
          </w:p>
        </w:tc>
        <w:tc>
          <w:tcPr>
            <w:tcW w:w="1354" w:type="dxa"/>
            <w:tcBorders>
              <w:top w:val="nil"/>
              <w:bottom w:val="nil"/>
            </w:tcBorders>
            <w:tcMar>
              <w:top w:w="0" w:type="dxa"/>
              <w:left w:w="0" w:type="dxa"/>
              <w:bottom w:w="0" w:type="dxa"/>
              <w:right w:w="0" w:type="dxa"/>
            </w:tcMar>
            <w:vAlign w:val="center"/>
          </w:tcPr>
          <w:p w14:paraId="2988023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0.145</w:t>
            </w:r>
          </w:p>
        </w:tc>
        <w:tc>
          <w:tcPr>
            <w:tcW w:w="1830" w:type="dxa"/>
            <w:tcBorders>
              <w:top w:val="nil"/>
              <w:bottom w:val="nil"/>
            </w:tcBorders>
            <w:tcMar>
              <w:top w:w="0" w:type="dxa"/>
              <w:left w:w="0" w:type="dxa"/>
              <w:bottom w:w="0" w:type="dxa"/>
              <w:right w:w="0" w:type="dxa"/>
            </w:tcMar>
            <w:vAlign w:val="center"/>
          </w:tcPr>
          <w:p w14:paraId="61CAAF3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0.049</w:t>
            </w:r>
          </w:p>
        </w:tc>
        <w:tc>
          <w:tcPr>
            <w:tcW w:w="1834" w:type="dxa"/>
            <w:tcBorders>
              <w:top w:val="nil"/>
              <w:bottom w:val="nil"/>
            </w:tcBorders>
            <w:tcMar>
              <w:top w:w="0" w:type="dxa"/>
              <w:left w:w="0" w:type="dxa"/>
              <w:bottom w:w="0" w:type="dxa"/>
              <w:right w:w="0" w:type="dxa"/>
            </w:tcMar>
            <w:vAlign w:val="center"/>
          </w:tcPr>
          <w:p w14:paraId="37B158C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0.010</w:t>
            </w:r>
          </w:p>
        </w:tc>
      </w:tr>
      <w:tr w:rsidR="002F52E7" w14:paraId="4199EC7D" w14:textId="77777777">
        <w:trPr>
          <w:jc w:val="center"/>
        </w:trPr>
        <w:tc>
          <w:tcPr>
            <w:tcW w:w="2499" w:type="dxa"/>
            <w:tcBorders>
              <w:top w:val="nil"/>
              <w:bottom w:val="nil"/>
            </w:tcBorders>
            <w:tcMar>
              <w:top w:w="0" w:type="dxa"/>
              <w:left w:w="0" w:type="dxa"/>
              <w:bottom w:w="0" w:type="dxa"/>
              <w:right w:w="0" w:type="dxa"/>
            </w:tcMar>
            <w:vAlign w:val="center"/>
          </w:tcPr>
          <w:p w14:paraId="45022BE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Chronic pulmonary disease,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7F5A188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1205 (22.5%)</w:t>
            </w:r>
          </w:p>
        </w:tc>
        <w:tc>
          <w:tcPr>
            <w:tcW w:w="2205" w:type="dxa"/>
            <w:tcBorders>
              <w:top w:val="nil"/>
              <w:bottom w:val="nil"/>
            </w:tcBorders>
            <w:tcMar>
              <w:top w:w="0" w:type="dxa"/>
              <w:left w:w="0" w:type="dxa"/>
              <w:bottom w:w="0" w:type="dxa"/>
              <w:right w:w="0" w:type="dxa"/>
            </w:tcMar>
            <w:vAlign w:val="center"/>
          </w:tcPr>
          <w:p w14:paraId="3E6BB8F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914 (22.1%)</w:t>
            </w:r>
          </w:p>
        </w:tc>
        <w:tc>
          <w:tcPr>
            <w:tcW w:w="2325" w:type="dxa"/>
            <w:tcBorders>
              <w:top w:val="nil"/>
              <w:bottom w:val="nil"/>
            </w:tcBorders>
            <w:tcMar>
              <w:top w:w="0" w:type="dxa"/>
              <w:left w:w="0" w:type="dxa"/>
              <w:bottom w:w="0" w:type="dxa"/>
              <w:right w:w="0" w:type="dxa"/>
            </w:tcMar>
            <w:vAlign w:val="center"/>
          </w:tcPr>
          <w:p w14:paraId="45A32E4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291 (23.8%)</w:t>
            </w:r>
          </w:p>
        </w:tc>
        <w:tc>
          <w:tcPr>
            <w:tcW w:w="1354" w:type="dxa"/>
            <w:tcBorders>
              <w:top w:val="nil"/>
              <w:bottom w:val="nil"/>
            </w:tcBorders>
            <w:tcMar>
              <w:top w:w="0" w:type="dxa"/>
              <w:left w:w="0" w:type="dxa"/>
              <w:bottom w:w="0" w:type="dxa"/>
              <w:right w:w="0" w:type="dxa"/>
            </w:tcMar>
            <w:vAlign w:val="center"/>
          </w:tcPr>
          <w:p w14:paraId="20321D4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0.236</w:t>
            </w:r>
          </w:p>
        </w:tc>
        <w:tc>
          <w:tcPr>
            <w:tcW w:w="1830" w:type="dxa"/>
            <w:tcBorders>
              <w:top w:val="nil"/>
              <w:bottom w:val="nil"/>
            </w:tcBorders>
            <w:tcMar>
              <w:top w:w="0" w:type="dxa"/>
              <w:left w:w="0" w:type="dxa"/>
              <w:bottom w:w="0" w:type="dxa"/>
              <w:right w:w="0" w:type="dxa"/>
            </w:tcMar>
            <w:vAlign w:val="center"/>
          </w:tcPr>
          <w:p w14:paraId="3D99DFF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0.040</w:t>
            </w:r>
          </w:p>
        </w:tc>
        <w:tc>
          <w:tcPr>
            <w:tcW w:w="1834" w:type="dxa"/>
            <w:tcBorders>
              <w:top w:val="nil"/>
              <w:bottom w:val="nil"/>
            </w:tcBorders>
            <w:tcMar>
              <w:top w:w="0" w:type="dxa"/>
              <w:left w:w="0" w:type="dxa"/>
              <w:bottom w:w="0" w:type="dxa"/>
              <w:right w:w="0" w:type="dxa"/>
            </w:tcMar>
            <w:vAlign w:val="center"/>
          </w:tcPr>
          <w:p w14:paraId="5332094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0.048</w:t>
            </w:r>
          </w:p>
        </w:tc>
      </w:tr>
      <w:tr w:rsidR="002F52E7" w14:paraId="0FCC6244" w14:textId="77777777">
        <w:trPr>
          <w:jc w:val="center"/>
        </w:trPr>
        <w:tc>
          <w:tcPr>
            <w:tcW w:w="2499" w:type="dxa"/>
            <w:tcBorders>
              <w:top w:val="nil"/>
              <w:bottom w:val="nil"/>
            </w:tcBorders>
            <w:tcMar>
              <w:top w:w="0" w:type="dxa"/>
              <w:left w:w="0" w:type="dxa"/>
              <w:bottom w:w="0" w:type="dxa"/>
              <w:right w:w="0" w:type="dxa"/>
            </w:tcMar>
            <w:vAlign w:val="center"/>
          </w:tcPr>
          <w:p w14:paraId="4912442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Mild liver disease,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5CCCCC8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195 (3.6%)</w:t>
            </w:r>
          </w:p>
        </w:tc>
        <w:tc>
          <w:tcPr>
            <w:tcW w:w="2205" w:type="dxa"/>
            <w:tcBorders>
              <w:top w:val="nil"/>
              <w:bottom w:val="nil"/>
            </w:tcBorders>
            <w:tcMar>
              <w:top w:w="0" w:type="dxa"/>
              <w:left w:w="0" w:type="dxa"/>
              <w:bottom w:w="0" w:type="dxa"/>
              <w:right w:w="0" w:type="dxa"/>
            </w:tcMar>
            <w:vAlign w:val="center"/>
          </w:tcPr>
          <w:p w14:paraId="37D0354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136 (3.3%)</w:t>
            </w:r>
          </w:p>
        </w:tc>
        <w:tc>
          <w:tcPr>
            <w:tcW w:w="2325" w:type="dxa"/>
            <w:tcBorders>
              <w:top w:val="nil"/>
              <w:bottom w:val="nil"/>
            </w:tcBorders>
            <w:tcMar>
              <w:top w:w="0" w:type="dxa"/>
              <w:left w:w="0" w:type="dxa"/>
              <w:bottom w:w="0" w:type="dxa"/>
              <w:right w:w="0" w:type="dxa"/>
            </w:tcMar>
            <w:vAlign w:val="center"/>
          </w:tcPr>
          <w:p w14:paraId="4997FE5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59 (4.8%)</w:t>
            </w:r>
          </w:p>
        </w:tc>
        <w:tc>
          <w:tcPr>
            <w:tcW w:w="1354" w:type="dxa"/>
            <w:tcBorders>
              <w:top w:val="nil"/>
              <w:bottom w:val="nil"/>
            </w:tcBorders>
            <w:tcMar>
              <w:top w:w="0" w:type="dxa"/>
              <w:left w:w="0" w:type="dxa"/>
              <w:bottom w:w="0" w:type="dxa"/>
              <w:right w:w="0" w:type="dxa"/>
            </w:tcMar>
            <w:vAlign w:val="center"/>
          </w:tcPr>
          <w:p w14:paraId="67062A5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0.015</w:t>
            </w:r>
          </w:p>
        </w:tc>
        <w:tc>
          <w:tcPr>
            <w:tcW w:w="1830" w:type="dxa"/>
            <w:tcBorders>
              <w:top w:val="nil"/>
              <w:bottom w:val="nil"/>
            </w:tcBorders>
            <w:tcMar>
              <w:top w:w="0" w:type="dxa"/>
              <w:left w:w="0" w:type="dxa"/>
              <w:bottom w:w="0" w:type="dxa"/>
              <w:right w:w="0" w:type="dxa"/>
            </w:tcMar>
            <w:vAlign w:val="center"/>
          </w:tcPr>
          <w:p w14:paraId="729470A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0.078</w:t>
            </w:r>
          </w:p>
        </w:tc>
        <w:tc>
          <w:tcPr>
            <w:tcW w:w="1834" w:type="dxa"/>
            <w:tcBorders>
              <w:top w:val="nil"/>
              <w:bottom w:val="nil"/>
            </w:tcBorders>
            <w:tcMar>
              <w:top w:w="0" w:type="dxa"/>
              <w:left w:w="0" w:type="dxa"/>
              <w:bottom w:w="0" w:type="dxa"/>
              <w:right w:w="0" w:type="dxa"/>
            </w:tcMar>
            <w:vAlign w:val="center"/>
          </w:tcPr>
          <w:p w14:paraId="43B19C7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0.037</w:t>
            </w:r>
          </w:p>
        </w:tc>
      </w:tr>
      <w:tr w:rsidR="002F52E7" w14:paraId="47CBB78A" w14:textId="77777777">
        <w:trPr>
          <w:jc w:val="center"/>
        </w:trPr>
        <w:tc>
          <w:tcPr>
            <w:tcW w:w="2499" w:type="dxa"/>
            <w:tcBorders>
              <w:top w:val="nil"/>
              <w:bottom w:val="nil"/>
            </w:tcBorders>
            <w:tcMar>
              <w:top w:w="0" w:type="dxa"/>
              <w:left w:w="0" w:type="dxa"/>
              <w:bottom w:w="0" w:type="dxa"/>
              <w:right w:w="0" w:type="dxa"/>
            </w:tcMar>
            <w:vAlign w:val="center"/>
          </w:tcPr>
          <w:p w14:paraId="2EE286C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Paraplegia,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435A0D8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361 (6.7%)</w:t>
            </w:r>
          </w:p>
        </w:tc>
        <w:tc>
          <w:tcPr>
            <w:tcW w:w="2205" w:type="dxa"/>
            <w:tcBorders>
              <w:top w:val="nil"/>
              <w:bottom w:val="nil"/>
            </w:tcBorders>
            <w:tcMar>
              <w:top w:w="0" w:type="dxa"/>
              <w:left w:w="0" w:type="dxa"/>
              <w:bottom w:w="0" w:type="dxa"/>
              <w:right w:w="0" w:type="dxa"/>
            </w:tcMar>
            <w:vAlign w:val="center"/>
          </w:tcPr>
          <w:p w14:paraId="70C5266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263 (6.4%)</w:t>
            </w:r>
          </w:p>
        </w:tc>
        <w:tc>
          <w:tcPr>
            <w:tcW w:w="2325" w:type="dxa"/>
            <w:tcBorders>
              <w:top w:val="nil"/>
              <w:bottom w:val="nil"/>
            </w:tcBorders>
            <w:tcMar>
              <w:top w:w="0" w:type="dxa"/>
              <w:left w:w="0" w:type="dxa"/>
              <w:bottom w:w="0" w:type="dxa"/>
              <w:right w:w="0" w:type="dxa"/>
            </w:tcMar>
            <w:vAlign w:val="center"/>
          </w:tcPr>
          <w:p w14:paraId="565FA9D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98 (8.0%)</w:t>
            </w:r>
          </w:p>
        </w:tc>
        <w:tc>
          <w:tcPr>
            <w:tcW w:w="1354" w:type="dxa"/>
            <w:tcBorders>
              <w:top w:val="nil"/>
              <w:bottom w:val="nil"/>
            </w:tcBorders>
            <w:tcMar>
              <w:top w:w="0" w:type="dxa"/>
              <w:left w:w="0" w:type="dxa"/>
              <w:bottom w:w="0" w:type="dxa"/>
              <w:right w:w="0" w:type="dxa"/>
            </w:tcMar>
            <w:vAlign w:val="center"/>
          </w:tcPr>
          <w:p w14:paraId="2F0293C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0.051</w:t>
            </w:r>
          </w:p>
        </w:tc>
        <w:tc>
          <w:tcPr>
            <w:tcW w:w="1830" w:type="dxa"/>
            <w:tcBorders>
              <w:top w:val="nil"/>
              <w:bottom w:val="nil"/>
            </w:tcBorders>
            <w:tcMar>
              <w:top w:w="0" w:type="dxa"/>
              <w:left w:w="0" w:type="dxa"/>
              <w:bottom w:w="0" w:type="dxa"/>
              <w:right w:w="0" w:type="dxa"/>
            </w:tcMar>
            <w:vAlign w:val="center"/>
          </w:tcPr>
          <w:p w14:paraId="10EB7BB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0.064</w:t>
            </w:r>
          </w:p>
        </w:tc>
        <w:tc>
          <w:tcPr>
            <w:tcW w:w="1834" w:type="dxa"/>
            <w:tcBorders>
              <w:top w:val="nil"/>
              <w:bottom w:val="nil"/>
            </w:tcBorders>
            <w:tcMar>
              <w:top w:w="0" w:type="dxa"/>
              <w:left w:w="0" w:type="dxa"/>
              <w:bottom w:w="0" w:type="dxa"/>
              <w:right w:w="0" w:type="dxa"/>
            </w:tcMar>
            <w:vAlign w:val="center"/>
          </w:tcPr>
          <w:p w14:paraId="34F5766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0.040</w:t>
            </w:r>
          </w:p>
        </w:tc>
      </w:tr>
      <w:tr w:rsidR="002F52E7" w14:paraId="2EFFCDC2" w14:textId="77777777">
        <w:trPr>
          <w:jc w:val="center"/>
        </w:trPr>
        <w:tc>
          <w:tcPr>
            <w:tcW w:w="2499" w:type="dxa"/>
            <w:tcBorders>
              <w:top w:val="nil"/>
              <w:bottom w:val="nil"/>
            </w:tcBorders>
            <w:tcMar>
              <w:top w:w="0" w:type="dxa"/>
              <w:left w:w="0" w:type="dxa"/>
              <w:bottom w:w="0" w:type="dxa"/>
              <w:right w:w="0" w:type="dxa"/>
            </w:tcMar>
            <w:vAlign w:val="center"/>
          </w:tcPr>
          <w:p w14:paraId="6D4D017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Acute kidney injury,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3E3E5EB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1890 (35.2%)</w:t>
            </w:r>
          </w:p>
        </w:tc>
        <w:tc>
          <w:tcPr>
            <w:tcW w:w="2205" w:type="dxa"/>
            <w:tcBorders>
              <w:top w:val="nil"/>
              <w:bottom w:val="nil"/>
            </w:tcBorders>
            <w:tcMar>
              <w:top w:w="0" w:type="dxa"/>
              <w:left w:w="0" w:type="dxa"/>
              <w:bottom w:w="0" w:type="dxa"/>
              <w:right w:w="0" w:type="dxa"/>
            </w:tcMar>
            <w:vAlign w:val="center"/>
          </w:tcPr>
          <w:p w14:paraId="79C471B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1374 (33.2%)</w:t>
            </w:r>
          </w:p>
        </w:tc>
        <w:tc>
          <w:tcPr>
            <w:tcW w:w="2325" w:type="dxa"/>
            <w:tcBorders>
              <w:top w:val="nil"/>
              <w:bottom w:val="nil"/>
            </w:tcBorders>
            <w:tcMar>
              <w:top w:w="0" w:type="dxa"/>
              <w:left w:w="0" w:type="dxa"/>
              <w:bottom w:w="0" w:type="dxa"/>
              <w:right w:w="0" w:type="dxa"/>
            </w:tcMar>
            <w:vAlign w:val="center"/>
          </w:tcPr>
          <w:p w14:paraId="004B4E2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516 (42.1%)</w:t>
            </w:r>
          </w:p>
        </w:tc>
        <w:tc>
          <w:tcPr>
            <w:tcW w:w="1354" w:type="dxa"/>
            <w:tcBorders>
              <w:top w:val="nil"/>
              <w:bottom w:val="nil"/>
            </w:tcBorders>
            <w:tcMar>
              <w:top w:w="0" w:type="dxa"/>
              <w:left w:w="0" w:type="dxa"/>
              <w:bottom w:w="0" w:type="dxa"/>
              <w:right w:w="0" w:type="dxa"/>
            </w:tcMar>
            <w:vAlign w:val="center"/>
          </w:tcPr>
          <w:p w14:paraId="6401EB8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38B5B78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0.185</w:t>
            </w:r>
          </w:p>
        </w:tc>
        <w:tc>
          <w:tcPr>
            <w:tcW w:w="1834" w:type="dxa"/>
            <w:tcBorders>
              <w:top w:val="nil"/>
              <w:bottom w:val="nil"/>
            </w:tcBorders>
            <w:tcMar>
              <w:top w:w="0" w:type="dxa"/>
              <w:left w:w="0" w:type="dxa"/>
              <w:bottom w:w="0" w:type="dxa"/>
              <w:right w:w="0" w:type="dxa"/>
            </w:tcMar>
            <w:vAlign w:val="center"/>
          </w:tcPr>
          <w:p w14:paraId="2E4F306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r>
      <w:tr w:rsidR="002F52E7" w14:paraId="6337A85B" w14:textId="77777777">
        <w:trPr>
          <w:jc w:val="center"/>
        </w:trPr>
        <w:tc>
          <w:tcPr>
            <w:tcW w:w="2499" w:type="dxa"/>
            <w:tcBorders>
              <w:top w:val="nil"/>
              <w:bottom w:val="nil"/>
            </w:tcBorders>
            <w:tcMar>
              <w:top w:w="0" w:type="dxa"/>
              <w:left w:w="0" w:type="dxa"/>
              <w:bottom w:w="0" w:type="dxa"/>
              <w:right w:w="0" w:type="dxa"/>
            </w:tcMar>
            <w:vAlign w:val="center"/>
          </w:tcPr>
          <w:p w14:paraId="2685611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Chronic kidney Disease,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65EBAD5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1334 (24.9%)</w:t>
            </w:r>
          </w:p>
        </w:tc>
        <w:tc>
          <w:tcPr>
            <w:tcW w:w="2205" w:type="dxa"/>
            <w:tcBorders>
              <w:top w:val="nil"/>
              <w:bottom w:val="nil"/>
            </w:tcBorders>
            <w:tcMar>
              <w:top w:w="0" w:type="dxa"/>
              <w:left w:w="0" w:type="dxa"/>
              <w:bottom w:w="0" w:type="dxa"/>
              <w:right w:w="0" w:type="dxa"/>
            </w:tcMar>
            <w:vAlign w:val="center"/>
          </w:tcPr>
          <w:p w14:paraId="1D65BC9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941 (22.7%)</w:t>
            </w:r>
          </w:p>
        </w:tc>
        <w:tc>
          <w:tcPr>
            <w:tcW w:w="2325" w:type="dxa"/>
            <w:tcBorders>
              <w:top w:val="nil"/>
              <w:bottom w:val="nil"/>
            </w:tcBorders>
            <w:tcMar>
              <w:top w:w="0" w:type="dxa"/>
              <w:left w:w="0" w:type="dxa"/>
              <w:bottom w:w="0" w:type="dxa"/>
              <w:right w:w="0" w:type="dxa"/>
            </w:tcMar>
            <w:vAlign w:val="center"/>
          </w:tcPr>
          <w:p w14:paraId="6300F2D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393 (32.1%)</w:t>
            </w:r>
          </w:p>
        </w:tc>
        <w:tc>
          <w:tcPr>
            <w:tcW w:w="1354" w:type="dxa"/>
            <w:tcBorders>
              <w:top w:val="nil"/>
              <w:bottom w:val="nil"/>
            </w:tcBorders>
            <w:tcMar>
              <w:top w:w="0" w:type="dxa"/>
              <w:left w:w="0" w:type="dxa"/>
              <w:bottom w:w="0" w:type="dxa"/>
              <w:right w:w="0" w:type="dxa"/>
            </w:tcMar>
            <w:vAlign w:val="center"/>
          </w:tcPr>
          <w:p w14:paraId="3670802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14F19A3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0.210</w:t>
            </w:r>
          </w:p>
        </w:tc>
        <w:tc>
          <w:tcPr>
            <w:tcW w:w="1834" w:type="dxa"/>
            <w:tcBorders>
              <w:top w:val="nil"/>
              <w:bottom w:val="nil"/>
            </w:tcBorders>
            <w:tcMar>
              <w:top w:w="0" w:type="dxa"/>
              <w:left w:w="0" w:type="dxa"/>
              <w:bottom w:w="0" w:type="dxa"/>
              <w:right w:w="0" w:type="dxa"/>
            </w:tcMar>
            <w:vAlign w:val="center"/>
          </w:tcPr>
          <w:p w14:paraId="13B6B48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0.031</w:t>
            </w:r>
          </w:p>
        </w:tc>
      </w:tr>
      <w:tr w:rsidR="002F52E7" w14:paraId="05395334" w14:textId="77777777">
        <w:trPr>
          <w:jc w:val="center"/>
        </w:trPr>
        <w:tc>
          <w:tcPr>
            <w:tcW w:w="2499" w:type="dxa"/>
            <w:tcBorders>
              <w:top w:val="nil"/>
              <w:bottom w:val="nil"/>
            </w:tcBorders>
            <w:tcMar>
              <w:top w:w="0" w:type="dxa"/>
              <w:left w:w="0" w:type="dxa"/>
              <w:bottom w:w="0" w:type="dxa"/>
              <w:right w:w="0" w:type="dxa"/>
            </w:tcMar>
            <w:vAlign w:val="center"/>
          </w:tcPr>
          <w:p w14:paraId="69428FAF"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CRRT,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398F2A9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137 (2.6%)</w:t>
            </w:r>
          </w:p>
        </w:tc>
        <w:tc>
          <w:tcPr>
            <w:tcW w:w="2205" w:type="dxa"/>
            <w:tcBorders>
              <w:top w:val="nil"/>
              <w:bottom w:val="nil"/>
            </w:tcBorders>
            <w:tcMar>
              <w:top w:w="0" w:type="dxa"/>
              <w:left w:w="0" w:type="dxa"/>
              <w:bottom w:w="0" w:type="dxa"/>
              <w:right w:w="0" w:type="dxa"/>
            </w:tcMar>
            <w:vAlign w:val="center"/>
          </w:tcPr>
          <w:p w14:paraId="446243B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76 (1.8%)</w:t>
            </w:r>
          </w:p>
        </w:tc>
        <w:tc>
          <w:tcPr>
            <w:tcW w:w="2325" w:type="dxa"/>
            <w:tcBorders>
              <w:top w:val="nil"/>
              <w:bottom w:val="nil"/>
            </w:tcBorders>
            <w:tcMar>
              <w:top w:w="0" w:type="dxa"/>
              <w:left w:w="0" w:type="dxa"/>
              <w:bottom w:w="0" w:type="dxa"/>
              <w:right w:w="0" w:type="dxa"/>
            </w:tcMar>
            <w:vAlign w:val="center"/>
          </w:tcPr>
          <w:p w14:paraId="08CCA14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61 (5.0%)</w:t>
            </w:r>
          </w:p>
        </w:tc>
        <w:tc>
          <w:tcPr>
            <w:tcW w:w="1354" w:type="dxa"/>
            <w:tcBorders>
              <w:top w:val="nil"/>
              <w:bottom w:val="nil"/>
            </w:tcBorders>
            <w:tcMar>
              <w:top w:w="0" w:type="dxa"/>
              <w:left w:w="0" w:type="dxa"/>
              <w:bottom w:w="0" w:type="dxa"/>
              <w:right w:w="0" w:type="dxa"/>
            </w:tcMar>
            <w:vAlign w:val="center"/>
          </w:tcPr>
          <w:p w14:paraId="2D547D9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1D63887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0.174</w:t>
            </w:r>
          </w:p>
        </w:tc>
        <w:tc>
          <w:tcPr>
            <w:tcW w:w="1834" w:type="dxa"/>
            <w:tcBorders>
              <w:top w:val="nil"/>
              <w:bottom w:val="nil"/>
            </w:tcBorders>
            <w:tcMar>
              <w:top w:w="0" w:type="dxa"/>
              <w:left w:w="0" w:type="dxa"/>
              <w:bottom w:w="0" w:type="dxa"/>
              <w:right w:w="0" w:type="dxa"/>
            </w:tcMar>
            <w:vAlign w:val="center"/>
          </w:tcPr>
          <w:p w14:paraId="0E76F8F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0.014</w:t>
            </w:r>
          </w:p>
        </w:tc>
      </w:tr>
      <w:tr w:rsidR="002F52E7" w14:paraId="64F877A1" w14:textId="77777777">
        <w:trPr>
          <w:jc w:val="center"/>
        </w:trPr>
        <w:tc>
          <w:tcPr>
            <w:tcW w:w="2499" w:type="dxa"/>
            <w:tcBorders>
              <w:top w:val="nil"/>
              <w:bottom w:val="nil"/>
            </w:tcBorders>
            <w:tcMar>
              <w:top w:w="0" w:type="dxa"/>
              <w:left w:w="0" w:type="dxa"/>
              <w:bottom w:w="0" w:type="dxa"/>
              <w:right w:w="0" w:type="dxa"/>
            </w:tcMar>
            <w:vAlign w:val="center"/>
          </w:tcPr>
          <w:p w14:paraId="0339ABF7"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Ventilations,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5686CD7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247 (4.6%)</w:t>
            </w:r>
          </w:p>
        </w:tc>
        <w:tc>
          <w:tcPr>
            <w:tcW w:w="2205" w:type="dxa"/>
            <w:tcBorders>
              <w:top w:val="nil"/>
              <w:bottom w:val="nil"/>
            </w:tcBorders>
            <w:tcMar>
              <w:top w:w="0" w:type="dxa"/>
              <w:left w:w="0" w:type="dxa"/>
              <w:bottom w:w="0" w:type="dxa"/>
              <w:right w:w="0" w:type="dxa"/>
            </w:tcMar>
            <w:vAlign w:val="center"/>
          </w:tcPr>
          <w:p w14:paraId="0C84301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161 (3.9%)</w:t>
            </w:r>
          </w:p>
        </w:tc>
        <w:tc>
          <w:tcPr>
            <w:tcW w:w="2325" w:type="dxa"/>
            <w:tcBorders>
              <w:top w:val="nil"/>
              <w:bottom w:val="nil"/>
            </w:tcBorders>
            <w:tcMar>
              <w:top w:w="0" w:type="dxa"/>
              <w:left w:w="0" w:type="dxa"/>
              <w:bottom w:w="0" w:type="dxa"/>
              <w:right w:w="0" w:type="dxa"/>
            </w:tcMar>
            <w:vAlign w:val="center"/>
          </w:tcPr>
          <w:p w14:paraId="46348F4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86 (7.0%)</w:t>
            </w:r>
          </w:p>
        </w:tc>
        <w:tc>
          <w:tcPr>
            <w:tcW w:w="1354" w:type="dxa"/>
            <w:tcBorders>
              <w:top w:val="nil"/>
              <w:bottom w:val="nil"/>
            </w:tcBorders>
            <w:tcMar>
              <w:top w:w="0" w:type="dxa"/>
              <w:left w:w="0" w:type="dxa"/>
              <w:bottom w:w="0" w:type="dxa"/>
              <w:right w:w="0" w:type="dxa"/>
            </w:tcMar>
            <w:vAlign w:val="center"/>
          </w:tcPr>
          <w:p w14:paraId="6969A33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14A7113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0.138</w:t>
            </w:r>
          </w:p>
        </w:tc>
        <w:tc>
          <w:tcPr>
            <w:tcW w:w="1834" w:type="dxa"/>
            <w:tcBorders>
              <w:top w:val="nil"/>
              <w:bottom w:val="nil"/>
            </w:tcBorders>
            <w:tcMar>
              <w:top w:w="0" w:type="dxa"/>
              <w:left w:w="0" w:type="dxa"/>
              <w:bottom w:w="0" w:type="dxa"/>
              <w:right w:w="0" w:type="dxa"/>
            </w:tcMar>
            <w:vAlign w:val="center"/>
          </w:tcPr>
          <w:p w14:paraId="684CCA4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0.032</w:t>
            </w:r>
          </w:p>
        </w:tc>
      </w:tr>
      <w:tr w:rsidR="002F52E7" w14:paraId="30E429EC" w14:textId="77777777">
        <w:trPr>
          <w:jc w:val="center"/>
        </w:trPr>
        <w:tc>
          <w:tcPr>
            <w:tcW w:w="2499" w:type="dxa"/>
            <w:tcBorders>
              <w:top w:val="nil"/>
              <w:bottom w:val="nil"/>
            </w:tcBorders>
            <w:tcMar>
              <w:top w:w="0" w:type="dxa"/>
              <w:left w:w="0" w:type="dxa"/>
              <w:bottom w:w="0" w:type="dxa"/>
              <w:right w:w="0" w:type="dxa"/>
            </w:tcMar>
            <w:vAlign w:val="center"/>
          </w:tcPr>
          <w:p w14:paraId="2B124F0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ACER/ARB,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786E9CD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3370 (62.8%)</w:t>
            </w:r>
          </w:p>
        </w:tc>
        <w:tc>
          <w:tcPr>
            <w:tcW w:w="2205" w:type="dxa"/>
            <w:tcBorders>
              <w:top w:val="nil"/>
              <w:bottom w:val="nil"/>
            </w:tcBorders>
            <w:tcMar>
              <w:top w:w="0" w:type="dxa"/>
              <w:left w:w="0" w:type="dxa"/>
              <w:bottom w:w="0" w:type="dxa"/>
              <w:right w:w="0" w:type="dxa"/>
            </w:tcMar>
            <w:vAlign w:val="center"/>
          </w:tcPr>
          <w:p w14:paraId="4683505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2544 (61.5%)</w:t>
            </w:r>
          </w:p>
        </w:tc>
        <w:tc>
          <w:tcPr>
            <w:tcW w:w="2325" w:type="dxa"/>
            <w:tcBorders>
              <w:top w:val="nil"/>
              <w:bottom w:val="nil"/>
            </w:tcBorders>
            <w:tcMar>
              <w:top w:w="0" w:type="dxa"/>
              <w:left w:w="0" w:type="dxa"/>
              <w:bottom w:w="0" w:type="dxa"/>
              <w:right w:w="0" w:type="dxa"/>
            </w:tcMar>
            <w:vAlign w:val="center"/>
          </w:tcPr>
          <w:p w14:paraId="36AD5BC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826 (67.4%)</w:t>
            </w:r>
          </w:p>
        </w:tc>
        <w:tc>
          <w:tcPr>
            <w:tcW w:w="1354" w:type="dxa"/>
            <w:tcBorders>
              <w:top w:val="nil"/>
              <w:bottom w:val="nil"/>
            </w:tcBorders>
            <w:tcMar>
              <w:top w:w="0" w:type="dxa"/>
              <w:left w:w="0" w:type="dxa"/>
              <w:bottom w:w="0" w:type="dxa"/>
              <w:right w:w="0" w:type="dxa"/>
            </w:tcMar>
            <w:vAlign w:val="center"/>
          </w:tcPr>
          <w:p w14:paraId="33A733D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307CA8A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0.124</w:t>
            </w:r>
          </w:p>
        </w:tc>
        <w:tc>
          <w:tcPr>
            <w:tcW w:w="1834" w:type="dxa"/>
            <w:tcBorders>
              <w:top w:val="nil"/>
              <w:bottom w:val="nil"/>
            </w:tcBorders>
            <w:tcMar>
              <w:top w:w="0" w:type="dxa"/>
              <w:left w:w="0" w:type="dxa"/>
              <w:bottom w:w="0" w:type="dxa"/>
              <w:right w:w="0" w:type="dxa"/>
            </w:tcMar>
            <w:vAlign w:val="center"/>
          </w:tcPr>
          <w:p w14:paraId="395FF26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0.014</w:t>
            </w:r>
          </w:p>
        </w:tc>
      </w:tr>
      <w:tr w:rsidR="002F52E7" w14:paraId="7ABABF61" w14:textId="77777777">
        <w:trPr>
          <w:jc w:val="center"/>
        </w:trPr>
        <w:tc>
          <w:tcPr>
            <w:tcW w:w="2499" w:type="dxa"/>
            <w:tcBorders>
              <w:top w:val="nil"/>
              <w:bottom w:val="nil"/>
            </w:tcBorders>
            <w:tcMar>
              <w:top w:w="0" w:type="dxa"/>
              <w:left w:w="0" w:type="dxa"/>
              <w:bottom w:w="0" w:type="dxa"/>
              <w:right w:w="0" w:type="dxa"/>
            </w:tcMar>
            <w:vAlign w:val="center"/>
          </w:tcPr>
          <w:p w14:paraId="3C2912E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Beta blockers,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0EC735C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4928 (91.9%)</w:t>
            </w:r>
          </w:p>
        </w:tc>
        <w:tc>
          <w:tcPr>
            <w:tcW w:w="2205" w:type="dxa"/>
            <w:tcBorders>
              <w:top w:val="nil"/>
              <w:bottom w:val="nil"/>
            </w:tcBorders>
            <w:tcMar>
              <w:top w:w="0" w:type="dxa"/>
              <w:left w:w="0" w:type="dxa"/>
              <w:bottom w:w="0" w:type="dxa"/>
              <w:right w:w="0" w:type="dxa"/>
            </w:tcMar>
            <w:vAlign w:val="center"/>
          </w:tcPr>
          <w:p w14:paraId="0B66276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3848 (93.0%)</w:t>
            </w:r>
          </w:p>
        </w:tc>
        <w:tc>
          <w:tcPr>
            <w:tcW w:w="2325" w:type="dxa"/>
            <w:tcBorders>
              <w:top w:val="nil"/>
              <w:bottom w:val="nil"/>
            </w:tcBorders>
            <w:tcMar>
              <w:top w:w="0" w:type="dxa"/>
              <w:left w:w="0" w:type="dxa"/>
              <w:bottom w:w="0" w:type="dxa"/>
              <w:right w:w="0" w:type="dxa"/>
            </w:tcMar>
            <w:vAlign w:val="center"/>
          </w:tcPr>
          <w:p w14:paraId="6902385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1080 (88.2%)</w:t>
            </w:r>
          </w:p>
        </w:tc>
        <w:tc>
          <w:tcPr>
            <w:tcW w:w="1354" w:type="dxa"/>
            <w:tcBorders>
              <w:top w:val="nil"/>
              <w:bottom w:val="nil"/>
            </w:tcBorders>
            <w:tcMar>
              <w:top w:w="0" w:type="dxa"/>
              <w:left w:w="0" w:type="dxa"/>
              <w:bottom w:w="0" w:type="dxa"/>
              <w:right w:w="0" w:type="dxa"/>
            </w:tcMar>
            <w:vAlign w:val="center"/>
          </w:tcPr>
          <w:p w14:paraId="1537411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03C9A62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0.167</w:t>
            </w:r>
          </w:p>
        </w:tc>
        <w:tc>
          <w:tcPr>
            <w:tcW w:w="1834" w:type="dxa"/>
            <w:tcBorders>
              <w:top w:val="nil"/>
              <w:bottom w:val="nil"/>
            </w:tcBorders>
            <w:tcMar>
              <w:top w:w="0" w:type="dxa"/>
              <w:left w:w="0" w:type="dxa"/>
              <w:bottom w:w="0" w:type="dxa"/>
              <w:right w:w="0" w:type="dxa"/>
            </w:tcMar>
            <w:vAlign w:val="center"/>
          </w:tcPr>
          <w:p w14:paraId="69F86EA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0.032</w:t>
            </w:r>
          </w:p>
        </w:tc>
      </w:tr>
      <w:tr w:rsidR="002F52E7" w14:paraId="7919C024" w14:textId="77777777">
        <w:trPr>
          <w:jc w:val="center"/>
        </w:trPr>
        <w:tc>
          <w:tcPr>
            <w:tcW w:w="2499" w:type="dxa"/>
            <w:tcBorders>
              <w:top w:val="nil"/>
              <w:bottom w:val="nil"/>
            </w:tcBorders>
            <w:tcMar>
              <w:top w:w="0" w:type="dxa"/>
              <w:left w:w="0" w:type="dxa"/>
              <w:bottom w:w="0" w:type="dxa"/>
              <w:right w:w="0" w:type="dxa"/>
            </w:tcMar>
            <w:vAlign w:val="center"/>
          </w:tcPr>
          <w:p w14:paraId="694CF8F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CCB,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48F7874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1104 (20.6%)</w:t>
            </w:r>
          </w:p>
        </w:tc>
        <w:tc>
          <w:tcPr>
            <w:tcW w:w="2205" w:type="dxa"/>
            <w:tcBorders>
              <w:top w:val="nil"/>
              <w:bottom w:val="nil"/>
            </w:tcBorders>
            <w:tcMar>
              <w:top w:w="0" w:type="dxa"/>
              <w:left w:w="0" w:type="dxa"/>
              <w:bottom w:w="0" w:type="dxa"/>
              <w:right w:w="0" w:type="dxa"/>
            </w:tcMar>
            <w:vAlign w:val="center"/>
          </w:tcPr>
          <w:p w14:paraId="5B0D721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866 (20.9%)</w:t>
            </w:r>
          </w:p>
        </w:tc>
        <w:tc>
          <w:tcPr>
            <w:tcW w:w="2325" w:type="dxa"/>
            <w:tcBorders>
              <w:top w:val="nil"/>
              <w:bottom w:val="nil"/>
            </w:tcBorders>
            <w:tcMar>
              <w:top w:w="0" w:type="dxa"/>
              <w:left w:w="0" w:type="dxa"/>
              <w:bottom w:w="0" w:type="dxa"/>
              <w:right w:w="0" w:type="dxa"/>
            </w:tcMar>
            <w:vAlign w:val="center"/>
          </w:tcPr>
          <w:p w14:paraId="2DDE477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238 (19.4%)</w:t>
            </w:r>
          </w:p>
        </w:tc>
        <w:tc>
          <w:tcPr>
            <w:tcW w:w="1354" w:type="dxa"/>
            <w:tcBorders>
              <w:top w:val="nil"/>
              <w:bottom w:val="nil"/>
            </w:tcBorders>
            <w:tcMar>
              <w:top w:w="0" w:type="dxa"/>
              <w:left w:w="0" w:type="dxa"/>
              <w:bottom w:w="0" w:type="dxa"/>
              <w:right w:w="0" w:type="dxa"/>
            </w:tcMar>
            <w:vAlign w:val="center"/>
          </w:tcPr>
          <w:p w14:paraId="4367ECF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0.270</w:t>
            </w:r>
          </w:p>
        </w:tc>
        <w:tc>
          <w:tcPr>
            <w:tcW w:w="1830" w:type="dxa"/>
            <w:tcBorders>
              <w:top w:val="nil"/>
              <w:bottom w:val="nil"/>
            </w:tcBorders>
            <w:tcMar>
              <w:top w:w="0" w:type="dxa"/>
              <w:left w:w="0" w:type="dxa"/>
              <w:bottom w:w="0" w:type="dxa"/>
              <w:right w:w="0" w:type="dxa"/>
            </w:tcMar>
            <w:vAlign w:val="center"/>
          </w:tcPr>
          <w:p w14:paraId="04FB29B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0.037</w:t>
            </w:r>
          </w:p>
        </w:tc>
        <w:tc>
          <w:tcPr>
            <w:tcW w:w="1834" w:type="dxa"/>
            <w:tcBorders>
              <w:top w:val="nil"/>
              <w:bottom w:val="nil"/>
            </w:tcBorders>
            <w:tcMar>
              <w:top w:w="0" w:type="dxa"/>
              <w:left w:w="0" w:type="dxa"/>
              <w:bottom w:w="0" w:type="dxa"/>
              <w:right w:w="0" w:type="dxa"/>
            </w:tcMar>
            <w:vAlign w:val="center"/>
          </w:tcPr>
          <w:p w14:paraId="327CCEE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0.021</w:t>
            </w:r>
          </w:p>
        </w:tc>
      </w:tr>
      <w:tr w:rsidR="002F52E7" w14:paraId="19DCC668" w14:textId="77777777">
        <w:trPr>
          <w:jc w:val="center"/>
        </w:trPr>
        <w:tc>
          <w:tcPr>
            <w:tcW w:w="2499" w:type="dxa"/>
            <w:tcBorders>
              <w:top w:val="nil"/>
              <w:bottom w:val="nil"/>
            </w:tcBorders>
            <w:tcMar>
              <w:top w:w="0" w:type="dxa"/>
              <w:left w:w="0" w:type="dxa"/>
              <w:bottom w:w="0" w:type="dxa"/>
              <w:right w:w="0" w:type="dxa"/>
            </w:tcMar>
            <w:vAlign w:val="center"/>
          </w:tcPr>
          <w:p w14:paraId="6BED1192"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proofErr w:type="spellStart"/>
            <w:r>
              <w:rPr>
                <w:rFonts w:ascii="Times New Roman" w:hAnsi="Times New Roman" w:cs="Times New Roman"/>
                <w:bCs/>
                <w:sz w:val="21"/>
                <w:szCs w:val="21"/>
              </w:rPr>
              <w:t>Astatin</w:t>
            </w:r>
            <w:proofErr w:type="spellEnd"/>
            <w:r>
              <w:rPr>
                <w:rFonts w:ascii="Times New Roman" w:hAnsi="Times New Roman" w:cs="Times New Roman"/>
                <w:bCs/>
                <w:sz w:val="21"/>
                <w:szCs w:val="21"/>
              </w:rPr>
              <w:t xml:space="preserve">,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nil"/>
            </w:tcBorders>
            <w:tcMar>
              <w:top w:w="0" w:type="dxa"/>
              <w:left w:w="0" w:type="dxa"/>
              <w:bottom w:w="0" w:type="dxa"/>
              <w:right w:w="0" w:type="dxa"/>
            </w:tcMar>
            <w:vAlign w:val="center"/>
          </w:tcPr>
          <w:p w14:paraId="00C80ED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4815 (89.8%)</w:t>
            </w:r>
          </w:p>
        </w:tc>
        <w:tc>
          <w:tcPr>
            <w:tcW w:w="2205" w:type="dxa"/>
            <w:tcBorders>
              <w:top w:val="nil"/>
              <w:bottom w:val="nil"/>
            </w:tcBorders>
            <w:tcMar>
              <w:top w:w="0" w:type="dxa"/>
              <w:left w:w="0" w:type="dxa"/>
              <w:bottom w:w="0" w:type="dxa"/>
              <w:right w:w="0" w:type="dxa"/>
            </w:tcMar>
            <w:vAlign w:val="center"/>
          </w:tcPr>
          <w:p w14:paraId="15EE313D"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3777 (91.3%)</w:t>
            </w:r>
          </w:p>
        </w:tc>
        <w:tc>
          <w:tcPr>
            <w:tcW w:w="2325" w:type="dxa"/>
            <w:tcBorders>
              <w:top w:val="nil"/>
              <w:bottom w:val="nil"/>
            </w:tcBorders>
            <w:tcMar>
              <w:top w:w="0" w:type="dxa"/>
              <w:left w:w="0" w:type="dxa"/>
              <w:bottom w:w="0" w:type="dxa"/>
              <w:right w:w="0" w:type="dxa"/>
            </w:tcMar>
            <w:vAlign w:val="center"/>
          </w:tcPr>
          <w:p w14:paraId="6DE3B08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1038 (84.7%)</w:t>
            </w:r>
          </w:p>
        </w:tc>
        <w:tc>
          <w:tcPr>
            <w:tcW w:w="1354" w:type="dxa"/>
            <w:tcBorders>
              <w:top w:val="nil"/>
              <w:bottom w:val="nil"/>
            </w:tcBorders>
            <w:tcMar>
              <w:top w:w="0" w:type="dxa"/>
              <w:left w:w="0" w:type="dxa"/>
              <w:bottom w:w="0" w:type="dxa"/>
              <w:right w:w="0" w:type="dxa"/>
            </w:tcMar>
            <w:vAlign w:val="center"/>
          </w:tcPr>
          <w:p w14:paraId="52F8E9D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nil"/>
            </w:tcBorders>
            <w:tcMar>
              <w:top w:w="0" w:type="dxa"/>
              <w:left w:w="0" w:type="dxa"/>
              <w:bottom w:w="0" w:type="dxa"/>
              <w:right w:w="0" w:type="dxa"/>
            </w:tcMar>
            <w:vAlign w:val="center"/>
          </w:tcPr>
          <w:p w14:paraId="322F28B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0.203</w:t>
            </w:r>
          </w:p>
        </w:tc>
        <w:tc>
          <w:tcPr>
            <w:tcW w:w="1834" w:type="dxa"/>
            <w:tcBorders>
              <w:top w:val="nil"/>
              <w:bottom w:val="nil"/>
            </w:tcBorders>
            <w:tcMar>
              <w:top w:w="0" w:type="dxa"/>
              <w:left w:w="0" w:type="dxa"/>
              <w:bottom w:w="0" w:type="dxa"/>
              <w:right w:w="0" w:type="dxa"/>
            </w:tcMar>
            <w:vAlign w:val="center"/>
          </w:tcPr>
          <w:p w14:paraId="563A690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0.185</w:t>
            </w:r>
          </w:p>
        </w:tc>
      </w:tr>
      <w:tr w:rsidR="002F52E7" w14:paraId="37DB2470" w14:textId="77777777">
        <w:trPr>
          <w:jc w:val="center"/>
        </w:trPr>
        <w:tc>
          <w:tcPr>
            <w:tcW w:w="2499" w:type="dxa"/>
            <w:tcBorders>
              <w:top w:val="nil"/>
              <w:bottom w:val="single" w:sz="12" w:space="0" w:color="000000" w:themeColor="text1"/>
            </w:tcBorders>
            <w:tcMar>
              <w:top w:w="0" w:type="dxa"/>
              <w:left w:w="0" w:type="dxa"/>
              <w:bottom w:w="0" w:type="dxa"/>
              <w:right w:w="0" w:type="dxa"/>
            </w:tcMar>
            <w:vAlign w:val="center"/>
          </w:tcPr>
          <w:p w14:paraId="45B43D7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right="60"/>
              <w:rPr>
                <w:rFonts w:ascii="Times New Roman" w:hAnsi="Times New Roman" w:cs="Times New Roman"/>
                <w:bCs/>
                <w:sz w:val="21"/>
                <w:szCs w:val="21"/>
              </w:rPr>
            </w:pPr>
            <w:r>
              <w:rPr>
                <w:rFonts w:ascii="Times New Roman" w:hAnsi="Times New Roman" w:cs="Times New Roman"/>
                <w:bCs/>
                <w:sz w:val="21"/>
                <w:szCs w:val="21"/>
              </w:rPr>
              <w:t xml:space="preserve">Antiplatelet drugs, </w:t>
            </w:r>
            <w:proofErr w:type="gramStart"/>
            <w:r>
              <w:rPr>
                <w:rFonts w:ascii="Times New Roman" w:hAnsi="Times New Roman" w:cs="Times New Roman"/>
                <w:bCs/>
                <w:sz w:val="21"/>
                <w:szCs w:val="21"/>
              </w:rPr>
              <w:t>n(</w:t>
            </w:r>
            <w:proofErr w:type="gramEnd"/>
            <w:r>
              <w:rPr>
                <w:rFonts w:ascii="Times New Roman" w:hAnsi="Times New Roman" w:cs="Times New Roman"/>
                <w:bCs/>
                <w:sz w:val="21"/>
                <w:szCs w:val="21"/>
              </w:rPr>
              <w:t>%)</w:t>
            </w:r>
          </w:p>
        </w:tc>
        <w:tc>
          <w:tcPr>
            <w:tcW w:w="2355" w:type="dxa"/>
            <w:tcBorders>
              <w:top w:val="nil"/>
              <w:bottom w:val="single" w:sz="12" w:space="0" w:color="000000" w:themeColor="text1"/>
            </w:tcBorders>
            <w:tcMar>
              <w:top w:w="0" w:type="dxa"/>
              <w:left w:w="0" w:type="dxa"/>
              <w:bottom w:w="0" w:type="dxa"/>
              <w:right w:w="0" w:type="dxa"/>
            </w:tcMar>
            <w:vAlign w:val="center"/>
          </w:tcPr>
          <w:p w14:paraId="2EA745E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5002 (93.3%)</w:t>
            </w:r>
          </w:p>
        </w:tc>
        <w:tc>
          <w:tcPr>
            <w:tcW w:w="2205" w:type="dxa"/>
            <w:tcBorders>
              <w:top w:val="nil"/>
              <w:bottom w:val="single" w:sz="12" w:space="0" w:color="000000" w:themeColor="text1"/>
            </w:tcBorders>
            <w:tcMar>
              <w:top w:w="0" w:type="dxa"/>
              <w:left w:w="0" w:type="dxa"/>
              <w:bottom w:w="0" w:type="dxa"/>
              <w:right w:w="0" w:type="dxa"/>
            </w:tcMar>
            <w:vAlign w:val="center"/>
          </w:tcPr>
          <w:p w14:paraId="6231FE9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3896 (94.2%)</w:t>
            </w:r>
          </w:p>
        </w:tc>
        <w:tc>
          <w:tcPr>
            <w:tcW w:w="2325" w:type="dxa"/>
            <w:tcBorders>
              <w:top w:val="nil"/>
              <w:bottom w:val="single" w:sz="12" w:space="0" w:color="000000" w:themeColor="text1"/>
            </w:tcBorders>
            <w:tcMar>
              <w:top w:w="0" w:type="dxa"/>
              <w:left w:w="0" w:type="dxa"/>
              <w:bottom w:w="0" w:type="dxa"/>
              <w:right w:w="0" w:type="dxa"/>
            </w:tcMar>
            <w:vAlign w:val="center"/>
          </w:tcPr>
          <w:p w14:paraId="3301E0B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1106 (90.3%)</w:t>
            </w:r>
          </w:p>
        </w:tc>
        <w:tc>
          <w:tcPr>
            <w:tcW w:w="1354" w:type="dxa"/>
            <w:tcBorders>
              <w:top w:val="nil"/>
              <w:bottom w:val="single" w:sz="12" w:space="0" w:color="000000" w:themeColor="text1"/>
            </w:tcBorders>
            <w:tcMar>
              <w:top w:w="0" w:type="dxa"/>
              <w:left w:w="0" w:type="dxa"/>
              <w:bottom w:w="0" w:type="dxa"/>
              <w:right w:w="0" w:type="dxa"/>
            </w:tcMar>
            <w:vAlign w:val="center"/>
          </w:tcPr>
          <w:p w14:paraId="6A16CD34"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&lt;0.001</w:t>
            </w:r>
          </w:p>
        </w:tc>
        <w:tc>
          <w:tcPr>
            <w:tcW w:w="1830" w:type="dxa"/>
            <w:tcBorders>
              <w:top w:val="nil"/>
              <w:bottom w:val="single" w:sz="12" w:space="0" w:color="000000" w:themeColor="text1"/>
            </w:tcBorders>
            <w:tcMar>
              <w:top w:w="0" w:type="dxa"/>
              <w:left w:w="0" w:type="dxa"/>
              <w:bottom w:w="0" w:type="dxa"/>
              <w:right w:w="0" w:type="dxa"/>
            </w:tcMar>
            <w:vAlign w:val="center"/>
          </w:tcPr>
          <w:p w14:paraId="07CB465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b/>
                <w:sz w:val="21"/>
                <w:szCs w:val="21"/>
              </w:rPr>
            </w:pPr>
            <w:r>
              <w:rPr>
                <w:rFonts w:ascii="Times New Roman" w:hAnsi="Times New Roman" w:cs="Times New Roman"/>
                <w:b/>
                <w:sz w:val="21"/>
                <w:szCs w:val="21"/>
              </w:rPr>
              <w:t>0.146</w:t>
            </w:r>
          </w:p>
        </w:tc>
        <w:tc>
          <w:tcPr>
            <w:tcW w:w="1834" w:type="dxa"/>
            <w:tcBorders>
              <w:top w:val="nil"/>
              <w:bottom w:val="single" w:sz="12" w:space="0" w:color="000000" w:themeColor="text1"/>
            </w:tcBorders>
            <w:tcMar>
              <w:top w:w="0" w:type="dxa"/>
              <w:left w:w="0" w:type="dxa"/>
              <w:bottom w:w="0" w:type="dxa"/>
              <w:right w:w="0" w:type="dxa"/>
            </w:tcMar>
            <w:vAlign w:val="center"/>
          </w:tcPr>
          <w:p w14:paraId="1C565A8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pacing w:before="30" w:after="30"/>
              <w:ind w:left="60" w:right="60"/>
              <w:jc w:val="center"/>
              <w:rPr>
                <w:rFonts w:ascii="Times New Roman" w:hAnsi="Times New Roman" w:cs="Times New Roman"/>
                <w:sz w:val="21"/>
                <w:szCs w:val="21"/>
              </w:rPr>
            </w:pPr>
            <w:r>
              <w:rPr>
                <w:rFonts w:ascii="Times New Roman" w:hAnsi="Times New Roman" w:cs="Times New Roman"/>
                <w:sz w:val="21"/>
                <w:szCs w:val="21"/>
              </w:rPr>
              <w:t>0.076</w:t>
            </w:r>
          </w:p>
        </w:tc>
      </w:tr>
    </w:tbl>
    <w:p w14:paraId="6D11B626" w14:textId="77777777" w:rsidR="002F52E7" w:rsidRDefault="002F52E7">
      <w:pPr>
        <w:pStyle w:val="Caption"/>
        <w:widowControl w:val="0"/>
        <w:kinsoku w:val="0"/>
        <w:overflowPunct w:val="0"/>
        <w:rPr>
          <w:rFonts w:ascii="Times New Roman" w:eastAsiaTheme="minorEastAsia" w:hAnsi="Times New Roman" w:cs="Times New Roman"/>
          <w:sz w:val="21"/>
          <w:szCs w:val="21"/>
        </w:rPr>
      </w:pPr>
    </w:p>
    <w:p w14:paraId="5B85CB5C" w14:textId="77777777" w:rsidR="002F52E7" w:rsidRDefault="002F52E7">
      <w:pPr>
        <w:widowControl w:val="0"/>
        <w:kinsoku w:val="0"/>
        <w:overflowPunct w:val="0"/>
        <w:rPr>
          <w:rFonts w:ascii="Times New Roman" w:hAnsi="Times New Roman" w:cs="Times New Roman"/>
          <w:sz w:val="21"/>
          <w:szCs w:val="21"/>
        </w:rPr>
      </w:pPr>
    </w:p>
    <w:p w14:paraId="6DE59B4E" w14:textId="77777777" w:rsidR="00324A4F" w:rsidRDefault="00324A4F">
      <w:pPr>
        <w:widowControl w:val="0"/>
        <w:kinsoku w:val="0"/>
        <w:overflowPunct w:val="0"/>
        <w:rPr>
          <w:rFonts w:ascii="Times New Roman" w:hAnsi="Times New Roman" w:cs="Times New Roman"/>
          <w:sz w:val="21"/>
          <w:szCs w:val="21"/>
        </w:rPr>
      </w:pPr>
    </w:p>
    <w:p w14:paraId="49C497F6" w14:textId="77777777" w:rsidR="00324A4F" w:rsidRDefault="00324A4F">
      <w:pPr>
        <w:widowControl w:val="0"/>
        <w:kinsoku w:val="0"/>
        <w:overflowPunct w:val="0"/>
        <w:rPr>
          <w:rFonts w:ascii="Times New Roman" w:hAnsi="Times New Roman" w:cs="Times New Roman"/>
          <w:sz w:val="21"/>
          <w:szCs w:val="21"/>
        </w:rPr>
      </w:pPr>
    </w:p>
    <w:p w14:paraId="3278F4E8" w14:textId="77777777" w:rsidR="00324A4F" w:rsidRDefault="00324A4F">
      <w:pPr>
        <w:widowControl w:val="0"/>
        <w:kinsoku w:val="0"/>
        <w:overflowPunct w:val="0"/>
        <w:rPr>
          <w:rFonts w:ascii="Times New Roman" w:hAnsi="Times New Roman" w:cs="Times New Roman"/>
          <w:sz w:val="21"/>
          <w:szCs w:val="21"/>
        </w:rPr>
      </w:pPr>
    </w:p>
    <w:p w14:paraId="28DC303B" w14:textId="77777777" w:rsidR="00324A4F" w:rsidRDefault="00324A4F">
      <w:pPr>
        <w:widowControl w:val="0"/>
        <w:kinsoku w:val="0"/>
        <w:overflowPunct w:val="0"/>
        <w:rPr>
          <w:rFonts w:ascii="Times New Roman" w:hAnsi="Times New Roman" w:cs="Times New Roman"/>
          <w:sz w:val="21"/>
          <w:szCs w:val="21"/>
        </w:rPr>
      </w:pPr>
    </w:p>
    <w:p w14:paraId="1D4E6201" w14:textId="77777777" w:rsidR="00324A4F" w:rsidRDefault="00324A4F">
      <w:pPr>
        <w:widowControl w:val="0"/>
        <w:kinsoku w:val="0"/>
        <w:overflowPunct w:val="0"/>
        <w:rPr>
          <w:rFonts w:ascii="Times New Roman" w:hAnsi="Times New Roman" w:cs="Times New Roman"/>
          <w:sz w:val="21"/>
          <w:szCs w:val="21"/>
        </w:rPr>
      </w:pPr>
    </w:p>
    <w:p w14:paraId="36D7767E" w14:textId="77777777" w:rsidR="002F52E7" w:rsidRDefault="00000000">
      <w:pPr>
        <w:pStyle w:val="Caption"/>
        <w:widowControl w:val="0"/>
        <w:kinsoku w:val="0"/>
        <w:overflowPunct w:val="0"/>
        <w:rPr>
          <w:rFonts w:ascii="Times New Roman" w:hAnsi="Times New Roman" w:cs="Times New Roman"/>
          <w:sz w:val="21"/>
          <w:szCs w:val="21"/>
          <w:lang w:eastAsia="zh-CN"/>
        </w:rPr>
      </w:pPr>
      <w:bookmarkStart w:id="10" w:name="_Ref16572"/>
      <w:r>
        <w:rPr>
          <w:rFonts w:ascii="Times New Roman" w:hAnsi="Times New Roman" w:cs="Times New Roman"/>
          <w:b/>
          <w:bCs/>
          <w:sz w:val="21"/>
          <w:szCs w:val="21"/>
        </w:rPr>
        <w:lastRenderedPageBreak/>
        <w:t xml:space="preserve">Supplementary Table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Supplementary_Table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8</w:t>
      </w:r>
      <w:r>
        <w:rPr>
          <w:rFonts w:ascii="Times New Roman" w:hAnsi="Times New Roman" w:cs="Times New Roman"/>
          <w:b/>
          <w:bCs/>
          <w:sz w:val="21"/>
          <w:szCs w:val="21"/>
        </w:rPr>
        <w:fldChar w:fldCharType="end"/>
      </w:r>
      <w:r>
        <w:rPr>
          <w:rFonts w:ascii="Times New Roman" w:hAnsi="Times New Roman" w:cs="Times New Roman"/>
          <w:sz w:val="21"/>
          <w:szCs w:val="21"/>
          <w:lang w:eastAsia="zh-CN"/>
        </w:rPr>
        <w:t xml:space="preserve"> </w:t>
      </w:r>
      <w:r>
        <w:rPr>
          <w:rFonts w:ascii="Times New Roman" w:eastAsiaTheme="minorEastAsia" w:hAnsi="Times New Roman" w:cs="Times New Roman"/>
          <w:sz w:val="21"/>
          <w:szCs w:val="21"/>
          <w:lang w:eastAsia="zh-CN"/>
        </w:rPr>
        <w:t xml:space="preserve">Causal inference estimates of the association between high </w:t>
      </w:r>
      <w:proofErr w:type="gramStart"/>
      <w:r>
        <w:rPr>
          <w:rFonts w:ascii="Times New Roman" w:eastAsiaTheme="minorEastAsia" w:hAnsi="Times New Roman" w:cs="Times New Roman"/>
          <w:sz w:val="21"/>
          <w:szCs w:val="21"/>
          <w:lang w:eastAsia="zh-CN"/>
        </w:rPr>
        <w:t>SHR(</w:t>
      </w:r>
      <w:proofErr w:type="gramEnd"/>
      <w:r>
        <w:rPr>
          <w:rFonts w:ascii="Times New Roman" w:eastAsiaTheme="minorEastAsia" w:hAnsi="Times New Roman" w:cs="Times New Roman"/>
          <w:sz w:val="21"/>
          <w:szCs w:val="21"/>
          <w:lang w:eastAsia="zh-CN"/>
        </w:rPr>
        <w:t>&gt;1.</w:t>
      </w:r>
      <w:proofErr w:type="gramStart"/>
      <w:r>
        <w:rPr>
          <w:rFonts w:ascii="Times New Roman" w:eastAsiaTheme="minorEastAsia" w:hAnsi="Times New Roman" w:cs="Times New Roman"/>
          <w:sz w:val="21"/>
          <w:szCs w:val="21"/>
          <w:lang w:eastAsia="zh-CN"/>
        </w:rPr>
        <w:t>25)and</w:t>
      </w:r>
      <w:proofErr w:type="gramEnd"/>
      <w:r>
        <w:rPr>
          <w:rFonts w:ascii="Times New Roman" w:eastAsiaTheme="minorEastAsia" w:hAnsi="Times New Roman" w:cs="Times New Roman"/>
          <w:sz w:val="21"/>
          <w:szCs w:val="21"/>
          <w:lang w:eastAsia="zh-CN"/>
        </w:rPr>
        <w:t xml:space="preserve"> 365-day mortality using four estimators</w:t>
      </w:r>
      <w:bookmarkEnd w:id="10"/>
    </w:p>
    <w:tbl>
      <w:tblPr>
        <w:tblW w:w="14400" w:type="dxa"/>
        <w:jc w:val="center"/>
        <w:tblLook w:val="04A0" w:firstRow="1" w:lastRow="0" w:firstColumn="1" w:lastColumn="0" w:noHBand="0" w:noVBand="1"/>
      </w:tblPr>
      <w:tblGrid>
        <w:gridCol w:w="4531"/>
        <w:gridCol w:w="5938"/>
        <w:gridCol w:w="3931"/>
      </w:tblGrid>
      <w:tr w:rsidR="002F52E7" w14:paraId="3E37B907" w14:textId="77777777">
        <w:trPr>
          <w:tblHeader/>
          <w:jc w:val="center"/>
        </w:trPr>
        <w:tc>
          <w:tcPr>
            <w:tcW w:w="4531" w:type="dxa"/>
            <w:tcBorders>
              <w:top w:val="single" w:sz="12" w:space="0" w:color="000000" w:themeColor="text1"/>
              <w:left w:val="nil"/>
              <w:bottom w:val="single" w:sz="6" w:space="0" w:color="000000" w:themeColor="text1"/>
              <w:right w:val="nil"/>
            </w:tcBorders>
            <w:tcMar>
              <w:top w:w="0" w:type="dxa"/>
              <w:left w:w="0" w:type="dxa"/>
              <w:bottom w:w="0" w:type="dxa"/>
              <w:right w:w="0" w:type="dxa"/>
            </w:tcMar>
            <w:vAlign w:val="center"/>
          </w:tcPr>
          <w:p w14:paraId="02E99319"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Method</w:t>
            </w:r>
          </w:p>
        </w:tc>
        <w:tc>
          <w:tcPr>
            <w:tcW w:w="5938" w:type="dxa"/>
            <w:tcBorders>
              <w:top w:val="single" w:sz="12" w:space="0" w:color="000000" w:themeColor="text1"/>
              <w:left w:val="nil"/>
              <w:bottom w:val="single" w:sz="6" w:space="0" w:color="000000" w:themeColor="text1"/>
              <w:right w:val="nil"/>
            </w:tcBorders>
            <w:tcMar>
              <w:top w:w="0" w:type="dxa"/>
              <w:left w:w="0" w:type="dxa"/>
              <w:bottom w:w="0" w:type="dxa"/>
              <w:right w:w="0" w:type="dxa"/>
            </w:tcMar>
            <w:vAlign w:val="center"/>
          </w:tcPr>
          <w:p w14:paraId="55BCD8F5"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Effect(95%CI)</w:t>
            </w:r>
          </w:p>
        </w:tc>
        <w:tc>
          <w:tcPr>
            <w:tcW w:w="3931" w:type="dxa"/>
            <w:tcBorders>
              <w:top w:val="single" w:sz="12" w:space="0" w:color="000000" w:themeColor="text1"/>
              <w:left w:val="nil"/>
              <w:bottom w:val="single" w:sz="6" w:space="0" w:color="000000" w:themeColor="text1"/>
              <w:right w:val="nil"/>
            </w:tcBorders>
            <w:tcMar>
              <w:top w:w="0" w:type="dxa"/>
              <w:left w:w="0" w:type="dxa"/>
              <w:bottom w:w="0" w:type="dxa"/>
              <w:right w:w="0" w:type="dxa"/>
            </w:tcMar>
            <w:vAlign w:val="center"/>
          </w:tcPr>
          <w:p w14:paraId="48DC15A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b/>
                <w:sz w:val="21"/>
                <w:szCs w:val="21"/>
              </w:rPr>
            </w:pPr>
            <w:r>
              <w:rPr>
                <w:rFonts w:ascii="Times New Roman" w:hAnsi="Times New Roman" w:cs="Times New Roman"/>
                <w:b/>
                <w:sz w:val="21"/>
                <w:szCs w:val="21"/>
              </w:rPr>
              <w:t>P value</w:t>
            </w:r>
          </w:p>
        </w:tc>
      </w:tr>
      <w:tr w:rsidR="002F52E7" w14:paraId="11957C00" w14:textId="77777777">
        <w:trPr>
          <w:jc w:val="center"/>
        </w:trPr>
        <w:tc>
          <w:tcPr>
            <w:tcW w:w="4531" w:type="dxa"/>
            <w:tcBorders>
              <w:top w:val="single" w:sz="6" w:space="0" w:color="000000" w:themeColor="text1"/>
              <w:left w:val="nil"/>
              <w:bottom w:val="nil"/>
              <w:right w:val="nil"/>
            </w:tcBorders>
            <w:shd w:val="clear" w:color="auto" w:fill="FFFFFF"/>
            <w:tcMar>
              <w:top w:w="0" w:type="dxa"/>
              <w:left w:w="0" w:type="dxa"/>
              <w:bottom w:w="0" w:type="dxa"/>
              <w:right w:w="0" w:type="dxa"/>
            </w:tcMar>
            <w:vAlign w:val="center"/>
          </w:tcPr>
          <w:p w14:paraId="7AC22A1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RA</w:t>
            </w:r>
          </w:p>
        </w:tc>
        <w:tc>
          <w:tcPr>
            <w:tcW w:w="5938" w:type="dxa"/>
            <w:tcBorders>
              <w:top w:val="single" w:sz="6" w:space="0" w:color="000000" w:themeColor="text1"/>
              <w:left w:val="nil"/>
              <w:bottom w:val="nil"/>
              <w:right w:val="nil"/>
            </w:tcBorders>
            <w:shd w:val="clear" w:color="auto" w:fill="FFFFFF"/>
            <w:tcMar>
              <w:top w:w="0" w:type="dxa"/>
              <w:left w:w="0" w:type="dxa"/>
              <w:bottom w:w="0" w:type="dxa"/>
              <w:right w:w="0" w:type="dxa"/>
            </w:tcMar>
            <w:vAlign w:val="center"/>
          </w:tcPr>
          <w:p w14:paraId="05D4B6E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1.193(1.015–1.402)</w:t>
            </w:r>
          </w:p>
        </w:tc>
        <w:tc>
          <w:tcPr>
            <w:tcW w:w="3931" w:type="dxa"/>
            <w:tcBorders>
              <w:top w:val="single" w:sz="6" w:space="0" w:color="000000" w:themeColor="text1"/>
              <w:left w:val="nil"/>
              <w:bottom w:val="nil"/>
              <w:right w:val="nil"/>
            </w:tcBorders>
            <w:shd w:val="clear" w:color="auto" w:fill="FFFFFF"/>
            <w:tcMar>
              <w:top w:w="0" w:type="dxa"/>
              <w:left w:w="0" w:type="dxa"/>
              <w:bottom w:w="0" w:type="dxa"/>
              <w:right w:w="0" w:type="dxa"/>
            </w:tcMar>
            <w:vAlign w:val="center"/>
          </w:tcPr>
          <w:p w14:paraId="4C7A798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0.032</w:t>
            </w:r>
          </w:p>
        </w:tc>
      </w:tr>
      <w:tr w:rsidR="002F52E7" w14:paraId="3E1C9530" w14:textId="77777777">
        <w:trPr>
          <w:jc w:val="center"/>
        </w:trPr>
        <w:tc>
          <w:tcPr>
            <w:tcW w:w="4531" w:type="dxa"/>
            <w:tcBorders>
              <w:top w:val="nil"/>
              <w:left w:val="nil"/>
              <w:bottom w:val="nil"/>
              <w:right w:val="nil"/>
            </w:tcBorders>
            <w:shd w:val="clear" w:color="auto" w:fill="FFFFFF"/>
            <w:tcMar>
              <w:top w:w="0" w:type="dxa"/>
              <w:left w:w="0" w:type="dxa"/>
              <w:bottom w:w="0" w:type="dxa"/>
              <w:right w:w="0" w:type="dxa"/>
            </w:tcMar>
            <w:vAlign w:val="center"/>
          </w:tcPr>
          <w:p w14:paraId="2EC2CFD0"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IPW</w:t>
            </w:r>
          </w:p>
        </w:tc>
        <w:tc>
          <w:tcPr>
            <w:tcW w:w="5938" w:type="dxa"/>
            <w:tcBorders>
              <w:top w:val="nil"/>
              <w:left w:val="nil"/>
              <w:bottom w:val="nil"/>
              <w:right w:val="nil"/>
            </w:tcBorders>
            <w:shd w:val="clear" w:color="auto" w:fill="FFFFFF"/>
            <w:tcMar>
              <w:top w:w="0" w:type="dxa"/>
              <w:left w:w="0" w:type="dxa"/>
              <w:bottom w:w="0" w:type="dxa"/>
              <w:right w:w="0" w:type="dxa"/>
            </w:tcMar>
            <w:vAlign w:val="center"/>
          </w:tcPr>
          <w:p w14:paraId="02AB20CE"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1.242(1.044–1.476)</w:t>
            </w:r>
          </w:p>
        </w:tc>
        <w:tc>
          <w:tcPr>
            <w:tcW w:w="3931" w:type="dxa"/>
            <w:tcBorders>
              <w:top w:val="nil"/>
              <w:left w:val="nil"/>
              <w:bottom w:val="nil"/>
              <w:right w:val="nil"/>
            </w:tcBorders>
            <w:shd w:val="clear" w:color="auto" w:fill="FFFFFF"/>
            <w:tcMar>
              <w:top w:w="0" w:type="dxa"/>
              <w:left w:w="0" w:type="dxa"/>
              <w:bottom w:w="0" w:type="dxa"/>
              <w:right w:w="0" w:type="dxa"/>
            </w:tcMar>
            <w:vAlign w:val="center"/>
          </w:tcPr>
          <w:p w14:paraId="7A1621D3"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0.014</w:t>
            </w:r>
          </w:p>
        </w:tc>
      </w:tr>
      <w:tr w:rsidR="002F52E7" w14:paraId="732A482D" w14:textId="77777777">
        <w:trPr>
          <w:jc w:val="center"/>
        </w:trPr>
        <w:tc>
          <w:tcPr>
            <w:tcW w:w="4531" w:type="dxa"/>
            <w:tcBorders>
              <w:top w:val="nil"/>
              <w:left w:val="nil"/>
              <w:bottom w:val="nil"/>
              <w:right w:val="nil"/>
            </w:tcBorders>
            <w:shd w:val="clear" w:color="auto" w:fill="FFFFFF"/>
            <w:tcMar>
              <w:top w:w="0" w:type="dxa"/>
              <w:left w:w="0" w:type="dxa"/>
              <w:bottom w:w="0" w:type="dxa"/>
              <w:right w:w="0" w:type="dxa"/>
            </w:tcMar>
            <w:vAlign w:val="center"/>
          </w:tcPr>
          <w:p w14:paraId="699434D1"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IPWRA</w:t>
            </w:r>
          </w:p>
        </w:tc>
        <w:tc>
          <w:tcPr>
            <w:tcW w:w="5938" w:type="dxa"/>
            <w:tcBorders>
              <w:top w:val="nil"/>
              <w:left w:val="nil"/>
              <w:bottom w:val="nil"/>
              <w:right w:val="nil"/>
            </w:tcBorders>
            <w:shd w:val="clear" w:color="auto" w:fill="FFFFFF"/>
            <w:tcMar>
              <w:top w:w="0" w:type="dxa"/>
              <w:left w:w="0" w:type="dxa"/>
              <w:bottom w:w="0" w:type="dxa"/>
              <w:right w:w="0" w:type="dxa"/>
            </w:tcMar>
            <w:vAlign w:val="center"/>
          </w:tcPr>
          <w:p w14:paraId="75BB22B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1.219(1.025–1.450)</w:t>
            </w:r>
          </w:p>
        </w:tc>
        <w:tc>
          <w:tcPr>
            <w:tcW w:w="3931" w:type="dxa"/>
            <w:tcBorders>
              <w:top w:val="nil"/>
              <w:left w:val="nil"/>
              <w:bottom w:val="nil"/>
              <w:right w:val="nil"/>
            </w:tcBorders>
            <w:shd w:val="clear" w:color="auto" w:fill="FFFFFF"/>
            <w:tcMar>
              <w:top w:w="0" w:type="dxa"/>
              <w:left w:w="0" w:type="dxa"/>
              <w:bottom w:w="0" w:type="dxa"/>
              <w:right w:w="0" w:type="dxa"/>
            </w:tcMar>
            <w:vAlign w:val="center"/>
          </w:tcPr>
          <w:p w14:paraId="272FE328"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0.025</w:t>
            </w:r>
          </w:p>
        </w:tc>
      </w:tr>
      <w:tr w:rsidR="002F52E7" w14:paraId="0F6A649E" w14:textId="77777777">
        <w:trPr>
          <w:trHeight w:val="390"/>
          <w:jc w:val="center"/>
        </w:trPr>
        <w:tc>
          <w:tcPr>
            <w:tcW w:w="4531" w:type="dxa"/>
            <w:tcBorders>
              <w:top w:val="nil"/>
              <w:left w:val="nil"/>
              <w:bottom w:val="single" w:sz="12" w:space="0" w:color="000000" w:themeColor="text1"/>
              <w:right w:val="nil"/>
            </w:tcBorders>
            <w:shd w:val="clear" w:color="auto" w:fill="FFFFFF"/>
            <w:tcMar>
              <w:top w:w="0" w:type="dxa"/>
              <w:left w:w="0" w:type="dxa"/>
              <w:bottom w:w="0" w:type="dxa"/>
              <w:right w:w="0" w:type="dxa"/>
            </w:tcMar>
            <w:vAlign w:val="center"/>
          </w:tcPr>
          <w:p w14:paraId="381FCD9A"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AIPW</w:t>
            </w:r>
          </w:p>
        </w:tc>
        <w:tc>
          <w:tcPr>
            <w:tcW w:w="5938" w:type="dxa"/>
            <w:tcBorders>
              <w:top w:val="nil"/>
              <w:left w:val="nil"/>
              <w:bottom w:val="single" w:sz="12" w:space="0" w:color="000000" w:themeColor="text1"/>
              <w:right w:val="nil"/>
            </w:tcBorders>
            <w:shd w:val="clear" w:color="auto" w:fill="FFFFFF"/>
            <w:tcMar>
              <w:top w:w="0" w:type="dxa"/>
              <w:left w:w="0" w:type="dxa"/>
              <w:bottom w:w="0" w:type="dxa"/>
              <w:right w:w="0" w:type="dxa"/>
            </w:tcMar>
            <w:vAlign w:val="center"/>
          </w:tcPr>
          <w:p w14:paraId="371F4C1C"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1.237(1.051–1.457)</w:t>
            </w:r>
          </w:p>
        </w:tc>
        <w:tc>
          <w:tcPr>
            <w:tcW w:w="3931" w:type="dxa"/>
            <w:tcBorders>
              <w:top w:val="nil"/>
              <w:left w:val="nil"/>
              <w:bottom w:val="single" w:sz="12" w:space="0" w:color="000000" w:themeColor="text1"/>
              <w:right w:val="nil"/>
            </w:tcBorders>
            <w:shd w:val="clear" w:color="auto" w:fill="FFFFFF"/>
            <w:tcMar>
              <w:top w:w="0" w:type="dxa"/>
              <w:left w:w="0" w:type="dxa"/>
              <w:bottom w:w="0" w:type="dxa"/>
              <w:right w:w="0" w:type="dxa"/>
            </w:tcMar>
            <w:vAlign w:val="center"/>
          </w:tcPr>
          <w:p w14:paraId="46B7ACBB"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jc w:val="center"/>
              <w:rPr>
                <w:rFonts w:ascii="Times New Roman" w:hAnsi="Times New Roman" w:cs="Times New Roman"/>
                <w:sz w:val="21"/>
                <w:szCs w:val="21"/>
              </w:rPr>
            </w:pPr>
            <w:r>
              <w:rPr>
                <w:rFonts w:ascii="Times New Roman" w:hAnsi="Times New Roman" w:cs="Times New Roman"/>
                <w:sz w:val="21"/>
                <w:szCs w:val="21"/>
              </w:rPr>
              <w:t>0.011</w:t>
            </w:r>
          </w:p>
        </w:tc>
      </w:tr>
      <w:tr w:rsidR="002F52E7" w14:paraId="2146986F" w14:textId="77777777">
        <w:trPr>
          <w:jc w:val="center"/>
        </w:trPr>
        <w:tc>
          <w:tcPr>
            <w:tcW w:w="14400" w:type="dxa"/>
            <w:gridSpan w:val="3"/>
            <w:tcBorders>
              <w:top w:val="single" w:sz="12" w:space="0" w:color="000000" w:themeColor="text1"/>
              <w:left w:val="nil"/>
              <w:bottom w:val="single" w:sz="4" w:space="0" w:color="CCCCCC"/>
              <w:right w:val="nil"/>
            </w:tcBorders>
            <w:shd w:val="clear" w:color="auto" w:fill="FFFFFF"/>
            <w:tcMar>
              <w:top w:w="0" w:type="dxa"/>
              <w:left w:w="0" w:type="dxa"/>
              <w:bottom w:w="0" w:type="dxa"/>
              <w:right w:w="0" w:type="dxa"/>
            </w:tcMar>
            <w:vAlign w:val="center"/>
          </w:tcPr>
          <w:p w14:paraId="7FA2BD56" w14:textId="77777777" w:rsidR="002F52E7" w:rsidRDefault="00000000">
            <w:pPr>
              <w:widowControl w:val="0"/>
              <w:pBdr>
                <w:top w:val="none" w:sz="0" w:space="0" w:color="000000"/>
                <w:left w:val="none" w:sz="0" w:space="0" w:color="000000"/>
                <w:bottom w:val="none" w:sz="0" w:space="0" w:color="000000"/>
                <w:right w:val="none" w:sz="0" w:space="0" w:color="000000"/>
              </w:pBdr>
              <w:kinsoku w:val="0"/>
              <w:overflowPunct w:val="0"/>
              <w:snapToGrid w:val="0"/>
              <w:spacing w:before="100" w:after="100" w:line="360" w:lineRule="auto"/>
              <w:rPr>
                <w:rFonts w:ascii="Times New Roman" w:hAnsi="Times New Roman" w:cs="Times New Roman"/>
                <w:sz w:val="21"/>
                <w:szCs w:val="21"/>
              </w:rPr>
            </w:pPr>
            <w:r>
              <w:rPr>
                <w:rFonts w:ascii="Times New Roman" w:hAnsi="Times New Roman" w:cs="Times New Roman"/>
                <w:sz w:val="21"/>
                <w:szCs w:val="21"/>
              </w:rPr>
              <w:t xml:space="preserve">Effects are expressed as risk </w:t>
            </w:r>
            <w:proofErr w:type="spellStart"/>
            <w:r>
              <w:rPr>
                <w:rFonts w:ascii="Times New Roman" w:hAnsi="Times New Roman" w:cs="Times New Roman"/>
                <w:sz w:val="21"/>
                <w:szCs w:val="21"/>
              </w:rPr>
              <w:t>ratios.All</w:t>
            </w:r>
            <w:proofErr w:type="spellEnd"/>
            <w:r>
              <w:rPr>
                <w:rFonts w:ascii="Times New Roman" w:hAnsi="Times New Roman" w:cs="Times New Roman"/>
                <w:sz w:val="21"/>
                <w:szCs w:val="21"/>
              </w:rPr>
              <w:t xml:space="preserve"> models target the average treatment effect(ATE).IPWRA and AIPW are doubly robust </w:t>
            </w:r>
            <w:proofErr w:type="spellStart"/>
            <w:r>
              <w:rPr>
                <w:rFonts w:ascii="Times New Roman" w:hAnsi="Times New Roman" w:cs="Times New Roman"/>
                <w:sz w:val="21"/>
                <w:szCs w:val="21"/>
              </w:rPr>
              <w:t>estimators.Abbreviations:RA,regression</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adjustment;IPW,inverse</w:t>
            </w:r>
            <w:proofErr w:type="spellEnd"/>
            <w:r>
              <w:rPr>
                <w:rFonts w:ascii="Times New Roman" w:hAnsi="Times New Roman" w:cs="Times New Roman"/>
                <w:sz w:val="21"/>
                <w:szCs w:val="21"/>
              </w:rPr>
              <w:t xml:space="preserve"> probability </w:t>
            </w:r>
            <w:proofErr w:type="spellStart"/>
            <w:r>
              <w:rPr>
                <w:rFonts w:ascii="Times New Roman" w:hAnsi="Times New Roman" w:cs="Times New Roman"/>
                <w:sz w:val="21"/>
                <w:szCs w:val="21"/>
              </w:rPr>
              <w:t>weighting;IPWRA,inverse</w:t>
            </w:r>
            <w:proofErr w:type="spellEnd"/>
            <w:r>
              <w:rPr>
                <w:rFonts w:ascii="Times New Roman" w:hAnsi="Times New Roman" w:cs="Times New Roman"/>
                <w:sz w:val="21"/>
                <w:szCs w:val="21"/>
              </w:rPr>
              <w:t xml:space="preserve"> probability weighted regression </w:t>
            </w:r>
            <w:proofErr w:type="spellStart"/>
            <w:r>
              <w:rPr>
                <w:rFonts w:ascii="Times New Roman" w:hAnsi="Times New Roman" w:cs="Times New Roman"/>
                <w:sz w:val="21"/>
                <w:szCs w:val="21"/>
              </w:rPr>
              <w:t>adjustment;AIPW,augmented</w:t>
            </w:r>
            <w:proofErr w:type="spellEnd"/>
            <w:r>
              <w:rPr>
                <w:rFonts w:ascii="Times New Roman" w:hAnsi="Times New Roman" w:cs="Times New Roman"/>
                <w:sz w:val="21"/>
                <w:szCs w:val="21"/>
              </w:rPr>
              <w:t xml:space="preserve"> inverse probability </w:t>
            </w:r>
            <w:proofErr w:type="spellStart"/>
            <w:r>
              <w:rPr>
                <w:rFonts w:ascii="Times New Roman" w:hAnsi="Times New Roman" w:cs="Times New Roman"/>
                <w:sz w:val="21"/>
                <w:szCs w:val="21"/>
              </w:rPr>
              <w:t>weighting;ATE,average</w:t>
            </w:r>
            <w:proofErr w:type="spellEnd"/>
            <w:r>
              <w:rPr>
                <w:rFonts w:ascii="Times New Roman" w:hAnsi="Times New Roman" w:cs="Times New Roman"/>
                <w:sz w:val="21"/>
                <w:szCs w:val="21"/>
              </w:rPr>
              <w:t xml:space="preserve"> treatment </w:t>
            </w:r>
            <w:proofErr w:type="spellStart"/>
            <w:r>
              <w:rPr>
                <w:rFonts w:ascii="Times New Roman" w:hAnsi="Times New Roman" w:cs="Times New Roman"/>
                <w:sz w:val="21"/>
                <w:szCs w:val="21"/>
              </w:rPr>
              <w:t>effect;CI,confidence</w:t>
            </w:r>
            <w:proofErr w:type="spellEnd"/>
            <w:r>
              <w:rPr>
                <w:rFonts w:ascii="Times New Roman" w:hAnsi="Times New Roman" w:cs="Times New Roman"/>
                <w:sz w:val="21"/>
                <w:szCs w:val="21"/>
              </w:rPr>
              <w:t xml:space="preserve"> interval.</w:t>
            </w:r>
          </w:p>
        </w:tc>
      </w:tr>
    </w:tbl>
    <w:p w14:paraId="2C52AE78" w14:textId="77777777" w:rsidR="002F52E7" w:rsidRDefault="002F52E7">
      <w:pPr>
        <w:widowControl w:val="0"/>
        <w:kinsoku w:val="0"/>
        <w:overflowPunct w:val="0"/>
        <w:rPr>
          <w:rFonts w:ascii="Times New Roman" w:hAnsi="Times New Roman" w:cs="Times New Roman"/>
          <w:b/>
          <w:bCs/>
          <w:sz w:val="21"/>
          <w:szCs w:val="21"/>
          <w:lang w:eastAsia="zh-CN"/>
        </w:rPr>
      </w:pPr>
    </w:p>
    <w:p w14:paraId="7AFC0AC1"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32359429"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4C81C116"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28D93AD1"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30B224E4"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3D3E04D0"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0F4B6C11"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5B7D8D1C"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7A9B4934"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32544E85"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67551D41"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475037C1"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6B77CB97"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6DCA4FF2"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p w14:paraId="0569ECEE" w14:textId="77777777" w:rsidR="002F52E7" w:rsidRDefault="002F52E7">
      <w:pPr>
        <w:widowControl w:val="0"/>
        <w:kinsoku w:val="0"/>
        <w:overflowPunct w:val="0"/>
        <w:spacing w:line="480" w:lineRule="auto"/>
        <w:rPr>
          <w:rFonts w:ascii="Times New Roman" w:hAnsi="Times New Roman" w:cs="Times New Roman"/>
          <w:sz w:val="21"/>
          <w:szCs w:val="21"/>
          <w:lang w:eastAsia="zh-CN"/>
        </w:rPr>
      </w:pPr>
    </w:p>
    <w:sectPr w:rsidR="002F52E7">
      <w:type w:val="continuous"/>
      <w:pgSz w:w="15840" w:h="12240" w:orient="landscape"/>
      <w:pgMar w:top="720" w:right="720" w:bottom="720" w:left="720" w:header="432" w:footer="432" w:gutter="0"/>
      <w:lnNumType w:countBy="1" w:restart="continuou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Lucida Casual Regular">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FC7A94"/>
    <w:multiLevelType w:val="singleLevel"/>
    <w:tmpl w:val="B6FC7A94"/>
    <w:lvl w:ilvl="0">
      <w:start w:val="1"/>
      <w:numFmt w:val="bullet"/>
      <w:lvlText w:val=""/>
      <w:lvlJc w:val="left"/>
      <w:pPr>
        <w:ind w:left="420" w:hanging="420"/>
      </w:pPr>
      <w:rPr>
        <w:rFonts w:ascii="Wingdings" w:hAnsi="Wingdings" w:hint="default"/>
      </w:rPr>
    </w:lvl>
  </w:abstractNum>
  <w:abstractNum w:abstractNumId="1" w15:restartNumberingAfterBreak="0">
    <w:nsid w:val="07E925FD"/>
    <w:multiLevelType w:val="multilevel"/>
    <w:tmpl w:val="07E925FD"/>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2564050">
    <w:abstractNumId w:val="1"/>
  </w:num>
  <w:num w:numId="2" w16cid:durableId="1109936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Data.1{74716D2D-92E5-4982-B729-F91298EA4617}" w:val=" ADDIN NE.Ref.{74716D2D-92E5-4982-B729-F91298EA4617}&lt;Citation&gt;&lt;Group&gt;&lt;References&gt;&lt;Item&gt;&lt;ID&gt;2749&lt;/ID&gt;&lt;UID&gt;{2819D3BF-58C9-4953-96EF-2F882F185046}&lt;/UID&gt;&lt;Title&gt;Initial Invasive or Conservative Strategy for Stable Coronary Disease&lt;/Title&gt;&lt;Template&gt;Journal Article&lt;/Template&gt;&lt;Star&gt;0&lt;/Star&gt;&lt;Tag&gt;0&lt;/Tag&gt;&lt;Author&gt;Maron, David J; Hochman, Judith S; Reynolds, Harmony R; Bangalore, Sripal; O Brien, Sean M; Boden, William E; Chaitman, Bernard R; Senior, Roxy; López-Sendón, Jose; Alexander, Karen P; Lopes, Renato D; Shaw, Leslee J; Berger, Jeffrey S; Newman, Jonathan D; Sidhu, Mandeep S; Goodman, Shaun G; Ruzyllo, Witold; Gosselin, Gilbert; Maggioni, Aldo P; White, Harvey D; Bhargava, Balram; Min, James K; Mancini, G B John; Berman, Daniel S; Picard, Michael H; Kwong, Raymond Y; Ali, Ziad A; Mark, Daniel B; Spertus, John A; Krishnan, Mangalath N; Elghamaz, Ahmed; Moorthy, Nagaraja; Hueb, Whady A; Demkow, Marcin; Mavromatis, Kreton; Bockeria, Olga; Peteiro, Jesus; Miller, Todd D; Szwed, Hanna; Doerr, Rolf; Keltai, Matyas; Selvanayagam, Joseph B; Steg, P Gabriel; Held, Claes; Kohsaka, Shun; Mavromichalis, Stavroula; Kirby, Ruth; Jeffries, Neal O; Harrell, Frank E; Rockhold, Frank W; Broderick, Samuel; Ferguson, T Bruce; Williams, David O; Harrington, Robert A; Stone, Gregg W; Rosenberg, Yves&lt;/Author&gt;&lt;Year&gt;2020&lt;/Year&gt;&lt;Details&gt;&lt;_accessed&gt;66402462&lt;/_accessed&gt;&lt;_accession_num&gt;32227755&lt;/_accession_num&gt;&lt;_author_adr&gt;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
    <w:docVar w:name="NE.Data.1{EB290A4A-0307-448F-BF9E-A98D9A525BA6}" w:val=" ADDIN NE.Ref.{EB290A4A-0307-448F-BF9E-A98D9A525BA6}&lt;Citation&gt;&lt;Group&gt;&lt;References&gt;&lt;Item&gt;&lt;ID&gt;2625&lt;/ID&gt;&lt;UID&gt;{27AFE579-C19B-4F57-A7A0-BD9EFB105E4C}&lt;/UID&gt;&lt;Title&gt;Initial Invasive or Conservative Strategy for Stable Coronary Disease&lt;/Title&gt;&lt;Template&gt;Journal Article&lt;/Template&gt;&lt;Star&gt;0&lt;/Star&gt;&lt;Tag&gt;0&lt;/Tag&gt;&lt;Author&gt;Maron, David J; Hochman, Judith S; Reynolds, Harmony R; Bangalore, Sripal; O Brien, Sean M; Boden, William E; Chaitman, Bernard R; Senior, Roxy; López-Sendón, Jose; Alexander, Karen P; Lopes, Renato D; Shaw, Leslee J; Berger, Jeffrey S; Newman, Jonathan D; Sidhu, Mandeep S; Goodman, Shaun G; Ruzyllo, Witold; Gosselin, Gilbert; Maggioni, Aldo P; White, Harvey D; Bhargava, Balram; Min, James K; Mancini, G B John; Berman, Daniel S; Picard, Michael H; Kwong, Raymond Y; Ali, Ziad A; Mark, Daniel B; Spertus, John A; Krishnan, Mangalath N; Elghamaz, Ahmed; Moorthy, Nagaraja; Hueb, Whady A; Demkow, Marcin; Mavromatis, Kreton; Bockeria, Olga; Peteiro, Jesus; Miller, Todd D; Szwed, Hanna; Doerr, Rolf; Keltai, Matyas; Selvanayagam, Joseph B; Steg, P Gabriel; Held, Claes; Kohsaka, Shun; Mavromichalis, Stavroula; Kirby, Ruth; Jeffries, Neal O; Harrell, Frank E; Rockhold, Frank W; Broderick, Samuel; Ferguson, T Bruce; Williams, David O; Harrington, Robert A; Stone, Gregg W; Rosenberg, Yves&lt;/Author&gt;&lt;Year&gt;2020&lt;/Year&gt;&lt;Details&gt;&lt;_accessed&gt;66401362&lt;/_accessed&gt;&lt;_accession_num&gt;32227755&lt;/_accession_num&gt;&lt;_author_adr&gt;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
    <w:docVar w:name="NE.Data.2{74716D2D-92E5-4982-B729-F91298EA4617}" w:val="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
    <w:docVar w:name="NE.Data.2{EB290A4A-0307-448F-BF9E-A98D9A525BA6}" w:val="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
    <w:docVar w:name="NE.Data.3{74716D2D-92E5-4982-B729-F91298EA4617}" w:val="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
    <w:docVar w:name="NE.Data.3{EB290A4A-0307-448F-BF9E-A98D9A525BA6}" w:val="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 From the Department of Medicine, Stanford University School of Medicine, Stanford  (D.J.M., "/>
    <w:docVar w:name="NE.Data.4{74716D2D-92E5-4982-B729-F91298EA4617}" w:val="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lt;/_author_adr&gt;&lt;_collection_scope&gt;SCIE&lt;/_collection_scope&gt;&lt;_created&gt;66402454&lt;/_created&gt;&lt;_date&gt;63256320&lt;/_date&gt;&lt;_date_display&gt;2020 Apr 9&lt;/_date_display&gt;&lt;_db_updated&gt;CrossRef&lt;/_db_updated&gt;&lt;_doi&gt;10.1056/NEJMoa1915922&lt;/_doi&gt;&lt;_impact_factor&gt;  96.300&lt;/_impact_factor&gt;&lt;_isbn&gt;0028-4793&lt;/_isbn&gt;&lt;_issue&gt;15&lt;/_issue&gt;&lt;_journal&gt;New England Journal of Medicine&lt;/_journal&gt;&lt;_language&gt;eng&lt;/_language&gt;&lt;_modified&gt;66402462&lt;/_modified&gt;&lt;_number&gt;54&lt;/_number&gt;&lt;_ori_publication&gt;Copyright ? 2020 Massachusetts Medical Society.&lt;/_ori_publication&gt;&lt;_pages&gt;1395-1407&lt;/_pages&gt;&lt;_social_category&gt;医学：内科(1)&lt;/_social_category&gt;&lt;_subject_headings&gt;Aged; Angina, Unstable/epidemiology; Bayes Theorem; *Cardiac Catheterization; Cardiovascular Diseases/mortality; Computed Tomography Angiography; Coronary Angiography; *Coronary Artery Bypass; Coronary Disease/diagnostic imaging/*drug therapy/*surgery; Female; Humans; Kaplan-Meier Estimate; Male; Middle Aged; Myocardial Ischemia/therapy; Myocardial Revascularization/*methods; *Percutaneous Coronary Intervention; Quality of Life&lt;/_subject_headings&gt;&lt;_tertiary_title&gt;N Engl J Med&lt;/_tertiary_title&gt;&lt;_type_work&gt;Comparative Study; Journal Article; Multicenter Study; Randomized Controlled Trial; Research Support, N.I.H., Extramural; Research Support, Non-U.S. Gov&amp;apos;t&lt;/_type_work&gt;&lt;_url&gt;http://www.nejm.org/doi/10.1056/NEJMoa1915922_x000d__x000a_http://www.nejm.org/doi/pdf/10.1056/NEJMoa1915922&lt;/_url&gt;&lt;_volume&gt;382&lt;/_volume&gt;&lt;/Details&gt;&lt;Extra&gt;&lt;DBUID&gt;{0595FEED-06EC-4465-A92A-123F8040CA41}&lt;/DBUID&gt;&lt;/Extra&gt;&lt;/Item&gt;&lt;/References&gt;&lt;/Group&gt;&lt;Group&gt;&lt;References&gt;&lt;Item&gt;&lt;ID&gt;2750&lt;/ID&gt;&lt;UID&gt;{F6C10474-CEEE-45F1-906D-1C3FDFE87AC1}&lt;/UID&gt;&lt;Title&gt;2012 ACCF/AHA/ACP/AATS/PCNA/SCAI/STS Guideline for the diagnosis and management of patients with stable ischemic heart disease: a report of the American College of Cardiology Foundation/American Heart Association Task Force on Practice Guidelines, and the American College of Physicians, American Association for Thoracic Surgery, Preventive Cardiovascular Nurses Association, Society for Cardiovascular Angiography and Interventions, and Society of Thoracic Surgeons&lt;/Title&gt;&lt;Template&gt;Journal Article&lt;/Template&gt;&lt;Star&gt;0&lt;/Star&gt;&lt;Tag&gt;0&lt;/Tag&gt;&lt;Author&gt;Fihn, Stephan D; Gardin, Julius M; Abrams, Jonathan; Berra, Kathleen; Blankenship, James C; Dallas, Apostolos P; Douglas, Pamela S; Foody, Joanne M; Gerber, Thomas C; Hinderliter, Alan L; King, Rd Spencer B; Kligfield, Paul D; Krumholz, Harlan M; Kwong, Raymond Y K; Lim, Michael J; Linderbaum, Jane A; Mack, Michael J; Munger, Mark A; Prager, Richard L; Sabik, Joseph F; Shaw, Leslee J; Sikkema, Joanna D; Smith, Jr Craig R; Smith, Jr Sidney C; Spertus, John A; Williams, Sankey V; American, College Of Cardiology Foundation; American, College Of Physicians; American, Heart Association Task Force; Society, For Cardiovascular Angiography And; Society, Of Thoracic Surgeons; American, Association For Thoracic Surgery; Preventive, Cardiovascular Nurses Association&lt;/Author&gt;&lt;Year&gt;2012&lt;/Year&gt;&lt;Details&gt;&lt;_accessed&gt;66402468&lt;/_accessed&gt;&lt;_accession_num&gt;23182125&lt;/_accession_num&gt;&lt;_collection_scope&gt;SCIE&lt;/_collection_scope&gt;&lt;_created&gt;66402454&lt;/_created&gt;&lt;_date&gt;58906080&lt;/_date&gt;&lt;_date_display&gt;2012&lt;/_date_display&gt;&lt;_db_updated&gt;PKU Search&lt;/_db_updated&gt;&lt;_doi&gt;10.1016/j.jacc.2012.07.013&lt;/_doi&gt;&lt;_impact_factor&gt;  21.700&lt;/_impact_factor&gt;&lt;_isbn&gt;1558-3597&lt;/_isbn&gt;&lt;_issue&gt;24&lt;/_issue&gt;&lt;_journal&gt;Journal of the American College of Cardiology&lt;/_journal&gt;&lt;_keywords&gt;Acute Coronary Syndrome - epidemiology; Adrenergic beta-Antagonists - administration &amp;amp; dosage; Alcohol Drinking; Angina Pectoris - drug therapy; Body Weight; Cholesterol, LDL - blood; Clopidogrel; Comorbidity; Cost of Illness; Depression - drug therapy; Depression - epidemiology; Diabetes Complications - diagnosis; Diabetes Complications - therapy; Disease Management; Electrocardiography; Exercise - physiology; Exercise Test; Glycated Hemoglobin - analysis; Health Behavior; Humans; Hypertension - prevention &amp;amp; control; Life Style; Myocardial Infarction - prevention &amp;amp; control; Myocardial Ischemia - diagnosis; Myocardial Ischemia - drug therapy; Myocardial Ischemia - economics; Myocardial Ischemia - epidemiology; Myocardial Ischemia - therapy; Myocardial Revascularization; Physical Examination; Platelet Aggregation Inhibitors - administration &amp;amp; dosage; Platelet Aggregation Inhibitors - therapeutic use; Quality of Life; Risk Assessment; Risk Factors; Risk Reduction Behavior; Smoking Cessation; Ticlopidine - administration &amp;amp; dosage; Ticlopidine - analogs &amp;amp; derivatives; Ticlopidine - therapeutic use&lt;/_keywords&gt;&lt;_language&gt;eng&lt;/_language&gt;&lt;_modified&gt;66402468&lt;/_modified&gt;&lt;_number&gt;55&lt;/_number&gt;&lt;_pages&gt;e44&lt;/_pages&gt;&lt;_place_published&gt;United States&lt;/_place_published&gt;&lt;_social_category&gt;心脏和心血管系统(1)&lt;/_social_category&gt;&lt;_subject_headings&gt;Acute Coronary Syndrome/epidemiology; Adrenergic beta-Antagonists/administration &amp;amp; dosage; Alcohol Drinking; Angina Pectoris/drug therapy; Body Weight; Cholesterol, LDL/blood; Clopidogrel; Comorbidity; Cost of Illness; Depression/drug therapy/epidemiology; Diabetes Complications/diagnosis/therapy; *Disease Management; Electrocardiography; Exercise/physiology; Exercise Test; Glycated Hemoglobin/analysis; Health Behavior; Humans; Hypertension/prevention &amp;amp; control; Life Style; Myocardial Infarction/prevention &amp;amp; control; Myocardial Ischemia/*diagnosis/drug therapy/economics/epidemiology/*therapy; Myocardial Revascularization; Physical Examination; Platelet Aggregation Inhibitors/administration &amp;amp; dosage/therapeutic use; Quality of Life; Risk Assessment; Risk Factors; Risk Reduction Behavior; Smoking Cessation; Ticlopidine/administration &amp;amp; dosage/analogs &amp;amp; derivatives/therapeutic use&lt;/_subject_headings&gt;&lt;_tertiary_title&gt;Journal of the American College of Cardiology&lt;/_tertiary_title&gt;&lt;_type_work&gt;Journal Article; Practice Guideline&lt;/_type_work&gt;&lt;_url&gt;https://go.exlibris.link/ywvkkvqT&lt;/_url&gt;&lt;_volume&gt;60&lt;/_volume&gt;&lt;/Details&gt;&lt;Extra&gt;&lt;DBUID&gt;{0595FEED-06EC-4465-A92A-123F8040CA41}&lt;/DBUID&gt;&lt;/Extra&gt;&lt;/Item&gt;&lt;/References&gt;&lt;/Group&gt;&lt;/Citation&gt;_x000a_"/>
    <w:docVar w:name="NE.Data.4{EB290A4A-0307-448F-BF9E-A98D9A525BA6}" w:val="R.A.H.), and Cedars-Sinai Medical Center, Los Angeles (D.S.B.) - both in  California; New York University Grossman School of Medicine (J.S.H., H.R.R., S.  Bangalore, J.S.B., J.D.N., S.M.), Weill Cornell Medicine/New York-Presbyterian  Hospital (L.J.S.), Cleerly (J.K.M.), the Cardiovascular Research Foundation  (Z.A.A., G.W.S.), Columbia University Irving Medical Center/New York-Presbyterian  Hospital (Z.A.A.), and Icahn School of Medicine at Mount Sinai (G.W.S.), New  York, Albany Medical College and Albany Medical Center, Albany (M.S.S.), and St.  Francis Hospital, Roslyn (Z.A.A.) - all in New York; Duke Clinical Research  Institute, Durham (S.M.O., K.P.A., R.D.L., D.B.M., F.W.R., S. Broderick), and  Brody School of Medicine, East Carolina University, Greenville (T.B.F.) - both in  North Carolina; Veterans Affairs (VA) New England Healthcare System and Boston  University School of Medicine (W.E.B.), Massachusetts General Hospital and  Harvard Medical School (M.H.P.), and Brigham and Women&amp;apos;s Hospital (R.Y.K.,  D.O.W.) - all in Boston; Saint Louis University School of Medicine, St. Louis  (B.R.C.), and the Saint Luke&amp;apos;s Mid America Heart Institute and the University of  Missouri-Kansas City School of Medicine, Kansas City (J.A.S.); Northwick Park  Hospital (R.S., A.E.) and Imperial College London and Royal Brompton Hospital  (R.S.) - all in London; Hospital Universitario La Paz, Instituto de Investigación  de La Paz, Centro de Investigación Biomédica en Red Cardiovascular, Madrid  (J.L.-S.), and Complejo Hospitalario Universitario A Coruna, Centro de  Investigación Biomédica en Red Cardiovascular, A Coruna (J.P.) - all in Spain;  Canadian Heart Research Centre and St. Michael&amp;apos;s Hospital, University of Toronto,  Toronto (S.G.G.), Montreal Heart Institute Research Center, Montreal (G.G.), and  the University of British Columbia, Vancouver (G.B.J.M.) - all in Canada; the  Department of Coronary and Structural Heart Diseases (M.D.), National Institute  of Cardiology (W.R., M.D., H.S.), Warsaw, Poland; Associazione Nazionale Medici  Cardiologi Ospedalieri, Florence, Italy (A.P.M.); Auckland Hospital Green Lane  Cardiovascular Services, Auckland, New Zealand (H.D.W.); All India Institute of  Medical Sciences, New Delhi (B.B.), Government Medical College Kozhikode, Kerala  (M.N.K.), and Sri Jayadeva Institute of Cardiovascular Sciences and Research,  Bangalore (N.M.) - all in India; Instituto do Cora??o, Hospital das Clínicas da  Faculdade de Medicina da Universidade de S?o Paulo, Faculdade de Medicina,  Universidade de S?o Paulo, S?o Paulo (W.A.H.); Emory University School of  Medicine-Atlanta VA Medical Center, Decatur, Georgia (K.M.); the National  Research Center for Cardiovascular Surgery, Moscow (O.B.); Mayo Clinic,  Rochester, MN (T.D.M.); Praxisklinik Herz und Gefaesse, Dresden, Germany (R.D.);  Semmelweis University, Budapest, Hungary (M.K.); Flinders University, Flinders  Medical Centre, Adelaide, SA, Australia (J.B.S.); Université de Paris, Assistance  Publique-H?pitaux de Paris, and INSERM Unité 1148, Paris (P.G.S.); the Department  of Medical Sciences, Cardiology, Uppsala Clinical Research Center, Uppsala  University, Uppsala, Sweden (C.H.); Keio University School of Medicine, Shinjuku,  Tokyo (S.K.); the National Institutes of Health, Bethesda, MD (R.K., N.O.J.,  Y.R.); and Vanderbilt University School of Medicine, Nashville (F.E.H.).&lt;/_author_adr&gt;&lt;_collection_scope&gt;SCIE&lt;/_collection_scope&gt;&lt;_created&gt;66401353&lt;/_created&gt;&lt;_date&gt;63256320&lt;/_date&gt;&lt;_date_display&gt;2020 Apr 9&lt;/_date_display&gt;&lt;_db_updated&gt;CrossRef&lt;/_db_updated&gt;&lt;_doi&gt;10.1056/NEJMoa1915922&lt;/_doi&gt;&lt;_impact_factor&gt;  96.300&lt;/_impact_factor&gt;&lt;_isbn&gt;0028-4793&lt;/_isbn&gt;&lt;_issue&gt;15&lt;/_issue&gt;&lt;_journal&gt;New England Journal of Medicine&lt;/_journal&gt;&lt;_language&gt;eng&lt;/_language&gt;&lt;_modified&gt;66401436&lt;/_modified&gt;&lt;_number&gt;47&lt;/_number&gt;&lt;_ori_publication&gt;Copyright ? 2020 Massachusetts Medical Society.&lt;/_ori_publication&gt;&lt;_pages&gt;1395-1407&lt;/_pages&gt;&lt;_social_category&gt;医学：内科(1)&lt;/_social_category&gt;&lt;_subject_headings&gt;Aged; Angina, Unstable/epidemiology; Bayes Theorem; *Cardiac Catheterization; Cardiovascular Diseases/mortality; Computed Tomography Angiography; Coronary Angiography; *Coronary Artery Bypass; Coronary Disease/diagnostic imaging/*drug therapy/*surgery; Female; Humans; Kaplan-Meier Estimate; Male; Middle Aged; Myocardial Ischemia/therapy; Myocardial Revascularization/*methods; *Percutaneous Coronary Intervention; Quality of Life&lt;/_subject_headings&gt;&lt;_tertiary_title&gt;N Engl J Med&lt;/_tertiary_title&gt;&lt;_type_work&gt;Comparative Study; Journal Article; Multicenter Study; Randomized Controlled Trial; Research Support, N.I.H., Extramural; Research Support, Non-U.S. Gov&amp;apos;t&lt;/_type_work&gt;&lt;_url&gt;http://www.nejm.org/doi/10.1056/NEJMoa1915922_x000d__x000a_http://www.nejm.org/doi/pdf/10.1056/NEJMoa1915922&lt;/_url&gt;&lt;_volume&gt;382&lt;/_volume&gt;&lt;/Details&gt;&lt;Extra&gt;&lt;DBUID&gt;{0595FEED-06EC-4465-A92A-123F8040CA41}&lt;/DBUID&gt;&lt;/Extra&gt;&lt;/Item&gt;&lt;/References&gt;&lt;/Group&gt;&lt;Group&gt;&lt;References&gt;&lt;Item&gt;&lt;ID&gt;2626&lt;/ID&gt;&lt;UID&gt;{2E63D038-A957-4F97-972B-7F8023A9E710}&lt;/UID&gt;&lt;Title&gt;2012 ACCF/AHA/ACP/AATS/PCNA/SCAI/STS Guideline for the diagnosis and management of patients with stable ischemic heart disease: a report of the American College of Cardiology Foundation/American Heart Association Task Force on Practice Guidelines, and the American College of Physicians, American Association for Thoracic Surgery, Preventive Cardiovascular Nurses Association, Society for Cardiovascular Angiography and Interventions, and Society of Thoracic Surgeons&lt;/Title&gt;&lt;Template&gt;Journal Article&lt;/Template&gt;&lt;Star&gt;0&lt;/Star&gt;&lt;Tag&gt;0&lt;/Tag&gt;&lt;Author&gt;Fihn, Stephan D; Gardin, Julius M; Abrams, Jonathan; Berra, Kathleen; Blankenship, James C; Dallas, Apostolos P; Douglas, Pamela S; Foody, Joanne M; Gerber, Thomas C; Hinderliter, Alan L; King, Rd Spencer B; Kligfield, Paul D; Krumholz, Harlan M; Kwong, Raymond Y K; Lim, Michael J; Linderbaum, Jane A; Mack, Michael J; Munger, Mark A; Prager, Richard L; Sabik, Joseph F; Shaw, Leslee J; Sikkema, Joanna D; Smith, Jr Craig R; Smith, Jr Sidney C; Spertus, John A; Williams, Sankey V; American, College Of Cardiology Foundation; American, College Of Physicians; American, Heart Association Task Force; Society, For Cardiovascular Angiography And; Society, Of Thoracic Surgeons; American, Association For Thoracic Surgery; Preventive, Cardiovascular Nurses Association&lt;/Author&gt;&lt;Year&gt;2012&lt;/Year&gt;&lt;Details&gt;&lt;_accessed&gt;66401419&lt;/_accessed&gt;&lt;_accession_num&gt;23182125&lt;/_accession_num&gt;&lt;_collection_scope&gt;SCIE&lt;/_collection_scope&gt;&lt;_created&gt;66401353&lt;/_created&gt;&lt;_date&gt;58906080&lt;/_date&gt;&lt;_date_display&gt;2012&lt;/_date_display&gt;&lt;_db_updated&gt;PKU Search&lt;/_db_updated&gt;&lt;_doi&gt;10.1016/j.jacc.2012.07.013&lt;/_doi&gt;&lt;_impact_factor&gt;  21.700&lt;/_impact_factor&gt;&lt;_isbn&gt;1558-3597&lt;/_isbn&gt;&lt;_issue&gt;24&lt;/_issue&gt;&lt;_journal&gt;Journal of the American College of Cardiology&lt;/_journal&gt;&lt;_keywords&gt;Acute Coronary Syndrome - epidemiology; Adrenergic beta-Antagonists - administration &amp;amp; dosage; Alcohol Drinking; Angina Pectoris - drug therapy; Body Weight; Cholesterol, LDL - blood; Clopidogrel; Comorbidity; Cost of Illness; Depression - drug therapy; Depression - epidemiology; Diabetes Complications - diagnosis; Diabetes Complications - therapy; Disease Management; Electrocardiography; Exercise - physiology; Exercise Test; Glycated Hemoglobin - analysis; Health Behavior; Humans; Hypertension - prevention &amp;amp; control; Life Style; Myocardial Infarction - prevention &amp;amp; control; Myocardial Ischemia - diagnosis; Myocardial Ischemia - drug therapy; Myocardial Ischemia - economics; Myocardial Ischemia - epidemiology; Myocardial Ischemia - therapy; Myocardial Revascularization; Physical Examination; Platelet Aggregation Inhibitors - administration &amp;amp; dosage; Platelet Aggregation Inhibitors - therapeutic use; Quality of Life; Risk Assessment; Risk Factors; Risk Reduction Behavior; Smoking Cessation; Ticlopidine - administration &amp;amp; dosage; Ticlopidine - analogs &amp;amp; derivatives; Ticlopidine - therapeutic use&lt;/_keywords&gt;&lt;_language&gt;eng&lt;/_language&gt;&lt;_modified&gt;66401436&lt;/_modified&gt;&lt;_number&gt;48&lt;/_number&gt;&lt;_pages&gt;e44&lt;/_pages&gt;&lt;_place_published&gt;United States&lt;/_place_published&gt;&lt;_social_category&gt;心脏和心血管系统(1)&lt;/_social_category&gt;&lt;_subject_headings&gt;Acute Coronary Syndrome/epidemiology; Adrenergic beta-Antagonists/administration &amp;amp; dosage; Alcohol Drinking; Angina Pectoris/drug therapy; Body Weight; Cholesterol, LDL/blood; Clopidogrel; Comorbidity; Cost of Illness; Depression/drug therapy/epidemiology; Diabetes Complications/diagnosis/therapy; *Disease Management; Electrocardiography; Exercise/physiology; Exercise Test; Glycated Hemoglobin/analysis; Health Behavior; Humans; Hypertension/prevention &amp;amp; control; Life Style; Myocardial Infarction/prevention &amp;amp; control; Myocardial Ischemia/*diagnosis/drug therapy/economics/epidemiology/*therapy; Myocardial Revascularization; Physical Examination; Platelet Aggregation Inhibitors/administration &amp;amp; dosage/therapeutic use; Quality of Life; Risk Assessment; Risk Factors; Risk Reduction Behavior; Smoking Cessation; Ticlopidine/administration &amp;amp; dosage/analogs &amp;amp; derivatives/therapeutic use&lt;/_subject_headings&gt;&lt;_tertiary_title&gt;Journal of the American College of Cardiology&lt;/_tertiary_title&gt;&lt;_type_work&gt;Journal Article; Practice Guideline&lt;/_type_work&gt;&lt;_url&gt;https://go.exlibris.link/FpLJZXRs&lt;/_url&gt;&lt;_volume&gt;60&lt;/_volume&gt;&lt;/Details&gt;&lt;Extra&gt;&lt;DBUID&gt;{0595FEED-06EC-4465-A92A-123F8040CA41}&lt;/DBUID&gt;&lt;/Extra&gt;&lt;/Item&gt;&lt;/References&gt;&lt;/Group&gt;&lt;/Citation&gt;_x000a_"/>
    <w:docVar w:name="NE.Ref{006C232B-F653-4C44-A3C8-B24BA8B3E186}" w:val=" ADDIN NE.Ref.{006C232B-F653-4C44-A3C8-B24BA8B3E186}&lt;Citation&gt;&lt;Group&gt;&lt;References&gt;&lt;Item&gt;&lt;ID&gt;2603&lt;/ID&gt;&lt;UID&gt;{54538B32-2F51-4E92-8D23-ADE8C2ED4D6C}&lt;/UID&gt;&lt;Title&gt;Stress hyperglycemia ratio predicts outcome in stroke patients without diabetes and builds a nomogram: a multi-center retrospective cohort study in a Chinese population&lt;/Title&gt;&lt;Template&gt;Journal Article&lt;/Template&gt;&lt;Star&gt;0&lt;/Star&gt;&lt;Tag&gt;0&lt;/Tag&gt;&lt;Author&gt;Yao, Manjuan; Hu, Shiyu; Li, Shaoling; Liao, Yuqi; Ren, Lijie&lt;/Author&gt;&lt;Year&gt;2026&lt;/Year&gt;&lt;Details&gt;&lt;_accessed&gt;66401361&lt;/_accessed&gt;&lt;_accession_num&gt;41540480&lt;/_accession_num&gt;&lt;_author_adr&gt;Department of Neurology, Shenzhen University First Affiliated Hospital, Shenzhen  Second People&amp;apos;s Hospital, No. 3002 Sungang West Road, Shenzhen, 518035, China.; Shenzhen University School of Medicine, Shenzhen, China.; Department of Neurology, Shenzhen University First Affiliated Hospital, Shenzhen  Second People&amp;apos;s Hospital, No. 3002 Sungang West Road, Shenzhen, 518035, China.; Department of Neurology, Shenzhen University First Affiliated Hospital, Shenzhen  Second People&amp;apos;s Hospital, No. 3002 Sungang West Road, Shenzhen, 518035, China.; Shenzhen University School of Medicine, Shenzhen, China.; Department of Neurology, Shenzhen University First Affiliated Hospital, Shenzhen  Second People&amp;apos;s Hospital, No. 3002 Sungang West Road, Shenzhen, 518035, China.; Shenzhen University School of Medicine, Shenzhen, China.; Department of Neurology, Shenzhen University First Affiliated Hospital, Shenzhen  Second People&amp;apos;s Hospital, No. 3002 Sungang West Road, Shenzhen, 518035, China.  13631605966@126.com.; Quality Control Center for Nervous System Diseases of Shenzhen, Shenzhen, China.  13631605966@126.com.&lt;/_author_adr&gt;&lt;_collection_scope&gt;SCIE&lt;/_collection_scope&gt;&lt;_created&gt;66401336&lt;/_created&gt;&lt;_date&gt;66290400&lt;/_date&gt;&lt;_date_display&gt;2026 Jan 15&lt;/_date_display&gt;&lt;_db_updated&gt;CrossRef&lt;/_db_updated&gt;&lt;_doi&gt;10.1186/s40001-025-03811-w&lt;/_doi&gt;&lt;_impact_factor&gt;   2.800&lt;/_impact_factor&gt;&lt;_isbn&gt;2047-783X&lt;/_isbn&gt;&lt;_issue&gt;1&lt;/_issue&gt;&lt;_journal&gt;European Journal of Medical Research&lt;/_journal&gt;&lt;_keywords&gt;Acute ischemic stroke; Nomogram; Non-diabetic; Prognosis; Stress hyperglycemia ratio&lt;/_keywords&gt;&lt;_language&gt;eng&lt;/_language&gt;&lt;_modified&gt;66401436&lt;/_modified&gt;&lt;_number&gt;28&lt;/_number&gt;&lt;_ori_publication&gt;© 2026. The Author(s).&lt;/_ori_publication&gt;&lt;_pages&gt;272&lt;/_pages&gt;&lt;_social_category&gt;医学：研究与实验(4)&lt;/_social_category&gt;&lt;_subject_headings&gt;Humans; *Nomograms; Male; Female; *Hyperglycemia/blood/epidemiology/complications; Retrospective Studies; Middle Aged; Aged; Prognosis; Blood Glucose/analysis; China/epidemiology; Glycated Hemoglobin/analysis; *Stroke/blood; Diabetes Mellitus/blood; East Asian People&lt;/_subject_headings&gt;&lt;_tertiary_title&gt;Eur J Med Res&lt;/_tertiary_title&gt;&lt;_type_work&gt;Journal Article; Multicenter Study&lt;/_type_work&gt;&lt;_url&gt;https://link.springer.com/10.1186/s40001-025-03811-w_x000d__x000a_https://link.springer.com/content/pdf/10.1186/s40001-025-03811-w.pdf&lt;/_url&gt;&lt;_volume&gt;31&lt;/_volume&gt;&lt;/Details&gt;&lt;Extra&gt;&lt;DBUID&gt;{0595FEED-06EC-4465-A92A-123F8040CA41}&lt;/DBUID&gt;&lt;/Extra&gt;&lt;/Item&gt;&lt;/References&gt;&lt;/Group&gt;&lt;/Citation&gt;_x000a_"/>
    <w:docVar w:name="NE.Ref{033EB49F-E9C3-482A-96B8-9DC420F023CC}" w:val=" ADDIN NE.Ref.{033EB49F-E9C3-482A-96B8-9DC420F023CC}&lt;Citation&gt;&lt;Group&gt;&lt;References&gt;&lt;Item&gt;&lt;ID&gt;2742&lt;/ID&gt;&lt;UID&gt;{1D320216-9D20-4A69-8AF5-9890EFF5198A}&lt;/UID&gt;&lt;Title&gt;Intensive versus Conventional Glucose Control in Critically Ill Patients&lt;/Title&gt;&lt;Template&gt;Journal Article&lt;/Template&gt;&lt;Star&gt;0&lt;/Star&gt;&lt;Tag&gt;0&lt;/Tag&gt;&lt;Author&gt;Finfer, Simon; Chittock, Dean R; Su, Steve Yu-Shuo; Blair, Deborah; Foster, Denise; Dhingra, Vinay; Bellomo, Rinaldo; Cook, Deborah; Dodek, Peter; Henderson, William R; Hébert, Paul C; Heritier, Stephane; Heyland, Daren K; McArthur, Colin; McDonald, Ellen; Mitchell, Imogen; Myburgh, John A; Norton, Robyn; Potter, Julie; Robinson, Bruce G; Ronco, Juan J&lt;/Author&gt;&lt;Year&gt;2009&lt;/Year&gt;&lt;Details&gt;&lt;_accessed&gt;66402460&lt;/_accessed&gt;&lt;_accession_num&gt;19318384&lt;/_accession_num&gt;&lt;_collection_scope&gt;SCIE&lt;/_collection_scope&gt;&lt;_created&gt;66402445&lt;/_created&gt;&lt;_date&gt;57450240&lt;/_date&gt;&lt;_date_display&gt;2009 Mar 26&lt;/_date_display&gt;&lt;_db_updated&gt;CrossRef&lt;/_db_updated&gt;&lt;_doi&gt;10.1056/NEJMoa0810625&lt;/_doi&gt;&lt;_impact_factor&gt;  96.300&lt;/_impact_factor&gt;&lt;_isbn&gt;0028-4793&lt;/_isbn&gt;&lt;_issue&gt;13&lt;/_issue&gt;&lt;_journal&gt;New England Journal of Medicine&lt;/_journal&gt;&lt;_language&gt;eng&lt;/_language&gt;&lt;_modified&gt;66402460&lt;/_modified&gt;&lt;_number&gt;47&lt;/_number&gt;&lt;_ori_publication&gt;2009 Massachusetts Medical Society&lt;/_ori_publication&gt;&lt;_pages&gt;1283-1297&lt;/_pages&gt;&lt;_social_category&gt;医学：内科(1)&lt;/_social_category&gt;&lt;_subject_headings&gt;Adrenal Cortex Hormones/therapeutic use; *Blood Glucose/analysis; Critical Care/*methods; Critical Illness/mortality/*therapy; Female; Humans; Hyperglycemia/*drug therapy; Hypoglycemia/chemically induced; Hypoglycemic Agents/adverse effects/*therapeutic use; Insulin/adverse effects/*therapeutic use; Intensive Care Units; Kaplan-Meier Estimate; Length of Stay; Male; Middle Aged&lt;/_subject_headings&gt;&lt;_tertiary_title&gt;N Engl J Med&lt;/_tertiary_title&gt;&lt;_type_work&gt;Comparative Study; Journal Article; Randomized Controlled Trial; Research Support, Non-U.S. Gov&amp;apos;t&lt;/_type_work&gt;&lt;_url&gt;http://www.nejm.org/doi/abs/10.1056/NEJMoa0810625_x000d__x000a_http://www.nejm.org/doi/pdf/10.1056/NEJMoa0810625&lt;/_url&gt;&lt;_volume&gt;360&lt;/_volume&gt;&lt;/Details&gt;&lt;Extra&gt;&lt;DBUID&gt;{0595FEED-06EC-4465-A92A-123F8040CA41}&lt;/DBUID&gt;&lt;/Extra&gt;&lt;/Item&gt;&lt;/References&gt;&lt;/Group&gt;&lt;/Citation&gt;_x000a_"/>
    <w:docVar w:name="NE.Ref{06948806-9E5E-4F6E-8FFE-5839BDE0F011}" w:val=" ADDIN NE.Ref.{06948806-9E5E-4F6E-8FFE-5839BDE0F011}&lt;Citation&gt;&lt;Group&gt;&lt;References&gt;&lt;Item&gt;&lt;ID&gt;2691&lt;/ID&gt;&lt;UID&gt;{097295E6-84F4-4A18-A52F-03B69764BCF3}&lt;/UID&gt;&lt;Title&gt;2019 ESC Guidelines for the diagnosis and management of chronic coronary syndromes&lt;/Title&gt;&lt;Template&gt;Journal Article&lt;/Template&gt;&lt;Star&gt;0&lt;/Star&gt;&lt;Tag&gt;0&lt;/Tag&gt;&lt;Author&gt;Knuuti, Juhani; Wijns, William; Saraste, Antti; Capodanno, Davide; Barbato, Emanuele; Funck-Brentano, Christian; Prescott, Eva; Storey, Robert F; Deaton, Christi; Cuisset, Thomas; Agewall, Stefan; Dickstein, Kenneth; Edvardsen, Thor; Escaned, Javier; Gersh, Bernard J; Svitil, Pavel; Gilard, Martine; Hasdai, David; Hatala, Robert; Mahfoud, Felix; Masip, Josep; Muneretto, Claudio; Valgimigli, Marco; Achenbach, Stephan; Bax, Jeroen J; Neumann, Franz-Josef; Sechtem, Udo; Banning, Adrian Paul; Bonaros, Nikolaos; Bueno, Héctor; Bugiardini, Raffaele; Chieffo, Alaide; Crea, Filippo; Czerny, Martin; Delgado, Victoria; Dendale, Paul; Flachskampf, Frank Arnold; Gohlke, Helmut; Grove, Erik Lerkevang; James, Stefan; Katritsis, Demosthenes; Landmesser, Ulf; Lettino, Maddalena; Matter, Christian M; Nathoe, Hendrik; Niessner, Alexander; Patrono, Carlo; Petronio, Anna Sonia; Pettersen, Steffen E; Piccolo, Raffaele; Piepoli, Massimo Francesco; Popescu, Bogdan A; Räber, Lorenz; Richter, Dimitrios J; Roffi, Marco; Roithinger, Franz X; Shlyakhto, Evgeny; Sibbing, Dirk; Silber, Sigmund; Simpson, Iain A; Sousa-Uva, Miguel; Vardas, Panos; Witkowski, Adam; Zamorano, Jose Luis; Achenbach, Stephan; Agewall, Stefan; Barbato, Emanuele; Bax, Jeroen J; Capodanno, Davide; Cuisset, Thomas; Deaton, Christi; Dickstein, Kenneth; Edvardsen, Thor; Escaned, Javier; Funck-Brentano, Christian; Gersh, Bernard J; Gilard, Martine; Hasdai, David; Hatala, Robert; Mahfoud, Felix; Masip, Josep; Muneretto, Claudio; Prescott, Eva; Saraste, Antti; Storey, Robert F; Svitil, Pavel; Valgimigli, Marco; Windecker, Stephan; Aboyans, Victor; Baigent, Colin; Collet, Jean-Philippe; Dean, Veronica; Delgado, Victoria; Fitzsimons, Donna; Gale, Christopher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Benkhedda, Salim; Metzler, Bernhard; Sujayeva, Volha; Cosyns, Bernard; Kusljugic, Zumreta; Velchev, Vasil; Panayi, Georgios; Kala, Petr; Haahr-Pedersen, Sune Ammentorp; Kabil, Hamza; Ainla, Tiia; Kaukonen, Tomi; Cayla, Guillaume; Pagava, Zurab; Woehrle, Jochen; Kanakakis, John; Tóth, Kálmán; Gudnason, Thorarinn; Peace, Aaron; Aronson, Doron; Riccio, Carmine; Elezi, Shpend; Mirrakhimov, Erkin; Hansone, Silvija; Sarkis, Antoine; Babarskiene, Ruta; Beissel, Jean; Maempel, Andrew J Cassar; Revenco, Valeriu; de Grooth, G J; Pejkov, Hristo; Juliebø, Vibeke; Lipiec, Piotr; Santos, José; Chioncel, Ovidiu; Duplyakov, Dmitry; Bertelli, Luca; Dikic, Ana Djordjevic; Studenčan, Martin; Bunc, Matjaz; Alfonso, Fernando; Bäck, Magnus; Zellweger, Michael; Addad, Faouzi; Yildirir, Aylin; Sirenko, Yuriy; Clapp, Brian&lt;/Author&gt;&lt;Year&gt;2020&lt;/Year&gt;&lt;Details&gt;&lt;_accessed&gt;66402457&lt;/_accessed&gt;&lt;_accession_num&gt;31504439&lt;/_accession_num&gt;&lt;_collection_scope&gt;SCIE&lt;/_collection_scope&gt;&lt;_created&gt;66401449&lt;/_created&gt;&lt;_date&gt;63132480&lt;/_date&gt;&lt;_date_display&gt;2020 Jan 14&lt;/_date_display&gt;&lt;_db_updated&gt;CrossRef&lt;/_db_updated&gt;&lt;_doi&gt;10.1093/eurheartj/ehz425&lt;/_doi&gt;&lt;_impact_factor&gt;  38.100&lt;/_impact_factor&gt;&lt;_isbn&gt;0195-668X&lt;/_isbn&gt;&lt;_issue&gt;3&lt;/_issue&gt;&lt;_journal&gt;European Heart Journal&lt;/_journal&gt;&lt;_keywords&gt;Guidelines; angina pectoris; anti-ischaemic drugs; antithrombotic therapy; chronic coronary syndromes; coronary artery disease; diagnostic testing; imaging; lifestyle modifications; lipid-lowering drugs; microvascular angina; myocardial ischaemia; myocardial revascularization; risk assessment; screening; vasospastic angina&lt;/_keywords&gt;&lt;_language&gt;eng&lt;/_language&gt;&lt;_modified&gt;66402457&lt;/_modified&gt;&lt;_number&gt;4&lt;/_number&gt;&lt;_pages&gt;407-477&lt;/_pages&gt;&lt;_social_category&gt;心脏和心血管系统(1)&lt;/_social_category&gt;&lt;_subject_headings&gt;*Cardiology; Chronic Disease; Coronary Artery Disease/*diagnosis/therapy; *Diagnostic Techniques, Cardiovascular; *Disease Management; Europe; Humans; *Societies, Medical; Syndrome&lt;/_subject_headings&gt;&lt;_tertiary_title&gt;European heart journal&lt;/_tertiary_title&gt;&lt;_type_work&gt;Journal Article; Practice Guideline&lt;/_type_work&gt;&lt;_url&gt;https://academic.oup.com/eurheartj/article/41/3/407/5556137_x000d__x000a_http://academic.oup.com/eurheartj/article-pdf/41/3/407/32651471/ehz425.pdf&lt;/_url&gt;&lt;_volume&gt;41&lt;/_volume&gt;&lt;/Details&gt;&lt;Extra&gt;&lt;DBUID&gt;{0595FEED-06EC-4465-A92A-123F8040CA41}&lt;/DBUID&gt;&lt;/Extra&gt;&lt;/Item&gt;&lt;/References&gt;&lt;/Group&gt;&lt;Group&gt;&lt;References&gt;&lt;Item&gt;&lt;ID&gt;2693&lt;/ID&gt;&lt;UID&gt;{B19EC09A-3616-4252-A7F7-FAFE5D6B4115}&lt;/UID&gt;&lt;Title&gt;2012 ACCF/AHA/ACP/AATS/PCNA/SCAI/STS Guideline for the Diagnosis and Management of Patients With Stable Ischemic Heart Disease&lt;/Title&gt;&lt;Template&gt;Journal Article&lt;/Template&gt;&lt;Star&gt;0&lt;/Star&gt;&lt;Tag&gt;0&lt;/Tag&gt;&lt;Author&gt;Fihn, Stephan D; Gardin, Julius M; Abrams, Jonathan; Berra, Kathleen; Blankenship, James C; Dallas, Apostolos P; Douglas, Pamela S; Foody, JoAnne M; Gerber, Thomas C; Hinderliter, Alan L; King, Spencer B; Kligfield, Paul D; Krumholz, Harlan M; Kwong, Raymond Y K; Lim, Michael J; Linderbaum, Jane A; Mack, Michael J; Munger, Mark A; Prager, Richard L; Sabik, Joseph F; Shaw, Leslee J; Sikkema, Joanna D; Smith, Craig R; Smith, Sidney C; Spertus, John A; Williams, Sankey V&lt;/Author&gt;&lt;Year&gt;2012&lt;/Year&gt;&lt;Details&gt;&lt;_accessed&gt;66402457&lt;/_accessed&gt;&lt;_accession_num&gt;23166211&lt;/_accession_num&gt;&lt;_collection_scope&gt;SCIE&lt;/_collection_scope&gt;&lt;_created&gt;66401449&lt;/_created&gt;&lt;_date&gt;59412960&lt;/_date&gt;&lt;_date_display&gt;2012 Dec 18&lt;/_date_display&gt;&lt;_db_updated&gt;CrossRef&lt;/_db_updated&gt;&lt;_doi&gt;10.1161/CIR.0b013e318277d6a0&lt;/_doi&gt;&lt;_impact_factor&gt;  35.600&lt;/_impact_factor&gt;&lt;_isbn&gt;0009-7322&lt;/_isbn&gt;&lt;_issue&gt;25&lt;/_issue&gt;&lt;_journal&gt;Circulation&lt;/_journal&gt;&lt;_language&gt;eng&lt;/_language&gt;&lt;_modified&gt;66402457&lt;/_modified&gt;&lt;_number&gt;5&lt;/_number&gt;&lt;_pages&gt;e354-471&lt;/_pages&gt;&lt;_social_category&gt;心脏和心血管系统(1) &amp;amp; 外周血管病(1)&lt;/_social_category&gt;&lt;_subject_headings&gt;Coronary Angiography; Coronary Artery Bypass; Echocardiography; Exercise Test; Humans; Myocardial Ischemia/*diagnosis/*therapy; Myocardial Revascularization; Patient Education as Topic; Risk Assessment&lt;/_subject_headings&gt;&lt;_tertiary_title&gt;Circulation&lt;/_tertiary_title&gt;&lt;_type_work&gt;Journal Article; Practice Guideline&lt;/_type_work&gt;&lt;_url&gt;https://www.ahajournals.org/doi/10.1161/CIR.0b013e318277d6a0_x000d__x000a_https://www.ahajournals.org/doi/full/10.1161/CIR.0b013e318277d6a0&lt;/_url&gt;&lt;_volume&gt;126&lt;/_volume&gt;&lt;/Details&gt;&lt;Extra&gt;&lt;DBUID&gt;{0595FEED-06EC-4465-A92A-123F8040CA41}&lt;/DBUID&gt;&lt;/Extra&gt;&lt;/Item&gt;&lt;/References&gt;&lt;/Group&gt;&lt;/Citation&gt;_x000a_"/>
    <w:docVar w:name="NE.Ref{07EF75D2-E9C2-4A66-B8BC-894243C92C97}" w:val=" ADDIN NE.Ref.{07EF75D2-E9C2-4A66-B8BC-894243C92C97}&lt;Citation&gt;&lt;Group&gt;&lt;References&gt;&lt;Item&gt;&lt;ID&gt;2582&lt;/ID&gt;&lt;UID&gt;{B63D7E66-1421-4C1C-961D-DF24C0E5EA46}&lt;/UID&gt;&lt;Title&gt;Admission Glucose and Mortality in Elderly Patients Hospitalized With Acute Myocardial Infarction&lt;/Title&gt;&lt;Template&gt;Journal Article&lt;/Template&gt;&lt;Star&gt;0&lt;/Star&gt;&lt;Tag&gt;0&lt;/Tag&gt;&lt;Author&gt;Kosiborod, Mikhail; Rathore, Saif S; Inzucchi, Silvio E; Masoudi, Frederick A; Wang, Yongfei; Havranek, Edward P; Krumholz, Harlan M&lt;/Author&gt;&lt;Year&gt;2005&lt;/Year&gt;&lt;Details&gt;&lt;_accessed&gt;66401360&lt;/_accessed&gt;&lt;_accession_num&gt;15939812&lt;/_accession_num&gt;&lt;_author_adr&gt;Section of Cardiovascular Medicine, Yale University School of Medicine, 333 Cedar  St, PO Box 208088, New Haven, CT 06520-8088, USA.&lt;/_author_adr&gt;&lt;_collection_scope&gt;SCIE&lt;/_collection_scope&gt;&lt;_created&gt;66401319&lt;/_created&gt;&lt;_date&gt;55461600&lt;/_date&gt;&lt;_date_display&gt;2005 Jun 14&lt;/_date_display&gt;&lt;_db_updated&gt;CrossRef&lt;/_db_updated&gt;&lt;_doi&gt;10.1161/CIRCULATIONAHA.104.517839&lt;/_doi&gt;&lt;_impact_factor&gt;  35.600&lt;/_impact_factor&gt;&lt;_isbn&gt;0009-7322&lt;/_isbn&gt;&lt;_issue&gt;23&lt;/_issue&gt;&lt;_journal&gt;Circulation&lt;/_journal&gt;&lt;_language&gt;eng&lt;/_language&gt;&lt;_modified&gt;66401434&lt;/_modified&gt;&lt;_number&gt;11&lt;/_number&gt;&lt;_pages&gt;3078-3086&lt;/_pages&gt;&lt;_social_category&gt;心脏和心血管系统(1) &amp;amp; 外周血管病(1)&lt;/_social_category&gt;&lt;_subject_headings&gt;Aged; Aged, 80 and over; Blood Glucose/*analysis; Case-Control Studies; Diabetes Mellitus/mortality; Female; Hospital Mortality; Humans; Hyperglycemia/complications; Male; Myocardial Infarction/blood/complications/*mortality; Patient Admission; Survival Rate; Treatment Outcome&lt;/_subject_headings&gt;&lt;_tertiary_title&gt;Circulation&lt;/_tertiary_title&gt;&lt;_type_work&gt;Journal Article; Research Support, N.I.H., Extramural; Research Support, Non-U.S. Gov&amp;apos;t; Research Support, U.S. Gov&amp;apos;t, P.H.S.&lt;/_type_work&gt;&lt;_url&gt;https://www.ahajournals.org/doi/10.1161/CIRCULATIONAHA.104.517839_x000d__x000a_https://www.ahajournals.org/doi/full/10.1161/CIRCULATIONAHA.104.517839&lt;/_url&gt;&lt;_volume&gt;111&lt;/_volume&gt;&lt;/Details&gt;&lt;Extra&gt;&lt;DBUID&gt;{0595FEED-06EC-4465-A92A-123F8040CA41}&lt;/DBUID&gt;&lt;/Extra&gt;&lt;/Item&gt;&lt;/References&gt;&lt;/Group&gt;&lt;/Citation&gt;_x000a_"/>
    <w:docVar w:name="NE.Ref{0C8E2DB1-27A9-4347-8429-AF89967E9283}" w:val=" ADDIN NE.Ref.{0C8E2DB1-27A9-4347-8429-AF89967E9283}&lt;Citation&gt;&lt;Group&gt;&lt;References&gt;&lt;Item&gt;&lt;ID&gt;2599&lt;/ID&gt;&lt;UID&gt;{F63546CC-57BC-480F-9D82-352E2AB56D5E}&lt;/UID&gt;&lt;Title&gt;Relative Hyperglycemia, a Marker of Critical Illness: Introducing the Stress Hyperglycemia Ratio&lt;/Title&gt;&lt;Template&gt;Journal Article&lt;/Template&gt;&lt;Star&gt;0&lt;/Star&gt;&lt;Tag&gt;0&lt;/Tag&gt;&lt;Author&gt;Roberts, Gregory W; Quinn, Stephen J; Valentine, Nyoli; Alhawassi, Tariq; O&amp;apos;Dea, Hazel; Stranks, Stephen N; Burt, Morton G; Doogue, Matthew P&lt;/Author&gt;&lt;Year&gt;2015&lt;/Year&gt;&lt;Details&gt;&lt;_accessed&gt;66401361&lt;/_accessed&gt;&lt;_accession_num&gt;26485219&lt;/_accession_num&gt;&lt;_author_adr&gt;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lt;/_author_adr&gt;&lt;_collection_scope&gt;SCIE&lt;/_collection_scope&gt;&lt;_created&gt;66401335&lt;/_created&gt;&lt;_date&gt;60965280&lt;/_date&gt;&lt;_date_display&gt;2015 Dec&lt;/_date_display&gt;&lt;_db_updated&gt;CrossRef&lt;/_db_updated&gt;&lt;_doi&gt;10.1210/jc.2015-2660&lt;/_doi&gt;&lt;_impact_factor&gt;   5.000&lt;/_impact_factor&gt;&lt;_isbn&gt;0021-972X&lt;/_isbn&gt;&lt;_issue&gt;12&lt;/_issue&gt;&lt;_journal&gt;The Journal of Clinical Endocrinology &amp;amp; Metabolism&lt;/_journal&gt;&lt;_language&gt;eng&lt;/_language&gt;&lt;_modified&gt;66401377&lt;/_modified&gt;&lt;_pages&gt;4490-4497&lt;/_pages&gt;&lt;_social_category&gt;内分泌学与代谢(2)&lt;/_social_category&gt;&lt;_subject_headings&gt;Adult; Australia/epidemiology; Biomarkers/*blood; Blood Glucose/metabolism; Cohort Studies; Critical Care; Critical Illness/*mortality; Female; Glycated Hemoglobin/analysis; Hospital Mortality; Hospitalization; Humans; Hyperglycemia/*blood; Male; Middle Aged; *Stress, Physiological&lt;/_subject_headings&gt;&lt;_tertiary_title&gt;The Journal of clinical endocrinology and metabolism&lt;/_tertiary_title&gt;&lt;_type_work&gt;Journal Article; Observational Study; Research Support, Non-U.S. Gov&amp;apos;t&lt;/_type_work&gt;&lt;_url&gt;https://academic.oup.com/jcem/article/100/12/4490/2536331_x000d__x000a_http://academic.oup.com/jcem/article-pdf/100/12/4490/10421980/jcem4490.pdf&lt;/_url&gt;&lt;_volume&gt;100&lt;/_volume&gt;&lt;/Details&gt;&lt;Extra&gt;&lt;DBUID&gt;{0595FEED-06EC-4465-A92A-123F8040CA41}&lt;/DBUID&gt;&lt;/Extra&gt;&lt;/Item&gt;&lt;/References&gt;&lt;/Group&gt;&lt;/Citation&gt;_x000a_"/>
    <w:docVar w:name="NE.Ref{0E737792-5B17-4DD8-8E00-BE9857A6F2D3}" w:val=" ADDIN NE.Ref.{0E737792-5B17-4DD8-8E00-BE9857A6F2D3}&lt;Citation&gt;&lt;Group&gt;&lt;References&gt;&lt;Item&gt;&lt;ID&gt;2574&lt;/ID&gt;&lt;UID&gt;{839E9A77-557E-4F1A-BBCA-860E60D99955}&lt;/UID&gt;&lt;Title&gt;Glucose homeostasis, nutrition and infections during critical illness&lt;/Title&gt;&lt;Template&gt;Journal Article&lt;/Template&gt;&lt;Star&gt;0&lt;/Star&gt;&lt;Tag&gt;0&lt;/Tag&gt;&lt;Author&gt;Ingels, C; Vanhorebeek, I; Van den Berghe, G&lt;/Author&gt;&lt;Year&gt;2018&lt;/Year&gt;&lt;Details&gt;&lt;_accessed&gt;66401419&lt;/_accessed&gt;&lt;_accession_num&gt;28082192&lt;/_accession_num&gt;&lt;_author_adr&gt;Clinical Department and Laboratory of Intensive Care Medicine, Division Cellular  and Molecular Medicine, KU Leuven, Belgium.; Clinical Department and Laboratory of Intensive Care Medicine, Division Cellular  and Molecular Medicine, KU Leuven, Belgium.; Clinical Department and Laboratory of Intensive Care Medicine, Division Cellular  and Molecular Medicine, KU Leuven, Belgium. Electronic address:  greet.vendenberghe@kuleuven.be.&lt;/_author_adr&gt;&lt;_collection_scope&gt;SCIE&lt;/_collection_scope&gt;&lt;_created&gt;66401313&lt;/_created&gt;&lt;_custom1&gt;3&lt;/_custom1&gt;&lt;_date&gt;2018-01-01&lt;/_date&gt;&lt;_date_display&gt;2018 Jan&lt;/_date_display&gt;&lt;_db_updated&gt;CrossRef&lt;/_db_updated&gt;&lt;_doi&gt;10.1016/j.cmi.2016.12.033&lt;/_doi&gt;&lt;_impact_factor&gt;  10.900&lt;/_impact_factor&gt;&lt;_isbn&gt;1198743X&lt;/_isbn&gt;&lt;_issue&gt;1&lt;/_issue&gt;&lt;_journal&gt;Clinical Microbiology and Infection&lt;/_journal&gt;&lt;_keywords&gt;Critical illness; Early macronutrient restriction; Endocrine alterations; Glucose homeostasis; Nutrition&lt;/_keywords&gt;&lt;_language&gt;eng&lt;/_language&gt;&lt;_modified&gt;66401419&lt;/_modified&gt;&lt;_number&gt;3&lt;/_number&gt;&lt;_ori_publication&gt;Copyright © 2017 European Society of Clinical Microbiology and Infectious _x000d__x000a_      Diseases. Published by Elsevier Ltd. All rights reserved.&lt;/_ori_publication&gt;&lt;_pages&gt;10-15&lt;/_pages&gt;&lt;_social_category&gt;传染病学(1) &amp;amp; 微生物学(2)&lt;/_social_category&gt;&lt;_subject_headings&gt;Blood Glucose/analysis; Critical Care/*methods; Critical Illness/mortality; Cross Infection/*prevention &amp;amp; control; Humans; Hyperglycemia/*drug therapy/mortality/*prevention &amp;amp; control; Hypoglycemic Agents/*therapeutic use; Insulin/*therapeutic use; Intensive Care Units; Macrophages/pathology; Parenteral Nutrition/statistics &amp;amp; numerical data; Phagocytosis/immunology; Respiratory Burst/physiology&lt;/_subject_headings&gt;&lt;_tertiary_title&gt;Clinical Microbiology and Infection&lt;/_tertiary_title&gt;&lt;_type_work&gt;Journal Article; Review&lt;/_type_work&gt;&lt;_url&gt;https://linkinghub.elsevier.com/retrieve/pii/S1198743X17300046_x000d__x000a_https://api.elsevier.com/content/article/PII:S1198743X17300046?httpAccept=text/xml&lt;/_url&gt;&lt;_volume&gt;24&lt;/_volume&gt;&lt;/Details&gt;&lt;Extra&gt;&lt;DBUID&gt;{0595FEED-06EC-4465-A92A-123F8040CA41}&lt;/DBUID&gt;&lt;/Extra&gt;&lt;/Item&gt;&lt;/References&gt;&lt;/Group&gt;&lt;/Citation&gt;_x000a_"/>
    <w:docVar w:name="NE.Ref{16E91D6C-3D0C-4DB8-90AA-9E7806B73E7F}" w:val=" ADDIN NE.Ref.{16E91D6C-3D0C-4DB8-90AA-9E7806B73E7F}&lt;Citation&gt;&lt;Group&gt;&lt;References&gt;&lt;Item&gt;&lt;ID&gt;2606&lt;/ID&gt;&lt;UID&gt;{00C35EC6-34CA-4673-8AAA-98522C309C21}&lt;/UID&gt;&lt;Title&gt;The association between the stress hyperglycaemia ratio and mortality in cardiovascular disease: a meta-analysis and systematic review&lt;/Title&gt;&lt;Template&gt;Journal Article&lt;/Template&gt;&lt;Star&gt;0&lt;/Star&gt;&lt;Tag&gt;0&lt;/Tag&gt;&lt;Author&gt;Esdaile, Harriet; Khan, Shaila; Mayet, Jamil; Oliver, Nick; Reddy, Monika; Shah, Anoop S V&lt;/Author&gt;&lt;Year&gt;2024&lt;/Year&gt;&lt;Details&gt;&lt;_accessed&gt;66401361&lt;/_accessed&gt;&lt;_accession_num&gt;39550575&lt;/_accession_num&gt;&lt;_author_adr&gt;Faculty of Medicine, Department of Metabolism, Digestion and Reproduction,  Imperial Centre for Translational and Experimental Medicine, Imperial College  London, London, UK. h.esdaile@imperial.ac.uk.; Faculty of Medicine, Department of Metabolism, Digestion and Reproduction,  Imperial Centre for Translational and Experimental Medicine, Imperial College  London, London, UK.; Faculty of Medicine, National Heart and Lung Institute, Imperial College London,  London, UK.; Faculty of Medicine, Department of Metabolism, Digestion and Reproduction,  Imperial Centre for Translational and Experimental Medicine, Imperial College  London, London, UK.; Faculty of Medicine, Department of Metabolism, Digestion and Reproduction,  Imperial Centre for Translational and Experimental Medicine, Imperial College  London, London, UK.; Department of Cardiology, Imperial College Healthcare NHS Trust, London, UK.; Department of Non Communicable Disease Epidemiology, London School of Hygiene and  Tropical Medicine, London, UK.&lt;/_author_adr&gt;&lt;_collection_scope&gt;SCIE&lt;/_collection_scope&gt;&lt;_created&gt;66401337&lt;/_created&gt;&lt;_date&gt;65678400&lt;/_date&gt;&lt;_date_display&gt;2024 Nov 16&lt;/_date_display&gt;&lt;_db_updated&gt;CrossRef&lt;/_db_updated&gt;&lt;_doi&gt;10.1186/s12933-024-02454-1&lt;/_doi&gt;&lt;_impact_factor&gt;   8.500&lt;/_impact_factor&gt;&lt;_isbn&gt;1475-2840&lt;/_isbn&gt;&lt;_issue&gt;1&lt;/_issue&gt;&lt;_journal&gt;Cardiovascular Diabetology&lt;/_journal&gt;&lt;_keywords&gt;Cardiodiabetology; Hyperglycaemia; Inpatient Management; Mortality; Stress hormones&lt;/_keywords&gt;&lt;_language&gt;eng&lt;/_language&gt;&lt;_modified&gt;66401436&lt;/_modified&gt;&lt;_number&gt;31&lt;/_number&gt;&lt;_ori_publication&gt;© 2024. The Author(s).&lt;/_ori_publication&gt;&lt;_pages&gt;412&lt;/_pages&gt;&lt;_social_category&gt;内分泌学与代谢(1) &amp;amp; 心脏和心血管系统(2)&lt;/_social_category&gt;&lt;_subject_headings&gt;Humans; *Hyperglycemia/mortality/blood/diagnosis; Risk Assessment; Risk Factors; *Blood Glucose/metabolism; *Biomarkers/blood; Aged; *Cause of Death; Middle Aged; Male; Prognosis; Female; Time Factors; Cardiovascular Diseases/mortality/diagnosis/blood; Ischemic Stroke/mortality/blood/diagnosis; Aged, 80 and over; Adult; Myocardial Infarction/mortality/blood/diagnosis; Heart Failure/mortality/diagnosis/blood&lt;/_subject_headings&gt;&lt;_tertiary_title&gt;Cardiovasc Diabetol&lt;/_tertiary_title&gt;&lt;_type_work&gt;Journal Article; Meta-Analysis; Systematic Review&lt;/_type_work&gt;&lt;_url&gt;https://cardiab.biomedcentral.com/articles/10.1186/s12933-024-02454-1_x000d__x000a_https://link.springer.com/content/pdf/10.1186/s12933-024-02454-1.pdf&lt;/_url&gt;&lt;_volume&gt;23&lt;/_volume&gt;&lt;/Details&gt;&lt;Extra&gt;&lt;DBUID&gt;{0595FEED-06EC-4465-A92A-123F8040CA41}&lt;/DBUID&gt;&lt;/Extra&gt;&lt;/Item&gt;&lt;/References&gt;&lt;/Group&gt;&lt;/Citation&gt;_x000a_"/>
    <w:docVar w:name="NE.Ref{19392617-DC87-49AA-81DB-49E501B832C4}" w:val=" ADDIN NE.Ref.{19392617-DC87-49AA-81DB-49E501B832C4}&lt;Citation&gt;&lt;Group&gt;&lt;References&gt;&lt;Item&gt;&lt;ID&gt;2708&lt;/ID&gt;&lt;UID&gt;{5289A791-A8CD-43CE-818D-B84DD4BBE4EF}&lt;/UID&gt;&lt;Title&gt;Association of stress hyperglycemia ratio and in-hospital mortality in patients with coronary artery disease: insights from a large cohort study&lt;/Title&gt;&lt;Template&gt;Journal Article&lt;/Template&gt;&lt;Star&gt;0&lt;/Star&gt;&lt;Tag&gt;0&lt;/Tag&gt;&lt;Author&gt;Xu, Wei; Song, Qirui; Wang, Xiang; Zhao, Zinan; Meng, Xuyang; Xia, Chenxi; Xie, Yibo; Yang, Chenguang; Guo, Ying; Zhang, Yatong; Wang, Fang&lt;/Author&gt;&lt;Year&gt;2022&lt;/Year&gt;&lt;Details&gt;&lt;_accessed&gt;66402469&lt;/_accessed&gt;&lt;_accession_num&gt;36261839&lt;/_accession_num&gt;&lt;_author_adr&gt;Emergency Center, State Key Laboratory of Cardiovascular Disease of China,  National Center for Cardiovascular Diseases, National Clinical Research Center of  Cardiovascular Diseases, Fuwai Hospital, Chinese Academy of Medical Sciences and  Peking Union Medical College, 100037, Beijing, China.; Hypertension Center, State Key Laboratory of Cardiovascular Disease of China,  National Center for Cardiovascular Diseases of China, Fuwai Hospital, Chinese  Academy of Medical Sciences, Peking Union Medical College, 100037,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Cardiology, Beijing Hospital, National Center of Gerontology,  Institute of Geriatric Medicine, Chinese Academy of Medical Sciences, Beijing,  China.; Department of Information Center,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750826140@qq.com.; Department of Cardiology, Beijing Hospital, National Center of Gerontology,  Institute of Geriatric Medicine, Chinese Academy of Medical Sciences, Beijing,  China. bjh_wangfang@163.com.; Graduate School of Peking Union Medical College, Chinese Academy of Medical  Sciences, Beijing, China. bjh_wangfang@163.com.&lt;/_author_adr&gt;&lt;_collection_scope&gt;SCIE&lt;/_collection_scope&gt;&lt;_created&gt;66401455&lt;/_created&gt;&lt;_date&gt;64166400&lt;/_date&gt;&lt;_date_display&gt;2022&lt;/_date_display&gt;&lt;_db_updated&gt;PKU Search&lt;/_db_updated&gt;&lt;_doi&gt;10.1186/s12933-022-01645-y&lt;/_doi&gt;&lt;_impact_factor&gt;   8.500&lt;/_impact_factor&gt;&lt;_isbn&gt;1475-2840&lt;/_isbn&gt;&lt;_issue&gt;1&lt;/_issue&gt;&lt;_journal&gt;Cardiovascular Diabetology&lt;/_journal&gt;&lt;_keywords&gt;Acute Coronary Syndrome; Blood Glucose; Cohort Studies; Coronary Artery Disease; Diabetes; Diabetes Mellitus; Diseases of the circulatory (Cardiovascular) system; Glycated Hemoglobin; Hospital Mortality; Humans; Hyperglycemia; Mortality; RC666-701; Stress hyperglycemia; Stress hyperglycemia ratio&lt;/_keywords&gt;&lt;_language&gt;eng&lt;/_language&gt;&lt;_modified&gt;66402646&lt;/_modified&gt;&lt;_number&gt;17&lt;/_number&gt;&lt;_ori_publication&gt;Springer Science and Business Media LLC&lt;/_ori_publication&gt;&lt;_pages&gt;217&lt;/_pages&gt;&lt;_social_category&gt;内分泌学与代谢(1) &amp;amp; 心脏和心血管系统(2)&lt;/_social_category&gt;&lt;_subject_headings&gt;Humans; Blood Glucose; Glycated Hemoglobin/analysis; *Coronary Artery Disease; Hospital Mortality; Cohort Studies; *Hyperglycemia; *Diabetes Mellitus; *Acute Coronary Syndrome&lt;/_subject_headings&gt;&lt;_tertiary_title&gt;Cardiovasc Diabetol&lt;/_tertiary_title&gt;&lt;_type_work&gt;Journal Article; Research Support, Non-U.S. Gov&amp;apos;t&lt;/_type_work&gt;&lt;_url&gt;https://go.exlibris.link/LNyt6H1m&lt;/_url&gt;&lt;_volume&gt;21&lt;/_volume&gt;&lt;/Details&gt;&lt;Extra&gt;&lt;DBUID&gt;{0595FEED-06EC-4465-A92A-123F8040CA41}&lt;/DBUID&gt;&lt;/Extra&gt;&lt;/Item&gt;&lt;/References&gt;&lt;/Group&gt;&lt;Group&gt;&lt;References&gt;&lt;Item&gt;&lt;ID&gt;2714&lt;/ID&gt;&lt;UID&gt;{809F694D-54DA-48DA-9DB5-5175FD06DE7C}&lt;/UID&gt;&lt;Title&gt;Prognostic Value of the Acute-to-Chronic Glycemic Ratio at Admission in Acute Myocardial Infarction: A Prospective Study&lt;/Title&gt;&lt;Template&gt;Journal Article&lt;/Template&gt;&lt;Star&gt;0&lt;/Star&gt;&lt;Tag&gt;0&lt;/Tag&gt;&lt;Author&gt;Marenzi, Giancarlo; Cosentino, Nicola; Milazzo, Valentina; De Metrio, Monica; Cecere, Milena; Mosca, Susanna; Rubino, Mara; Campodonico, Jeness; Moltrasio, Marco; Marana, Ivana; Grazi, Marco; Lauri, Gianfranco; Bonomi, Alice; Veglia, Fabrizio; Manfrini, Roberto; Bartorelli, Antonio L&lt;/Author&gt;&lt;Year&gt;2018&lt;/Year&gt;&lt;Details&gt;&lt;_accessed&gt;66402459&lt;/_accessed&gt;&lt;_accession_num&gt;29382659&lt;/_accession_num&gt;&lt;_author_adr&gt;Centro Cardiologico Monzino, Istituto di Ricovero e Cura a Carattere Scientifico,  Milan, Italy giancarlo.marenzi@ccfm.it.;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Department of Biomedical and Clinical Sciences &amp;quot;Luigi Sacco,&amp;quot; University of  Milan, Milan, Italy.&lt;/_author_adr&gt;&lt;_collection_scope&gt;SCIE&lt;/_collection_scope&gt;&lt;_created&gt;66401458&lt;/_created&gt;&lt;_date&gt;62192160&lt;/_date&gt;&lt;_date_display&gt;2018 Apr&lt;/_date_display&gt;&lt;_db_updated&gt;CrossRef&lt;/_db_updated&gt;&lt;_doi&gt;10.2337/dc17-1732&lt;/_doi&gt;&lt;_impact_factor&gt;  14.800&lt;/_impact_factor&gt;&lt;_isbn&gt;0149-5992&lt;/_isbn&gt;&lt;_issue&gt;4&lt;/_issue&gt;&lt;_journal&gt;Diabetes Care&lt;/_journal&gt;&lt;_language&gt;eng&lt;/_language&gt;&lt;_modified&gt;66402640&lt;/_modified&gt;&lt;_number&gt;23&lt;/_number&gt;&lt;_ori_publication&gt;© 2018 by the American Diabetes Association.&lt;/_ori_publication&gt;&lt;_pages&gt;847-853&lt;/_pages&gt;&lt;_social_category&gt;内分泌学与代谢(1)&lt;/_social_category&gt;&lt;_subject_headings&gt;Acute Disease; Aged; Blood Glucose/*analysis; Endpoint Determination; Female; Glycated Hemoglobin/analysis; Hospital Mortality; Hospitalization; Humans; Hyperglycemia/*blood/*mortality; Male; Middle Aged; Myocardial Infarction/*blood/*diagnosis/mortality; Prognosis; Prospective Studies; Troponin I/blood&lt;/_subject_headings&gt;&lt;_tertiary_title&gt;Diabetes care&lt;/_tertiary_title&gt;&lt;_type_work&gt;Journal Article; Observational Study; Research Support, Non-U.S. Gov&amp;apos;t&lt;/_type_work&gt;&lt;_url&gt;https://diabetesjournals.org/care/article/41/4/847/36893/Prognostic-Value-of-the-Acute-to-Chronic-Glycemic_x000d__x000a_https://diabetesjournals.org/care/article-pdf/41/4/847/549940/dc171732.pdf&lt;/_url&gt;&lt;_volume&gt;41&lt;/_volume&gt;&lt;/Details&gt;&lt;Extra&gt;&lt;DBUID&gt;{0595FEED-06EC-4465-A92A-123F8040CA41}&lt;/DBUID&gt;&lt;/Extra&gt;&lt;/Item&gt;&lt;/References&gt;&lt;/Group&gt;&lt;Group&gt;&lt;References&gt;&lt;Item&gt;&lt;ID&gt;2715&lt;/ID&gt;&lt;UID&gt;{5CCFF1B1-9538-4234-8D40-8415ACA923B7}&lt;/UID&gt;&lt;Title&gt;Optimal glucose, HbA1c, glucose-HbA1c ratio and stress-hyperglycaemia ratio cut-off values for predicting 1-year mortality in diabetic and non-diabetic acute myocardial infarction patients&lt;/Title&gt;&lt;Template&gt;Journal Article&lt;/Template&gt;&lt;Star&gt;0&lt;/Star&gt;&lt;Tag&gt;0&lt;/Tag&gt;&lt;Author&gt;Sia, Ching-Hui; Chan, Mervyn Huan-Hao; Zheng, Huili; Ko, Junsuk; Ho, Andrew Fu-Wah; Chong, Jun; Foo, David; Foo, Ling-Li; Lim, Patrick Zhan-Yun; Liew, Boon Wah; Chai, Ping; Yeo, Tiong-Cheng; Tan, Huay-Cheem; Chua, Terrance; Chan, Mark Yan-Yee; Tan, Jack Wei Chieh; Bulluck, Heerajnarain; Hausenloy, Derek J&lt;/Author&gt;&lt;Year&gt;2021&lt;/Year&gt;&lt;Details&gt;&lt;_accessed&gt;66402459&lt;/_accessed&gt;&lt;_accession_num&gt;34666746&lt;/_accession_num&gt;&lt;_author_adr&gt;Department of Cardiology, National University Heart Centre Singapore, Singapore,  Singapore.; Yong Loo Lin School of Medicine, National University of Singapore, Singapore,  Singapore.; Cardiovascular &amp;amp; Metabolic Disorders Program, Duke-NUS Medical School, 8 College  Road, Level 8, Singapore, 169857, Singapore.; Health Promotion Board, National Registry of Diseases Office, Singapore,  Singapore.; MD Program, Duke-NUS Medical School, Singapore, Singapore.; SingHealth Duke-NUS Emergency Medicine Academic Clinical Programme, Singapore,  Singapore.; National Heart Research Institute Singapore, National Heart Centre Singapore,  Singapore, Singapore.; Pre-Hospital and Emergency Care Research Centre, Health Services and Systems  Research, Duke-NUS Medical School, Singapore, Singapore.; National Heart Research Institute Singapore, National Heart Centre Singapore,  Singapore, Singapore.; Department of Cardiology, National Heart Centre Singapore, Singapore, Singapore.; Tan Tock Seng Hospital, Singapore, Singapore.; Health Promotion Board, National Registry of Diseases Office, Singapore,  Singapore.; Khoo Teck Puat Hospital, Singapore, Singapore.; Changi General Hospital, Singapore, Singapore.; Department of Cardiology, National University Heart Centre Singapore, Singapore,  Singapore.; Yong Loo Lin School of Medicine, National University of Singapore, Singapore,  Singapore.; Department of Cardiology, National University Heart Centre Singapore, Singapore,  Singapore.; Yong Loo Lin School of Medicine, National University of Singapore, Singapore,  Singapore.; Department of Cardiology, National University Heart Centre Singapore, Singapore,  Singapore.; Yong Loo Lin School of Medicine, National University of Singapore, Singapore,  Singapore.; Department of Cardiology, National Heart Centre Singapore, Singapore, Singapore.; Department of Cardiology, National University Heart Centre Singapore, Singapore,  Singapore.; Yong Loo Lin School of Medicine, National University of Singapore, Singapore,  Singapore.; Pre-Hospital and Emergency Care Research Centre, Health Services and Systems  Research, Duke-NUS Medical School, Singapore, Singapore.; Leeds Institute of Cardiovascular and Metabolic Medicine, University of Leeds,  Leeds, UK.; Department of Cardiology, Leeds General Infirmary, Leeds Teaching Hospitals NHS  Trust, Leeds, UK.; Yong Loo Lin School of Medicine, National University of Singapore, Singapore,  Singapore. derek.hausenloy@duke-nus.edu.sg.; Cardiovascular &amp;amp; Metabolic Disorders Program, Duke-NUS Medical School, 8 College  Road, Level 8, Singapore, 169857, Singapore. derek.hausenloy@duke-nus.edu.sg.; National Heart Research Institute Singapore, National Heart Centre Singapore,  Singapore, Singapore. derek.hausenloy@duke-nus.edu.sg.; Department of Cardiology, National Heart Centre Singapore, Singapore, Singapore.  derek.hausenloy@duke-nus.edu.sg.; The Hatter Cardiovascular Institute, University College London, London, UK.  derek.hausenloy@duke-nus.edu.sg.; Cardiovascular Research Center, College of Medical and Health Sciences, Asia  University, Taichung City, Taiwan. derek.hausenloy@duke-nus.edu.sg.&lt;/_author_adr&gt;&lt;_collection_scope&gt;SCIE&lt;/_collection_scope&gt;&lt;_created&gt;66401459&lt;/_created&gt;&lt;_date&gt;64059840&lt;/_date&gt;&lt;_date_display&gt;2021 Oct 19&lt;/_date_display&gt;&lt;_db_updated&gt;CrossRef&lt;/_db_updated&gt;&lt;_doi&gt;10.1186/s12933-021-01395-3&lt;/_doi&gt;&lt;_impact_factor&gt;   8.500&lt;/_impact_factor&gt;&lt;_isbn&gt;1475-2840&lt;/_isbn&gt;&lt;_issue&gt;1&lt;/_issue&gt;&lt;_journal&gt;Cardiovascular Diabetology&lt;/_journal&gt;&lt;_language&gt;eng&lt;/_language&gt;&lt;_modified&gt;66402459&lt;/_modified&gt;&lt;_number&gt;24&lt;/_number&gt;&lt;_ori_publication&gt;© 2021. The Author(s).&lt;/_ori_publication&gt;&lt;_pages&gt;211&lt;/_pages&gt;&lt;_social_category&gt;内分泌学与代谢(1) &amp;amp; 心脏和心血管系统(2)&lt;/_social_category&gt;&lt;_subject_headings&gt;Aged; Biomarkers/blood; Blood Glucose/*metabolism; Diabetes Mellitus/*blood/diagnosis/mortality/therapy; Female; Glycated Hemoglobin/*metabolism; Humans; Male; Middle Aged; Non-ST Elevated Myocardial Infarction/*blood/diagnosis/mortality/therapy; Patient Admission; Predictive Value of Tests; Prognosis; Registries; Retrospective Studies; Risk Assessment; Risk Factors; ST Elevation Myocardial Infarction/*blood/diagnosis/mortality/therapy; Singapore/epidemiology; Time Factors&lt;/_subject_headings&gt;&lt;_tertiary_title&gt;Cardiovasc Diabetol&lt;/_tertiary_title&gt;&lt;_type_work&gt;Journal Article; Research Support, Non-U.S. Gov&amp;apos;t&lt;/_type_work&gt;&lt;_url&gt;https://cardiab.biomedcentral.com/articles/10.1186/s12933-021-01395-3_x000d__x000a_https://link.springer.com/content/pdf/10.1186/s12933-021-01395-3.pdf&lt;/_url&gt;&lt;_volume&gt;20&lt;/_volume&gt;&lt;/Details&gt;&lt;Extra&gt;&lt;DBUID&gt;{0595FEED-06EC-4465-A92A-123F8040CA41}&lt;/DBUID&gt;&lt;/Extra&gt;&lt;/Item&gt;&lt;/References&gt;&lt;/Group&gt;&lt;/Citation&gt;_x000a_"/>
    <w:docVar w:name="NE.Ref{1B639A45-8453-49A4-9A54-BEA36F40F4AE}" w:val=" ADDIN NE.Ref.{1B639A45-8453-49A4-9A54-BEA36F40F4AE}&lt;Citation&gt;&lt;Group&gt;&lt;References&gt;&lt;Item&gt;&lt;ID&gt;2602&lt;/ID&gt;&lt;UID&gt;{FCC7A581-2459-4AD3-8254-A4F8F614DF08}&lt;/UID&gt;&lt;Title&gt;The association between stress hyperglycemia ratio with mortality in critically ill patients with acute heart failure&lt;/Title&gt;&lt;Template&gt;Journal Article&lt;/Template&gt;&lt;Star&gt;0&lt;/Star&gt;&lt;Tag&gt;0&lt;/Tag&gt;&lt;Author&gt;Ge, Tingai; Hu, Jingjing; Zhou, Yidan&lt;/Author&gt;&lt;Year&gt;2024&lt;/Year&gt;&lt;Details&gt;&lt;_accessed&gt;66401361&lt;/_accessed&gt;&lt;_accession_num&gt;39639971&lt;/_accession_num&gt;&lt;_author_adr&gt;Department of Emergency Medicine, Hangzhou Third People&amp;apos;s Hospital, Hangzhou,  China.; Department of Emergency Medicine, Hangzhou Third People&amp;apos;s Hospital, Hangzhou,  China.; Department of Emergency Medicine, Hangzhou Third People&amp;apos;s Hospital, Hangzhou,  China.&lt;/_author_adr&gt;&lt;_collection_scope&gt;SCIE&lt;/_collection_scope&gt;&lt;_created&gt;66401336&lt;/_created&gt;&lt;_date&gt;65685600&lt;/_date&gt;&lt;_date_display&gt;2024&lt;/_date_display&gt;&lt;_db_updated&gt;CrossRef&lt;/_db_updated&gt;&lt;_doi&gt;10.3389/fcvm.2024.1463861&lt;/_doi&gt;&lt;_impact_factor&gt;   2.800&lt;/_impact_factor&gt;&lt;_isbn&gt;2297-055X&lt;/_isbn&gt;&lt;_journal&gt;Frontiers in Cardiovascular Medicine&lt;/_journal&gt;&lt;_keywords&gt;acute heart failure; critically ill; glucose; glycosylated hemoglobin; mortality; stress hyperglycemia&lt;/_keywords&gt;&lt;_language&gt;eng&lt;/_language&gt;&lt;_modified&gt;66401377&lt;/_modified&gt;&lt;_ori_publication&gt;© 2024 Ge, Hu and Zhou.&lt;/_ori_publication&gt;&lt;_pages&gt;1463861&lt;/_pages&gt;&lt;_social_category&gt;心脏和心血管系统(3)&lt;/_social_category&gt;&lt;_tertiary_title&gt;Front. Cardiovasc. Med.&lt;/_tertiary_title&gt;&lt;_type_work&gt;Journal Article&lt;/_type_work&gt;&lt;_url&gt;https://www.frontiersin.org/articles/10.3389/fcvm.2024.1463861/full_x000d__x000a_https://www.frontiersin.org/articles/10.3389/fcvm.2024.1463861/full&lt;/_url&gt;&lt;_volume&gt;11&lt;/_volume&gt;&lt;/Details&gt;&lt;Extra&gt;&lt;DBUID&gt;{0595FEED-06EC-4465-A92A-123F8040CA41}&lt;/DBUID&gt;&lt;/Extra&gt;&lt;/Item&gt;&lt;/References&gt;&lt;/Group&gt;&lt;Group&gt;&lt;References&gt;&lt;Item&gt;&lt;ID&gt;2604&lt;/ID&gt;&lt;UID&gt;{9AE4FCFA-C119-482D-8053-B912CB470909}&lt;/UID&gt;&lt;Title&gt;Association between stress hyperglycemia ratio and 28-day all-cause mortality in critically ill atrial fibrillation patients: a retrospective cohort study based on the MIMIC-IV database&lt;/Title&gt;&lt;Template&gt;Journal Article&lt;/Template&gt;&lt;Star&gt;0&lt;/Star&gt;&lt;Tag&gt;0&lt;/Tag&gt;&lt;Author&gt;Zhang, Qianqian; Zhang, Nianzhi; Zhou, Jing; Zheng, Ying; Wang, Yuanyuan&lt;/Author&gt;&lt;Year&gt;2025&lt;/Year&gt;&lt;Details&gt;&lt;_accessed&gt;66401361&lt;/_accessed&gt;&lt;_accession_num&gt;41376919&lt;/_accession_num&gt;&lt;_author_adr&gt;The First Clinical School of Anhui University of Chinese Medicine, Hefei, China.; Department of Respiratory Medicine, First Affiliated Hospital of Anhui University  of Chinese Medicine, Hefei, China.; The First Clinical School of Anhui University of Chinese Medicine, Hefei, China.; Department of Respiratory Medicine, First Affiliated Hospital of Anhui University  of Chinese Medicine, Hefei, China.; The First Clinical School of Anhui University of Chinese Medicine, Hefei, China.; Department of Respiratory Medicine, First Affiliated Hospital of Anhui University  of Chinese Medicine, Hefei, China.&lt;/_author_adr&gt;&lt;_collection_scope&gt;SCIE&lt;/_collection_scope&gt;&lt;_created&gt;66401336&lt;/_created&gt;&lt;_date&gt;2025-11-30&lt;/_date&gt;&lt;_date_display&gt;2025 Nov 30&lt;/_date_display&gt;&lt;_db_updated&gt;CrossRef&lt;/_db_updated&gt;&lt;_doi&gt;10.21037/jtd-2025-1507&lt;/_doi&gt;&lt;_impact_factor&gt;   2.100&lt;/_impact_factor&gt;&lt;_isbn&gt;20721439&lt;/_isbn&gt;&lt;_issue&gt;11&lt;/_issue&gt;&lt;_journal&gt;Journal of Thoracic Disease&lt;/_journal&gt;&lt;_keywords&gt;Atrial fibrillation (AF); Medical Information Mart for Intensive Care IV database (MIMIC-IV database); intensive care unit (ICU); stress hyperglycemia ratio (SHR)&lt;/_keywords&gt;&lt;_language&gt;eng&lt;/_language&gt;&lt;_modified&gt;66401436&lt;/_modified&gt;&lt;_number&gt;29&lt;/_number&gt;&lt;_ori_publication&gt;© AME Publishing Company.&lt;/_ori_publication&gt;&lt;_pages&gt;10272-10284&lt;/_pages&gt;&lt;_social_category&gt;呼吸系统(4)&lt;/_social_category&gt;&lt;_tertiary_title&gt;J Thorac Dis&lt;/_tertiary_title&gt;&lt;_type_work&gt;Journal Article&lt;/_type_work&gt;&lt;_url&gt;https://jtd.amegroups.com/article/view/108816/html_x000d__x000a_https://jtd.amegroups.com/article/download/108816/pdf&lt;/_url&gt;&lt;_volume&gt;17&lt;/_volume&gt;&lt;/Details&gt;&lt;Extra&gt;&lt;DBUID&gt;{0595FEED-06EC-4465-A92A-123F8040CA41}&lt;/DBUID&gt;&lt;/Extra&gt;&lt;/Item&gt;&lt;/References&gt;&lt;/Group&gt;&lt;/Citation&gt;_x000a_"/>
    <w:docVar w:name="NE.Ref{1DEA5CD9-1513-49C8-9D4D-B5778B965D72}" w:val=" ADDIN NE.Ref.{1DEA5CD9-1513-49C8-9D4D-B5778B965D72}&lt;Citation&gt;&lt;Group&gt;&lt;References&gt;&lt;Item&gt;&lt;ID&gt;2599&lt;/ID&gt;&lt;UID&gt;{F63546CC-57BC-480F-9D82-352E2AB56D5E}&lt;/UID&gt;&lt;Title&gt;Relative Hyperglycemia, a Marker of Critical Illness: Introducing the Stress  Hyperglycemia Ratio&lt;/Title&gt;&lt;Template&gt;Journal Article&lt;/Template&gt;&lt;Star&gt;0&lt;/Star&gt;&lt;Tag&gt;0&lt;/Tag&gt;&lt;Author&gt;Roberts, Gregory W; Quinn, Stephen J; Valentine, Nyoli; Alhawassi, Tariq; O&amp;apos;Dea, Hazel; Stranks, Stephen N; Burt, Morton G; Doogue, Matthew P&lt;/Author&gt;&lt;Year&gt;2015&lt;/Year&gt;&lt;Details&gt;&lt;_accession_num&gt;26485219&lt;/_accession_num&gt;&lt;_author_adr&gt;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lt;/_author_adr&gt;&lt;_date_display&gt;2015 Dec&lt;/_date_display&gt;&lt;_date&gt;2015-12-01&lt;/_date&gt;&lt;_doi&gt;10.1210/jc.2015-2660&lt;/_doi&gt;&lt;_isbn&gt;1945-7197 (Electronic); 0021-972X (Linking)&lt;/_isbn&gt;&lt;_issue&gt;12&lt;/_issue&gt;&lt;_journal&gt;J Clin Endocrinol Metab&lt;/_journal&gt;&lt;_language&gt;eng&lt;/_language&gt;&lt;_pages&gt;4490-7&lt;/_pages&gt;&lt;_subject_headings&gt;Adult; Australia/epidemiology; Biomarkers/*blood; Blood Glucose/metabolism; Cohort Studies; Critical Care; Critical Illness/*mortality; Female; Glycated Hemoglobin/analysis; Hospital Mortality; Hospitalization; Humans; Hyperglycemia/*blood; Male; Middle Aged; *Stress, Physiological&lt;/_subject_headings&gt;&lt;_tertiary_title&gt;The Journal of clinical endocrinology and metabolism&lt;/_tertiary_title&gt;&lt;_type_work&gt;Journal Article; Observational Study; Research Support, Non-U.S. Gov&amp;apos;t&lt;/_type_work&gt;&lt;_url&gt;http://www.ncbi.nlm.nih.gov/entrez/query.fcgi?cmd=Retrieve&amp;amp;db=pubmed&amp;amp;dopt=Abstract&amp;amp;list_uids=26485219&amp;amp;query_hl=1&lt;/_url&gt;&lt;_volume&gt;100&lt;/_volume&gt;&lt;_created&gt;66401335&lt;/_created&gt;&lt;_modified&gt;66401335&lt;/_modified&gt;&lt;_impact_factor&gt;   5.000&lt;/_impact_factor&gt;&lt;_social_category&gt;内分泌学与代谢(2)&lt;/_social_category&gt;&lt;_collection_scope&gt;SCIE&lt;/_collection_scope&gt;&lt;/Details&gt;&lt;Extra&gt;&lt;DBUID&gt;{0595FEED-06EC-4465-A92A-123F8040CA41}&lt;/DBUID&gt;&lt;/Extra&gt;&lt;/Item&gt;&lt;/References&gt;&lt;/Group&gt;&lt;Group&gt;&lt;References&gt;&lt;Item&gt;&lt;ID&gt;2609&lt;/ID&gt;&lt;UID&gt;{D192E95A-19C7-4121-BFCB-A8712DA52566}&lt;/UID&gt;&lt;Title&gt;Stress-induced hyperglycemia&lt;/Title&gt;&lt;Template&gt;Journal Article&lt;/Template&gt;&lt;Star&gt;0&lt;/Star&gt;&lt;Tag&gt;0&lt;/Tag&gt;&lt;Author&gt;McCowen, K C; Malhotra, A; Bistrian, B R&lt;/Author&gt;&lt;Year&gt;2001&lt;/Year&gt;&lt;Details&gt;&lt;_accession_num&gt;11219223&lt;/_accession_num&gt;&lt;_author_adr&gt;Departments of Medicine, Beth Israel Deaconess Medical Center, Boston,  Massachusetts, USA. KMcCowen@caregroup.harvard.edu&lt;/_author_adr&gt;&lt;_date_display&gt;2001 Jan&lt;/_date_display&gt;&lt;_date&gt;2001-01-01&lt;/_date&gt;&lt;_doi&gt;10.1016/s0749-0704(05)70154-8&lt;/_doi&gt;&lt;_isbn&gt;0749-0704 (Print); 0749-0704 (Linking)&lt;/_isbn&gt;&lt;_issue&gt;1&lt;/_issue&gt;&lt;_journal&gt;Crit Care Clin&lt;/_journal&gt;&lt;_language&gt;eng&lt;/_language&gt;&lt;_pages&gt;107-24&lt;/_pages&gt;&lt;_subject_headings&gt;Glucose/metabolism; Humans; Hyperglycemia/complications/epidemiology/*etiology/physiopathology/prevention &amp;amp; _x000d__x000a_      control; Insulin/therapeutic use; Insulin Resistance; Intensive Care Units; Risk Factors; Stress, Physiological/*complications&lt;/_subject_headings&gt;&lt;_tertiary_title&gt;Critical care clinics&lt;/_tertiary_title&gt;&lt;_type_work&gt;Journal Article; Review&lt;/_type_work&gt;&lt;_url&gt;http://www.ncbi.nlm.nih.gov/entrez/query.fcgi?cmd=Retrieve&amp;amp;db=pubmed&amp;amp;dopt=Abstract&amp;amp;list_uids=11219223&amp;amp;query_hl=1&lt;/_url&gt;&lt;_volume&gt;17&lt;/_volume&gt;&lt;_created&gt;66401339&lt;/_created&gt;&lt;_modified&gt;66401339&lt;/_modified&gt;&lt;_impact_factor&gt;   3.000&lt;/_impact_factor&gt;&lt;_social_category&gt;危重病医学(4)&lt;/_social_category&gt;&lt;_collection_scope&gt;SCIE&lt;/_collection_scope&gt;&lt;/Details&gt;&lt;Extra&gt;&lt;DBUID&gt;{0595FEED-06EC-4465-A92A-123F8040CA41}&lt;/DBUID&gt;&lt;/Extra&gt;&lt;/Item&gt;&lt;/References&gt;&lt;/Group&gt;&lt;Group&gt;&lt;References&gt;&lt;Item&gt;&lt;ID&gt;2608&lt;/ID&gt;&lt;UID&gt;{F0CA2B14-18C2-42EE-BCCA-ED9F464F3550}&lt;/UID&gt;&lt;Title&gt;Stress hyperglycaemia&lt;/Title&gt;&lt;Template&gt;Journal Article&lt;/Template&gt;&lt;Star&gt;0&lt;/Star&gt;&lt;Tag&gt;0&lt;/Tag&gt;&lt;Author&gt;Dungan, Kathleen M; Braithwaite, Susan S; Preiser, Jean-Charles&lt;/Author&gt;&lt;Year&gt;2009&lt;/Year&gt;&lt;Details&gt;&lt;_accession_num&gt;19465235&lt;/_accession_num&gt;&lt;_author_adr&gt;The Ohio State University, Columbus, OH 43210-1296, USA.  kathleen.dungan@osumc.edu&lt;/_author_adr&gt;&lt;_date_display&gt;2009 May 23&lt;/_date_display&gt;&lt;_date&gt;2009-05-23&lt;/_date&gt;&lt;_doi&gt;10.1016/S0140-6736(09)60553-5&lt;/_doi&gt;&lt;_isbn&gt;1474-547X (Electronic); 0140-6736 (Print); 0140-6736 (Linking)&lt;/_isbn&gt;&lt;_issue&gt;9677&lt;/_issue&gt;&lt;_journal&gt;Lancet&lt;/_journal&gt;&lt;_language&gt;eng&lt;/_language&gt;&lt;_pages&gt;1798-807&lt;/_pages&gt;&lt;_subject_headings&gt;Acute Disease; Blood Glucose/metabolism; Cardiovascular Diseases/complications; *Critical Illness; Early Diagnosis; Glucose Tolerance Test; Humans; *Hyperglycemia/diagnosis/epidemiology/etiology/prevention &amp;amp; control; Monitoring, Physiologic; Prediabetic State/complications; Prevalence; Research Design; Risk Factors; Risk Reduction Behavior; Severity of Illness Index; *Stress, Physiological/physiology; Stroke/complications; Surgical Procedures, Operative/adverse effects; Treatment Outcome&lt;/_subject_headings&gt;&lt;_tertiary_title&gt;Lancet (London, England)&lt;/_tertiary_title&gt;&lt;_type_work&gt;Journal Article; Review&lt;/_type_work&gt;&lt;_url&gt;http://www.ncbi.nlm.nih.gov/entrez/query.fcgi?cmd=Retrieve&amp;amp;db=pubmed&amp;amp;dopt=Abstract&amp;amp;list_uids=19465235&amp;amp;query_hl=1&lt;/_url&gt;&lt;_volume&gt;373&lt;/_volume&gt;&lt;_created&gt;66401339&lt;/_created&gt;&lt;_modified&gt;66401339&lt;/_modified&gt;&lt;_impact_factor&gt;  98.400&lt;/_impact_factor&gt;&lt;_social_category&gt;医学：内科(1)&lt;/_social_category&gt;&lt;_collection_scope&gt;SCIE&lt;/_collection_scope&gt;&lt;/Details&gt;&lt;Extra&gt;&lt;DBUID&gt;{0595FEED-06EC-4465-A92A-123F8040CA41}&lt;/DBUID&gt;&lt;/Extra&gt;&lt;/Item&gt;&lt;/References&gt;&lt;/Group&gt;&lt;/Citation&gt;_x000a_"/>
    <w:docVar w:name="NE.Ref{1EED8A40-A0C5-4D80-B723-CD5F2413BF13}" w:val=" ADDIN NE.Ref.{1EED8A40-A0C5-4D80-B723-CD5F2413BF13}&lt;Citation&gt;&lt;Group&gt;&lt;References&gt;&lt;Item&gt;&lt;ID&gt;2589&lt;/ID&gt;&lt;UID&gt;{8C260A77-EA3C-4E43-82EB-B2D43E487156}&lt;/UID&gt;&lt;Title&gt;The association between stress hyperglycemia ratio with mortality in critically ill patients with acute heart failure&lt;/Title&gt;&lt;Template&gt;Journal Article&lt;/Template&gt;&lt;Star&gt;0&lt;/Star&gt;&lt;Tag&gt;0&lt;/Tag&gt;&lt;Author&gt;Ge, Tingai; Hu, Jingjing; Zhou, Yidan&lt;/Author&gt;&lt;Year&gt;2024&lt;/Year&gt;&lt;Details&gt;&lt;_accessed&gt;66401360&lt;/_accessed&gt;&lt;_accession_num&gt;39639971&lt;/_accession_num&gt;&lt;_author_adr&gt;Department of Emergency Medicine, Hangzhou Third People&amp;apos;s Hospital, Hangzhou,  China.; Department of Emergency Medicine, Hangzhou Third People&amp;apos;s Hospital, Hangzhou,  China.; Department of Emergency Medicine, Hangzhou Third People&amp;apos;s Hospital, Hangzhou,  China.&lt;/_author_adr&gt;&lt;_collection_scope&gt;SCIE&lt;/_collection_scope&gt;&lt;_created&gt;66401322&lt;/_created&gt;&lt;_date&gt;65685600&lt;/_date&gt;&lt;_date_display&gt;2024&lt;/_date_display&gt;&lt;_db_updated&gt;CrossRef&lt;/_db_updated&gt;&lt;_doi&gt;10.3389/fcvm.2024.1463861&lt;/_doi&gt;&lt;_impact_factor&gt;   2.800&lt;/_impact_factor&gt;&lt;_isbn&gt;2297-055X&lt;/_isbn&gt;&lt;_journal&gt;Frontiers in Cardiovascular Medicine&lt;/_journal&gt;&lt;_keywords&gt;acute heart failure; critically ill; glucose; glycosylated hemoglobin; mortality; stress hyperglycemia&lt;/_keywords&gt;&lt;_language&gt;eng&lt;/_language&gt;&lt;_modified&gt;66401434&lt;/_modified&gt;&lt;_number&gt;18&lt;/_number&gt;&lt;_ori_publication&gt;© 2024 Ge, Hu and Zhou.&lt;/_ori_publication&gt;&lt;_pages&gt;1463861&lt;/_pages&gt;&lt;_social_category&gt;心脏和心血管系统(3)&lt;/_social_category&gt;&lt;_tertiary_title&gt;Front. Cardiovasc. Med.&lt;/_tertiary_title&gt;&lt;_type_work&gt;Journal Article&lt;/_type_work&gt;&lt;_url&gt;https://www.frontiersin.org/articles/10.3389/fcvm.2024.1463861/full_x000d__x000a_https://www.frontiersin.org/articles/10.3389/fcvm.2024.1463861/full&lt;/_url&gt;&lt;_volume&gt;11&lt;/_volume&gt;&lt;/Details&gt;&lt;Extra&gt;&lt;DBUID&gt;{0595FEED-06EC-4465-A92A-123F8040CA41}&lt;/DBUID&gt;&lt;/Extra&gt;&lt;/Item&gt;&lt;/References&gt;&lt;/Group&gt;&lt;Group&gt;&lt;References&gt;&lt;Item&gt;&lt;ID&gt;2590&lt;/ID&gt;&lt;UID&gt;{8CBFB422-A00C-4B53-BD35-B7D663450BC0}&lt;/UID&gt;&lt;Title&gt;Stress hyperglycemia ratio as a prognostic indicator for long-term adverse outcomes in heart failure with preserved ejection fraction&lt;/Title&gt;&lt;Template&gt;Journal Article&lt;/Template&gt;&lt;Star&gt;0&lt;/Star&gt;&lt;Tag&gt;0&lt;/Tag&gt;&lt;Author&gt;Mohammed, Abdul-Quddus; Luo, Yongqiang; Wang, Kaitao; Su, Yang; Liu, Lu; Yin, Guoqing; Zhang, Wen; Alifu, J Jiasuer.; Mareai, Redhwan M; Mohammed, Ayman A; Xu, Yawei; Abdu, Fuad A; Che, Wenliang&lt;/Author&gt;&lt;Year&gt;2024&lt;/Year&gt;&lt;Details&gt;&lt;_accessed&gt;66401360&lt;/_accessed&gt;&lt;_accession_num&gt;38350936&lt;/_accession_num&gt;&lt;_author_adr&gt;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1691026@tongji.edu.cn.; Department of Cardiology, Shanghai Tenth People&amp;apos;s Hospital, Tongji University  School of Medicine, 301 Yanchang Road, Shanghai, 200072, China.  chewenliang@tongji.edu.cn.; Department of Cardiology, Shanghai Tenth People&amp;apos;s Hospital Chongming branch,  Shanghai, China. chewenliang@tongji.edu.cn.&lt;/_author_adr&gt;&lt;_collection_scope&gt;SCIE&lt;/_collection_scope&gt;&lt;_created&gt;66401322&lt;/_created&gt;&lt;_date&gt;65279520&lt;/_date&gt;&lt;_date_display&gt;2024 Feb 13&lt;/_date_display&gt;&lt;_db_updated&gt;CrossRef&lt;/_db_updated&gt;&lt;_doi&gt;10.1186/s12933-024-02157-7&lt;/_doi&gt;&lt;_impact_factor&gt;   8.500&lt;/_impact_factor&gt;&lt;_isbn&gt;1475-2840&lt;/_isbn&gt;&lt;_issue&gt;1&lt;/_issue&gt;&lt;_journal&gt;Cardiovascular Diabetology&lt;/_journal&gt;&lt;_keywords&gt;Clinical outcomes; Heart failure with preserved ejection fraction; Stress hyperglycemia ratio&lt;/_keywords&gt;&lt;_language&gt;eng&lt;/_language&gt;&lt;_modified&gt;66401434&lt;/_modified&gt;&lt;_number&gt;19&lt;/_number&gt;&lt;_ori_publication&gt;© 2024. The Author(s).&lt;/_ori_publication&gt;&lt;_pages&gt;67&lt;/_pages&gt;&lt;_social_category&gt;内分泌学与代谢(1) &amp;amp; 心脏和心血管系统(2)&lt;/_social_category&gt;&lt;_subject_headings&gt;Humans; Prognosis; Stroke Volume; Biomarkers; *Heart Failure; *Hyperglycemia/diagnosis; Natriuretic Peptide, Brain; Peptide Fragments&lt;/_subject_headings&gt;&lt;_tertiary_title&gt;Cardiovasc Diabetol&lt;/_tertiary_title&gt;&lt;_type_work&gt;Journal Article; Research Support, Non-U.S. Gov&amp;apos;t&lt;/_type_work&gt;&lt;_url&gt;https://cardiab.biomedcentral.com/articles/10.1186/s12933-024-02157-7_x000d__x000a_https://link.springer.com/content/pdf/10.1186/s12933-024-02157-7.pdf&lt;/_url&gt;&lt;_volume&gt;23&lt;/_volume&gt;&lt;/Details&gt;&lt;Extra&gt;&lt;DBUID&gt;{0595FEED-06EC-4465-A92A-123F8040CA41}&lt;/DBUID&gt;&lt;/Extra&gt;&lt;/Item&gt;&lt;/References&gt;&lt;/Group&gt;&lt;/Citation&gt;_x000a_"/>
    <w:docVar w:name="NE.Ref{20D4F5AA-A3EC-48A9-A849-DE79FFB0477D}" w:val=" ADDIN NE.Ref.{20D4F5AA-A3EC-48A9-A849-DE79FFB0477D}&lt;Citation&gt;&lt;Group&gt;&lt;References&gt;&lt;Item&gt;&lt;ID&gt;2702&lt;/ID&gt;&lt;UID&gt;{A97E1CE6-CBEC-43AF-98EB-F7DEC8E3FD26}&lt;/UID&gt;&lt;Title&gt;Admission Glucose and Mortality in Elderly Patients Hospitalized With Acute Myocardial Infarction&lt;/Title&gt;&lt;Template&gt;Journal Article&lt;/Template&gt;&lt;Star&gt;0&lt;/Star&gt;&lt;Tag&gt;0&lt;/Tag&gt;&lt;Author&gt;Kosiborod, Mikhail; Rathore, Saif S; Inzucchi, Silvio E; Masoudi, Frederick A; Wang, Yongfei; Havranek, Edward P; Krumholz, Harlan M&lt;/Author&gt;&lt;Year&gt;2005&lt;/Year&gt;&lt;Details&gt;&lt;_accessed&gt;66402458&lt;/_accessed&gt;&lt;_accession_num&gt;15939812&lt;/_accession_num&gt;&lt;_author_adr&gt;Section of Cardiovascular Medicine, Yale University School of Medicine, 333 Cedar  St, PO Box 208088, New Haven, CT 06520-8088, USA.&lt;/_author_adr&gt;&lt;_collection_scope&gt;SCIE&lt;/_collection_scope&gt;&lt;_created&gt;66401454&lt;/_created&gt;&lt;_date&gt;55461600&lt;/_date&gt;&lt;_date_display&gt;2005 Jun 14&lt;/_date_display&gt;&lt;_db_updated&gt;CrossRef&lt;/_db_updated&gt;&lt;_doi&gt;10.1161/CIRCULATIONAHA.104.517839&lt;/_doi&gt;&lt;_impact_factor&gt;  35.600&lt;/_impact_factor&gt;&lt;_isbn&gt;0009-7322&lt;/_isbn&gt;&lt;_issue&gt;23&lt;/_issue&gt;&lt;_journal&gt;Circulation&lt;/_journal&gt;&lt;_language&gt;eng&lt;/_language&gt;&lt;_modified&gt;66402458&lt;/_modified&gt;&lt;_number&gt;11&lt;/_number&gt;&lt;_pages&gt;3078-3086&lt;/_pages&gt;&lt;_social_category&gt;心脏和心血管系统(1) &amp;amp; 外周血管病(1)&lt;/_social_category&gt;&lt;_subject_headings&gt;Aged; Aged, 80 and over; Blood Glucose/*analysis; Case-Control Studies; Diabetes Mellitus/mortality; Female; Hospital Mortality; Humans; Hyperglycemia/complications; Male; Myocardial Infarction/blood/complications/*mortality; Patient Admission; Survival Rate; Treatment Outcome&lt;/_subject_headings&gt;&lt;_tertiary_title&gt;Circulation&lt;/_tertiary_title&gt;&lt;_type_work&gt;Journal Article; Research Support, N.I.H., Extramural; Research Support, Non-U.S. Gov&amp;apos;t; Research Support, U.S. Gov&amp;apos;t, P.H.S.&lt;/_type_work&gt;&lt;_url&gt;https://www.ahajournals.org/doi/10.1161/CIRCULATIONAHA.104.517839_x000d__x000a_https://www.ahajournals.org/doi/full/10.1161/CIRCULATIONAHA.104.517839&lt;/_url&gt;&lt;_volume&gt;111&lt;/_volume&gt;&lt;/Details&gt;&lt;Extra&gt;&lt;DBUID&gt;{0595FEED-06EC-4465-A92A-123F8040CA41}&lt;/DBUID&gt;&lt;/Extra&gt;&lt;/Item&gt;&lt;/References&gt;&lt;/Group&gt;&lt;/Citation&gt;_x000a_"/>
    <w:docVar w:name="NE.Ref{2156CD90-B79D-4B1E-B51A-A23E0C967B5C}" w:val=" ADDIN NE.Ref.{2156CD90-B79D-4B1E-B51A-A23E0C967B5C}&lt;Citation&gt;&lt;Group&gt;&lt;References&gt;&lt;Item&gt;&lt;ID&gt;2592&lt;/ID&gt;&lt;UID&gt;{F1D29912-0451-4293-972E-7D0044A0AD7D}&lt;/UID&gt;&lt;Title&gt;Stress hyperglycemia ratio linked to worse prognosis in Cardiac Intensive Care Unit patients: A retrospective observational study&lt;/Title&gt;&lt;Template&gt;Journal Article&lt;/Template&gt;&lt;Star&gt;0&lt;/Star&gt;&lt;Tag&gt;0&lt;/Tag&gt;&lt;Author&gt;Zhang, Qianqian; Xiang, Huaqiang; Xu, Qianqian; Hu, Zesong; Xue, Yangjing; Wang, Jie; Ji, Kangting&lt;/Author&gt;&lt;Year&gt;2024&lt;/Year&gt;&lt;Details&gt;&lt;_accessed&gt;66401360&lt;/_accessed&gt;&lt;_accession_num&gt;38431225&lt;/_accession_num&gt;&lt;_author_adr&gt;The Second Affiliated Hospital and Yuying Children&amp;apos;s Hospital of Wenzhou Medical  University, Wenzhou 325027, China.; The Second Affiliated Hospital and Yuying Children&amp;apos;s Hospital of Wenzhou Medical  University, Wenzhou 325027, China.; The Second Affiliated Hospital and Yuying Children&amp;apos;s Hospital of Wenzhou Medical  University, Wenzhou 325027, China.; The Second Affiliated Hospital and Yuying Children&amp;apos;s Hospital of Wenzhou Medical  University, Wenzhou 325027, China.; The Second Affiliated Hospital and Yuying Children&amp;apos;s Hospital of Wenzhou Medical  University, Wenzhou 325027, China.; The Second Affiliated Hospital and Yuying Children&amp;apos;s Hospital of Wenzhou Medical  University, Wenzhou 325027, China. Electronic address: jiewang@wzhealth.com.; The Second Affiliated Hospital and Yuying Children&amp;apos;s Hospital of Wenzhou Medical  University, Wenzhou 325027, China. Electronic address: jikt@wmu.edu.cn.&lt;/_author_adr&gt;&lt;_collection_scope&gt;SCIE&lt;/_collection_scope&gt;&lt;_created&gt;66401326&lt;/_created&gt;&lt;_date&gt;2024-03-01&lt;/_date&gt;&lt;_date_display&gt;2024 Mar&lt;/_date_display&gt;&lt;_db_updated&gt;CrossRef&lt;/_db_updated&gt;&lt;_doi&gt;10.1016/j.diabres.2024.111598&lt;/_doi&gt;&lt;_impact_factor&gt;   6.100&lt;/_impact_factor&gt;&lt;_isbn&gt;01688227&lt;/_isbn&gt;&lt;_journal&gt;Diabetes Research and Clinical Practice&lt;/_journal&gt;&lt;_keywords&gt;Cardiac intensive care unit; Clinical outcomes; Diabetes; Stress hyperglycemia ratio&lt;/_keywords&gt;&lt;_language&gt;eng&lt;/_language&gt;&lt;_modified&gt;66401436&lt;/_modified&gt;&lt;_number&gt;21&lt;/_number&gt;&lt;_ori_publication&gt;Copyright © 2024 Elsevier B.V. All rights reserved.&lt;/_ori_publication&gt;&lt;_pages&gt;111598&lt;/_pages&gt;&lt;_social_category&gt;内分泌学与代谢(3)&lt;/_social_category&gt;&lt;_subject_headings&gt;Humans; Intensive Care Units; *Hyperglycemia; Prognosis; Retrospective Studies; Hospital Mortality; Risk Factors; *Diabetes Mellitus&lt;/_subject_headings&gt;&lt;_tertiary_title&gt;Diabetes Research and Clinical Practice&lt;/_tertiary_title&gt;&lt;_type_work&gt;Journal Article; Observational Study&lt;/_type_work&gt;&lt;_url&gt;https://linkinghub.elsevier.com/retrieve/pii/S0168822724000822_x000d__x000a_https://api.elsevier.com/content/article/PII:S0168822724000822?httpAccept=text/xml&lt;/_url&gt;&lt;_volume&gt;209&lt;/_volume&gt;&lt;/Details&gt;&lt;Extra&gt;&lt;DBUID&gt;{0595FEED-06EC-4465-A92A-123F8040CA41}&lt;/DBUID&gt;&lt;/Extra&gt;&lt;/Item&gt;&lt;/References&gt;&lt;/Group&gt;&lt;/Citation&gt;_x000a_"/>
    <w:docVar w:name="NE.Ref{22694938-FB26-4FBB-B8E5-D9533FAFB255}" w:val=" ADDIN NE.Ref.{22694938-FB26-4FBB-B8E5-D9533FAFB255}&lt;Citation&gt;&lt;Group&gt;&lt;References&gt;&lt;Item&gt;&lt;ID&gt;2711&lt;/ID&gt;&lt;UID&gt;{C017CB62-FEA4-4CF1-A05C-FE5A084B028C}&lt;/UID&gt;&lt;Title&gt;The stress hyperglycemia ratio is associated with the development of cerebral edema and poor functional outcome in patients with acute cerebral infarction&lt;/Title&gt;&lt;Template&gt;Journal Article&lt;/Template&gt;&lt;Star&gt;0&lt;/Star&gt;&lt;Tag&gt;0&lt;/Tag&gt;&lt;Author&gt;Deng, Yilun; Wu, Simiao; Liu, Junfeng; Liu, Meng; Wang, Lu; Wan, JinCheng; Zhang, Shihong; Liu, Ming&lt;/Author&gt;&lt;Year&gt;2022&lt;/Year&gt;&lt;Details&gt;&lt;_accessed&gt;66402458&lt;/_accessed&gt;&lt;_accession_num&gt;36118702&lt;/_accession_num&gt;&lt;_author_adr&gt;Department of Neurology, West China Hospital, Sichuan University, Chengdu, China.; Department of Neurology, West China Hospital, Sichuan University, Chengdu, China.; Department of Neurology, West China Hospital, Sichuan University, Chengdu, China.; Department of Neurology, West China Hospital, Sichuan University, Chengdu, China.; Department of Rehabilitation Medicine, West China Hospital, Sichuan University,  Chengdu, China.; Key Laboratory of Rehabilitation Medicine, West China Hospital, Sichuan  University, Chengdu, China.; Department of Neurology, West China Hospital, Sichuan University, Chengdu, China.; Department of Neurology, West China Hospital, Sichuan University, Chengdu, China.; Department of Neurology, West China Hospital, Sichuan University, Chengdu, China.&lt;/_author_adr&gt;&lt;_collection_scope&gt;SCIE&lt;/_collection_scope&gt;&lt;_created&gt;66401457&lt;/_created&gt;&lt;_date&gt;64516320&lt;/_date&gt;&lt;_date_display&gt;2022&lt;/_date_display&gt;&lt;_db_updated&gt;CrossRef&lt;/_db_updated&gt;&lt;_doi&gt;10.3389/fnagi.2022.936862&lt;/_doi&gt;&lt;_impact_factor&gt;   4.100&lt;/_impact_factor&gt;&lt;_isbn&gt;1663-4365&lt;/_isbn&gt;&lt;_journal&gt;Frontiers in Aging Neuroscience&lt;/_journal&gt;&lt;_keywords&gt;cerebral edema; death; functional outcome; glucose; stress hyperglycemia ratio&lt;/_keywords&gt;&lt;_language&gt;eng&lt;/_language&gt;&lt;_modified&gt;66402458&lt;/_modified&gt;&lt;_number&gt;20&lt;/_number&gt;&lt;_ori_publication&gt;Copyright © 2022 Deng, Wu, Liu, Liu, Wang, Wan, Zhang and Liu.&lt;/_ori_publication&gt;&lt;_pages&gt;936862&lt;/_pages&gt;&lt;_social_category&gt;老年医学(3) &amp;amp; 神经科学(3)&lt;/_social_category&gt;&lt;_tertiary_title&gt;Front. Aging Neurosci.&lt;/_tertiary_title&gt;&lt;_type_work&gt;Journal Article&lt;/_type_work&gt;&lt;_url&gt;https://www.frontiersin.org/articles/10.3389/fnagi.2022.936862/full_x000d__x000a_https://www.frontiersin.org/articles/10.3389/fnagi.2022.936862/full&lt;/_url&gt;&lt;_volume&gt;14&lt;/_volume&gt;&lt;/Details&gt;&lt;Extra&gt;&lt;DBUID&gt;{0595FEED-06EC-4465-A92A-123F8040CA41}&lt;/DBUID&gt;&lt;/Extra&gt;&lt;/Item&gt;&lt;/References&gt;&lt;/Group&gt;&lt;/Citation&gt;_x000a_"/>
    <w:docVar w:name="NE.Ref{258B2FB3-24B7-4A52-90E1-0C7DFC8E719A}" w:val=" ADDIN NE.Ref.{258B2FB3-24B7-4A52-90E1-0C7DFC8E719A}&lt;Citation&gt;&lt;Group&gt;&lt;References&gt;&lt;Item&gt;&lt;ID&gt;2534&lt;/ID&gt;&lt;UID&gt;{7B3ABE35-A3F9-400C-8CA2-BED33C61E966}&lt;/UID&gt;&lt;Title&gt;1&lt;/Title&gt;&lt;Template&gt;Journal Article&lt;/Template&gt;&lt;Star&gt;0&lt;/Star&gt;&lt;Tag&gt;0&lt;/Tag&gt;&lt;Author/&gt;&lt;Year&gt;0&lt;/Year&gt;&lt;Details&gt;&lt;_created&gt;66401231&lt;/_created&gt;&lt;_modified&gt;66401232&lt;/_modified&gt;&lt;_accessed&gt;66401232&lt;/_accessed&gt;&lt;/Details&gt;&lt;Extra&gt;&lt;DBUID&gt;{0595FEED-06EC-4465-A92A-123F8040CA41}&lt;/DBUID&gt;&lt;/Extra&gt;&lt;/Item&gt;&lt;/References&gt;&lt;/Group&gt;&lt;/Citation&gt;_x000a_"/>
    <w:docVar w:name="NE.Ref{26634B96-28E4-432E-BAE9-59DF9032AE3A}" w:val=" ADDIN NE.Ref.{26634B96-28E4-432E-BAE9-59DF9032AE3A}&lt;Citation&gt;&lt;Group&gt;&lt;References&gt;&lt;Item&gt;&lt;ID&gt;2748&lt;/ID&gt;&lt;UID&gt;{F5090701-7A43-45C4-86A9-3539D7C56E00}&lt;/UID&gt;&lt;Title&gt;Stress Hyperlactatemia Modifies the Relationship Between Stress Hyperglycemia and Outcome&lt;/Title&gt;&lt;Template&gt;Journal Article&lt;/Template&gt;&lt;Star&gt;0&lt;/Star&gt;&lt;Tag&gt;0&lt;/Tag&gt;&lt;Author&gt;Kaukonen, Kirsi-Maija; Bailey, Michael; Egi, Moritoki; Orford, Neil; Glassford, Neil J; Marik, Paul E; Bellomo, Rinaldo&lt;/Author&gt;&lt;Year&gt;2014&lt;/Year&gt;&lt;Details&gt;&lt;_accessed&gt;66402461&lt;/_accessed&gt;&lt;_accession_num&gt;24561567&lt;/_accession_num&gt;&lt;_author_adr&gt;1Australian and New Zealand Intensive Care Research Centre, School of  Epidemiology and Preventive Medicine, Monash University, Melbourne, Australia.  2Department of Anesthesiology and Resuscitology, Okayama University Hospital,  Okayama, Japan. 3Intensive Care Unit, Geelong Hospital, Barwon Health, Geelong,  Australia. 4Intensive Care Unit, Austin Health, Heidelberg, Australia. 5Division  of Pulmonary and Critical Care Medicine, Eastern Virginia Medical School,  Norfolk, VA.&lt;/_author_adr&gt;&lt;_collection_scope&gt;SCIE&lt;/_collection_scope&gt;&lt;_created&gt;66402454&lt;/_created&gt;&lt;_date&gt;2014-06-01&lt;/_date&gt;&lt;_date_display&gt;2014 Jun&lt;/_date_display&gt;&lt;_db_updated&gt;CrossRef&lt;/_db_updated&gt;&lt;_doi&gt;10.1097/CCM.0000000000000214&lt;/_doi&gt;&lt;_impact_factor&gt;   7.700&lt;/_impact_factor&gt;&lt;_isbn&gt;0090-3493&lt;/_isbn&gt;&lt;_issue&gt;6&lt;/_issue&gt;&lt;_journal&gt;Critical Care Medicine&lt;/_journal&gt;&lt;_language&gt;eng&lt;/_language&gt;&lt;_modified&gt;66402461&lt;/_modified&gt;&lt;_number&gt;53&lt;/_number&gt;&lt;_pages&gt;1379-1385&lt;/_pages&gt;&lt;_social_category&gt;危重病医学(2)&lt;/_social_category&gt;&lt;_subject_headings&gt;APACHE; Aged; Blood Gas Analysis; Critical Illness/*mortality; Cross-Sectional Studies; Female; Glucose/*analysis; Hospital Mortality; Humans; Hyperglycemia/*mortality/pathology/physiopathology; Intensive Care Units; Lactic Acid/*analysis; Logistic Models; Male; Middle Aged; Odds Ratio; Retrospective Studies; Stress, Physiological/*physiology; Time Factors&lt;/_subject_headings&gt;&lt;_tertiary_title&gt;Critical Care Medicine&lt;/_tertiary_title&gt;&lt;_type_work&gt;Journal Article; Multicenter Study; Observational Study; Research Support, Non-U.S. Gov&amp;apos;t&lt;/_type_work&gt;&lt;_url&gt;http://journals.lww.com/00003246-201406000-00008_x000d__x000a_https://journals.lww.com/10.1097/CCM.0000000000000214&lt;/_url&gt;&lt;_volume&gt;42&lt;/_volume&gt;&lt;/Details&gt;&lt;Extra&gt;&lt;DBUID&gt;{0595FEED-06EC-4465-A92A-123F8040CA41}&lt;/DBUID&gt;&lt;/Extra&gt;&lt;/Item&gt;&lt;/References&gt;&lt;/Group&gt;&lt;/Citation&gt;_x000a_"/>
    <w:docVar w:name="NE.Ref{299AF230-E426-4B5E-B710-434DB337314B}" w:val=" ADDIN NE.Ref.{299AF230-E426-4B5E-B710-434DB337314B}&lt;Citation&gt;&lt;Group&gt;&lt;References&gt;&lt;Item&gt;&lt;ID&gt;2753&lt;/ID&gt;&lt;UID&gt;{593E1D8D-4E70-4E5B-B13D-F5D86814D679}&lt;/UID&gt;&lt;Title&gt;Pitfalls in Hemoglobin A1c Measurement: When Results may be Misleading&lt;/Title&gt;&lt;Template&gt;Journal Article&lt;/Template&gt;&lt;Star&gt;0&lt;/Star&gt;&lt;Tag&gt;0&lt;/Tag&gt;&lt;Author&gt;Radin, Michael S&lt;/Author&gt;&lt;Year&gt;2014&lt;/Year&gt;&lt;Details&gt;&lt;_accessed&gt;66402468&lt;/_accessed&gt;&lt;_accession_num&gt;24002631&lt;/_accession_num&gt;&lt;_author_adr&gt;Division of Endocrinology, Diabetes, and Metabolism, Winthrop-University  Hospital, Mineola, NY, USA, mradin@winthrop.org.&lt;/_author_adr&gt;&lt;_collection_scope&gt;SCIE&lt;/_collection_scope&gt;&lt;_created&gt;66402455&lt;/_created&gt;&lt;_date&gt;59958720&lt;/_date&gt;&lt;_date_display&gt;2014&lt;/_date_display&gt;&lt;_db_updated&gt;PKU Search&lt;/_db_updated&gt;&lt;_doi&gt;10.1007/s11606-013-2595-x&lt;/_doi&gt;&lt;_impact_factor&gt;   4.300&lt;/_impact_factor&gt;&lt;_isbn&gt;0884-8734;1525-1497;&lt;/_isbn&gt;&lt;_issue&gt;2&lt;/_issue&gt;&lt;_journal&gt;Journal of general internal medicine : JGIM&lt;/_journal&gt;&lt;_keywords&gt;Biological and medical sciences; Biomarkers; Biomarkers - blood; Blood Glucose - metabolism; Clinical medicine; Diabetes; Diabetes Mellitus, Type 2 - blood; Diabetes Mellitus, Type 2 - diagnosis; Diabetes. Impaired glucose tolerance; Endocrine pancreas. Apud cells (diseases); Endocrinopathies; Etiopathogenesis. Screening. Investigations. Target tissue resistance; Female; General aspects; Glycated Hemoglobin A - metabolism; Health participants; Hemoglobin; Humans; Internal Medicine; Medical sciences; Medicine; Medicine &amp;amp; Public Health; Middle Aged; Public health. Hygiene; Public health. Hygiene-occupational medicine; Review; Review Article&lt;/_keywords&gt;&lt;_language&gt;eng&lt;/_language&gt;&lt;_modified&gt;66402468&lt;/_modified&gt;&lt;_number&gt;58&lt;/_number&gt;&lt;_ori_publication&gt;Springer US&lt;/_ori_publication&gt;&lt;_pages&gt;388-394&lt;/_pages&gt;&lt;_place_published&gt;Boston&lt;/_place_published&gt;&lt;_social_category&gt;医学：内科(2) &amp;amp; 卫生保健与服务(3)&lt;/_social_category&gt;&lt;_subject_headings&gt;Biomarkers/blood; Blood Glucose/*metabolism; Diabetes Mellitus, Type 2/*blood/*diagnosis; Female; Glycated Hemoglobin/*metabolism; Humans; Middle Aged&lt;/_subject_headings&gt;&lt;_tertiary_title&gt;Journal of general internal medicine&lt;/_tertiary_title&gt;&lt;_type_work&gt;Case Reports; Journal Article; Review&lt;/_type_work&gt;&lt;_url&gt;https://go.exlibris.link/pdmc77Dr&lt;/_url&gt;&lt;_volume&gt;29&lt;/_volume&gt;&lt;/Details&gt;&lt;Extra&gt;&lt;DBUID&gt;{0595FEED-06EC-4465-A92A-123F8040CA41}&lt;/DBUID&gt;&lt;/Extra&gt;&lt;/Item&gt;&lt;/References&gt;&lt;/Group&gt;&lt;/Citation&gt;_x000a_"/>
    <w:docVar w:name="NE.Ref{2AF40884-F701-4E9E-8CC9-4AC2BB6F53BD}" w:val=" ADDIN NE.Ref.{2AF40884-F701-4E9E-8CC9-4AC2BB6F53BD}&lt;Citation&gt;&lt;Group&gt;&lt;References&gt;&lt;Item&gt;&lt;ID&gt;2734&lt;/ID&gt;&lt;UID&gt;{7AB1C142-A9DC-4CD8-8E99-B84668F78C0A}&lt;/UID&gt;&lt;Title&gt;Oxidative Stress and Diabetic Complications&lt;/Title&gt;&lt;Template&gt;Journal Article&lt;/Template&gt;&lt;Star&gt;0&lt;/Star&gt;&lt;Tag&gt;0&lt;/Tag&gt;&lt;Author&gt;Giacco, Ferdinando; Brownlee, Michael&lt;/Author&gt;&lt;Year&gt;2010&lt;/Year&gt;&lt;Details&gt;&lt;_accessed&gt;66402460&lt;/_accessed&gt;&lt;_accession_num&gt;21030723&lt;/_accession_num&gt;&lt;_author_adr&gt;Diabetes Research Center, Departments of Medicine/Endocrinology, Albert Einstein  College of Medicine, 1300 Morris Park Ave., Bronx, New York 10461-1602, USA.&lt;/_author_adr&gt;&lt;_collection_scope&gt;SCIE&lt;/_collection_scope&gt;&lt;_created&gt;66402443&lt;/_created&gt;&lt;_date&gt;58288320&lt;/_date&gt;&lt;_date_display&gt;2010 Oct 29&lt;/_date_display&gt;&lt;_db_updated&gt;CrossRef&lt;/_db_updated&gt;&lt;_doi&gt;10.1161/CIRCRESAHA.110.223545&lt;/_doi&gt;&lt;_impact_factor&gt;  16.500&lt;/_impact_factor&gt;&lt;_isbn&gt;0009-7330&lt;/_isbn&gt;&lt;_issue&gt;9&lt;/_issue&gt;&lt;_journal&gt;Circulation Research&lt;/_journal&gt;&lt;_language&gt;eng&lt;/_language&gt;&lt;_modified&gt;66402460&lt;/_modified&gt;&lt;_number&gt;39&lt;/_number&gt;&lt;_pages&gt;1058-1070&lt;/_pages&gt;&lt;_social_category&gt;心脏和心血管系统(1) &amp;amp; 血液学(1) &amp;amp; 外周血管病(1)&lt;/_social_category&gt;&lt;_subject_headings&gt;Animals; Atherosclerosis/etiology/metabolism; Cardiomyopathies/etiology/metabolism; Diabetes Complications/etiology/*metabolism; Humans; Hyperglycemia/complications/metabolism; Microvessels/metabolism; Oxidative Stress/*physiology; Reactive Oxygen Species/metabolism; Signal Transduction/physiology&lt;/_subject_headings&gt;&lt;_tertiary_title&gt;Circulation Research&lt;/_tertiary_title&gt;&lt;_type_work&gt;Journal Article; Research Support, N.I.H., Extramural; Research Support, Non-U.S. Gov&amp;apos;t; Review&lt;/_type_work&gt;&lt;_url&gt;https://www.ahajournals.org/doi/10.1161/CIRCRESAHA.110.223545_x000d__x000a_https://www.ahajournals.org/doi/full/10.1161/CIRCRESAHA.110.223545&lt;/_url&gt;&lt;_volume&gt;107&lt;/_volume&gt;&lt;/Details&gt;&lt;Extra&gt;&lt;DBUID&gt;{0595FEED-06EC-4465-A92A-123F8040CA41}&lt;/DBUID&gt;&lt;/Extra&gt;&lt;/Item&gt;&lt;/References&gt;&lt;/Group&gt;&lt;Group&gt;&lt;References&gt;&lt;Item&gt;&lt;ID&gt;2735&lt;/ID&gt;&lt;UID&gt;{982BEEFB-D482-4190-A43A-C4A0B7C00728}&lt;/UID&gt;&lt;Title&gt;Oscillating Glucose Is More Deleterious to Endothelial Function and Oxidative Stress Than Mean Glucose in Normal and Type 2 Diabetic Patients&lt;/Title&gt;&lt;Template&gt;Journal Article&lt;/Template&gt;&lt;Star&gt;0&lt;/Star&gt;&lt;Tag&gt;0&lt;/Tag&gt;&lt;Author&gt;Ceriello, Antonio; Esposito, Katherine; Piconi, Ludovica; Ihnat, Michael A; Thorpe, Jessica E; Testa, Roberto; Boemi, Massimo; Giugliano, Dario&lt;/Author&gt;&lt;Year&gt;2008&lt;/Year&gt;&lt;Details&gt;&lt;_accessed&gt;66402460&lt;/_accessed&gt;&lt;_accession_num&gt;18299315&lt;/_accession_num&gt;&lt;_author_adr&gt;Centre of Excellence in Diabetes and Endocrinology, University Hospital of  Coventry and Warwickshire, Warwick Medical School, University of Warwick,  Coventry, UK. antonio.ceriello@warwick.ac.uk&lt;/_author_adr&gt;&lt;_collection_scope&gt;SCIE&lt;/_collection_scope&gt;&lt;_created&gt;66402444&lt;/_created&gt;&lt;_date&gt;56976480&lt;/_date&gt;&lt;_date_display&gt;2008 May&lt;/_date_display&gt;&lt;_db_updated&gt;CrossRef&lt;/_db_updated&gt;&lt;_doi&gt;10.2337/db08-0063&lt;/_doi&gt;&lt;_impact_factor&gt;   6.200&lt;/_impact_factor&gt;&lt;_isbn&gt;0012-1797&lt;/_isbn&gt;&lt;_issue&gt;5&lt;/_issue&gt;&lt;_journal&gt;Diabetes&lt;/_journal&gt;&lt;_language&gt;eng&lt;/_language&gt;&lt;_modified&gt;66402460&lt;/_modified&gt;&lt;_number&gt;40&lt;/_number&gt;&lt;_pages&gt;1349-1354&lt;/_pages&gt;&lt;_social_category&gt;内分泌学与代谢(2)&lt;/_social_category&gt;&lt;_subject_headings&gt;Blood Glucose/*metabolism; Diabetes Mellitus, Type 2/*blood/*physiopathology; Endothelium, Vascular/*physiology/*physiopathology; Female; Glycated Hemoglobin/metabolism; Homeostasis; Humans; Male; Middle Aged; Oscillometry; *Oxidative Stress; Reference Values; Somatostatin/blood; Vasodilation/*physiology&lt;/_subject_headings&gt;&lt;_tertiary_title&gt;Diabetes&lt;/_tertiary_title&gt;&lt;_type_work&gt;Journal Article&lt;/_type_work&gt;&lt;_url&gt;https://diabetesjournals.org/diabetes/article/57/5/1349/13528/Oscillating-Glucose-Is-More-Deleterious-to_x000d__x000a_https://diabetesjournals.org/diabetes/article-pdf/57/5/1349/391216/zdb00508001349.pdf&lt;/_url&gt;&lt;_volume&gt;57&lt;/_volume&gt;&lt;/Details&gt;&lt;Extra&gt;&lt;DBUID&gt;{0595FEED-06EC-4465-A92A-123F8040CA41}&lt;/DBUID&gt;&lt;/Extra&gt;&lt;/Item&gt;&lt;/References&gt;&lt;/Group&gt;&lt;/Citation&gt;_x000a_"/>
    <w:docVar w:name="NE.Ref{2BD31B88-7ADD-4B05-86E8-D0BB4FC761B4}" w:val=" ADDIN NE.Ref.{2BD31B88-7ADD-4B05-86E8-D0BB4FC761B4}&lt;Citation&gt;&lt;Group&gt;&lt;References&gt;&lt;Item&gt;&lt;ID&gt;2601&lt;/ID&gt;&lt;UID&gt;{DB9FF09B-8AF9-41E7-B116-9C35663C9E63}&lt;/UID&gt;&lt;Title&gt;Association of stress hyperglycemia ratio and in-hospital mortality in patients with coronary artery disease: insights from a large cohort study&lt;/Title&gt;&lt;Template&gt;Journal Article&lt;/Template&gt;&lt;Star&gt;0&lt;/Star&gt;&lt;Tag&gt;0&lt;/Tag&gt;&lt;Author&gt;Xu, Wei; Song, Qirui; Wang, Xiang; Zhao, Zinan; Meng, Xuyang; Xia, Chenxi; Xie, Yibo; Yang, Chenguang; Guo, Ying; Zhang, Yatong; Wang, Fang&lt;/Author&gt;&lt;Year&gt;2022&lt;/Year&gt;&lt;Details&gt;&lt;_accessed&gt;66401361&lt;/_accessed&gt;&lt;_accession_num&gt;36261839&lt;/_accession_num&gt;&lt;_author_adr&gt;Emergency Center, State Key Laboratory of Cardiovascular Disease of China,  National Center for Cardiovascular Diseases, National Clinical Research Center of  Cardiovascular Diseases, Fuwai Hospital, Chinese Academy of Medical Sciences and  Peking Union Medical College, 100037, Beijing, China.; Hypertension Center, State Key Laboratory of Cardiovascular Disease of China,  National Center for Cardiovascular Diseases of China, Fuwai Hospital, Chinese  Academy of Medical Sciences, Peking Union Medical College, 100037,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Cardiology, Beijing Hospital, National Center of Gerontology,  Institute of Geriatric Medicine, Chinese Academy of Medical Sciences, Beijing,  China.; Department of Information Center,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750826140@qq.com.; Department of Cardiology, Beijing Hospital, National Center of Gerontology,  Institute of Geriatric Medicine, Chinese Academy of Medical Sciences, Beijing,  China. bjh_wangfang@163.com.; Graduate School of Peking Union Medical College, Chinese Academy of Medical  Sciences, Beijing, China. bjh_wangfang@163.com.&lt;/_author_adr&gt;&lt;_collection_scope&gt;SCIE&lt;/_collection_scope&gt;&lt;_created&gt;66401335&lt;/_created&gt;&lt;_date&gt;64585440&lt;/_date&gt;&lt;_date_display&gt;2022 Oct 19&lt;/_date_display&gt;&lt;_db_updated&gt;CrossRef&lt;/_db_updated&gt;&lt;_doi&gt;10.1186/s12933-022-01645-y&lt;/_doi&gt;&lt;_impact_factor&gt;   8.500&lt;/_impact_factor&gt;&lt;_isbn&gt;1475-2840&lt;/_isbn&gt;&lt;_issue&gt;1&lt;/_issue&gt;&lt;_journal&gt;Cardiovascular Diabetology&lt;/_journal&gt;&lt;_keywords&gt;Coronary artery disease; Diabetes; Mortality; Stress hyperglycemia; Stress hyperglycemia ratio&lt;/_keywords&gt;&lt;_language&gt;eng&lt;/_language&gt;&lt;_modified&gt;66401377&lt;/_modified&gt;&lt;_ori_publication&gt;© 2022. The Author(s).&lt;/_ori_publication&gt;&lt;_pages&gt;217&lt;/_pages&gt;&lt;_social_category&gt;内分泌学与代谢(1) &amp;amp; 心脏和心血管系统(2)&lt;/_social_category&gt;&lt;_subject_headings&gt;Humans; Blood Glucose; Glycated Hemoglobin/analysis; *Coronary Artery Disease; Hospital Mortality; Cohort Studies; *Hyperglycemia; *Diabetes Mellitus; *Acute Coronary Syndrome&lt;/_subject_headings&gt;&lt;_tertiary_title&gt;Cardiovasc Diabetol&lt;/_tertiary_title&gt;&lt;_type_work&gt;Journal Article; Research Support, Non-U.S. Gov&amp;apos;t&lt;/_type_work&gt;&lt;_url&gt;https://cardiab.biomedcentral.com/articles/10.1186/s12933-022-01645-y_x000d__x000a_https://link.springer.com/content/pdf/10.1186/s12933-022-01645-y.pdf&lt;/_url&gt;&lt;_volume&gt;21&lt;/_volume&gt;&lt;/Details&gt;&lt;Extra&gt;&lt;DBUID&gt;{0595FEED-06EC-4465-A92A-123F8040CA41}&lt;/DBUID&gt;&lt;/Extra&gt;&lt;/Item&gt;&lt;/References&gt;&lt;/Group&gt;&lt;Group&gt;&lt;References&gt;&lt;Item&gt;&lt;ID&gt;2616&lt;/ID&gt;&lt;UID&gt;{B213F5E4-E392-42B9-818E-15255DAAA78D}&lt;/UID&gt;&lt;Title&gt;Stress Hyperglycemia&lt;/Title&gt;&lt;Template&gt;Journal Article&lt;/Template&gt;&lt;Star&gt;0&lt;/Star&gt;&lt;Tag&gt;0&lt;/Tag&gt;&lt;Author&gt;Marik, Paul E; Bellomo, Rinaldo&lt;/Author&gt;&lt;Year&gt;2013&lt;/Year&gt;&lt;Details&gt;&lt;_accessed&gt;66401362&lt;/_accessed&gt;&lt;_accession_num&gt;23685597&lt;/_accession_num&gt;&lt;_collection_scope&gt;SCIE&lt;/_collection_scope&gt;&lt;_created&gt;66401348&lt;/_created&gt;&lt;_date&gt;2013-06-01&lt;/_date&gt;&lt;_date_display&gt;2013 Jun&lt;/_date_display&gt;&lt;_db_updated&gt;CrossRef&lt;/_db_updated&gt;&lt;_doi&gt;10.1097/CCM.0b013e318283d124&lt;/_doi&gt;&lt;_impact_factor&gt;   7.700&lt;/_impact_factor&gt;&lt;_isbn&gt;0090-3493&lt;/_isbn&gt;&lt;_issue&gt;6&lt;/_issue&gt;&lt;_journal&gt;Critical Care Medicine&lt;/_journal&gt;&lt;_language&gt;eng&lt;/_language&gt;&lt;_modified&gt;66401436&lt;/_modified&gt;&lt;_number&gt;39&lt;/_number&gt;&lt;_pages&gt;e93-e94&lt;/_pages&gt;&lt;_social_category&gt;危重病医学(2)&lt;/_social_category&gt;&lt;_subject_headings&gt;*Critical Care; Humans; Hyperglycemia/*drug therapy; Hypoglycemic Agents/*administration &amp;amp; dosage; Insulin/*administration &amp;amp; dosage; *Practice Guidelines as Topic&lt;/_subject_headings&gt;&lt;_tertiary_title&gt;Critical Care Medicine&lt;/_tertiary_title&gt;&lt;_type_work&gt;Comment; Letter&lt;/_type_work&gt;&lt;_url&gt;http://journals.lww.com/00003246-201306000-00042_x000d__x000a_https://journals.lww.com/10.1097/CCM.0b013e318283d124&lt;/_url&gt;&lt;_volume&gt;41&lt;/_volume&gt;&lt;/Details&gt;&lt;Extra&gt;&lt;DBUID&gt;{0595FEED-06EC-4465-A92A-123F8040CA41}&lt;/DBUID&gt;&lt;/Extra&gt;&lt;/Item&gt;&lt;/References&gt;&lt;/Group&gt;&lt;/Citation&gt;_x000a_"/>
    <w:docVar w:name="NE.Ref{2E2AB745-03C0-4CC9-8F5A-9845A21AAE70}" w:val=" ADDIN NE.Ref.{2E2AB745-03C0-4CC9-8F5A-9845A21AAE70}&lt;Citation&gt;&lt;Group&gt;&lt;References&gt;&lt;Item&gt;&lt;ID&gt;2734&lt;/ID&gt;&lt;UID&gt;{7AB1C142-A9DC-4CD8-8E99-B84668F78C0A}&lt;/UID&gt;&lt;Title&gt;Oxidative Stress and Diabetic Complications&lt;/Title&gt;&lt;Template&gt;Journal Article&lt;/Template&gt;&lt;Star&gt;0&lt;/Star&gt;&lt;Tag&gt;0&lt;/Tag&gt;&lt;Author&gt;Giacco, Ferdinando; Brownlee, Michael&lt;/Author&gt;&lt;Year&gt;2010&lt;/Year&gt;&lt;Details&gt;&lt;_accessed&gt;66402460&lt;/_accessed&gt;&lt;_accession_num&gt;21030723&lt;/_accession_num&gt;&lt;_author_adr&gt;Diabetes Research Center, Departments of Medicine/Endocrinology, Albert Einstein  College of Medicine, 1300 Morris Park Ave., Bronx, New York 10461-1602, USA.&lt;/_author_adr&gt;&lt;_collection_scope&gt;SCIE&lt;/_collection_scope&gt;&lt;_created&gt;66402443&lt;/_created&gt;&lt;_date&gt;58288320&lt;/_date&gt;&lt;_date_display&gt;2010 Oct 29&lt;/_date_display&gt;&lt;_db_updated&gt;CrossRef&lt;/_db_updated&gt;&lt;_doi&gt;10.1161/CIRCRESAHA.110.223545&lt;/_doi&gt;&lt;_impact_factor&gt;  16.500&lt;/_impact_factor&gt;&lt;_isbn&gt;0009-7330&lt;/_isbn&gt;&lt;_issue&gt;9&lt;/_issue&gt;&lt;_journal&gt;Circulation Research&lt;/_journal&gt;&lt;_language&gt;eng&lt;/_language&gt;&lt;_modified&gt;66402460&lt;/_modified&gt;&lt;_number&gt;39&lt;/_number&gt;&lt;_pages&gt;1058-1070&lt;/_pages&gt;&lt;_social_category&gt;心脏和心血管系统(1) &amp;amp; 血液学(1) &amp;amp; 外周血管病(1)&lt;/_social_category&gt;&lt;_subject_headings&gt;Animals; Atherosclerosis/etiology/metabolism; Cardiomyopathies/etiology/metabolism; Diabetes Complications/etiology/*metabolism; Humans; Hyperglycemia/complications/metabolism; Microvessels/metabolism; Oxidative Stress/*physiology; Reactive Oxygen Species/metabolism; Signal Transduction/physiology&lt;/_subject_headings&gt;&lt;_tertiary_title&gt;Circulation Research&lt;/_tertiary_title&gt;&lt;_type_work&gt;Journal Article; Research Support, N.I.H., Extramural; Research Support, Non-U.S. Gov&amp;apos;t; Review&lt;/_type_work&gt;&lt;_url&gt;https://www.ahajournals.org/doi/10.1161/CIRCRESAHA.110.223545_x000d__x000a_https://www.ahajournals.org/doi/full/10.1161/CIRCRESAHA.110.223545&lt;/_url&gt;&lt;_volume&gt;107&lt;/_volume&gt;&lt;/Details&gt;&lt;Extra&gt;&lt;DBUID&gt;{0595FEED-06EC-4465-A92A-123F8040CA41}&lt;/DBUID&gt;&lt;/Extra&gt;&lt;/Item&gt;&lt;/References&gt;&lt;/Group&gt;&lt;Group&gt;&lt;References&gt;&lt;Item&gt;&lt;ID&gt;2743&lt;/ID&gt;&lt;UID&gt;{CC16C1C0-9AFE-41CE-9130-F9DD699F90CA}&lt;/UID&gt;&lt;Title&gt;Biochemistry and molecular cell biology of diabetic complications&lt;/Title&gt;&lt;Template&gt;Journal Article&lt;/Template&gt;&lt;Star&gt;0&lt;/Star&gt;&lt;Tag&gt;0&lt;/Tag&gt;&lt;Author&gt;Brownlee, Michael&lt;/Author&gt;&lt;Year&gt;2001&lt;/Year&gt;&lt;Details&gt;&lt;_accessed&gt;66402460&lt;/_accessed&gt;&lt;_accession_num&gt;11742414&lt;/_accession_num&gt;&lt;_author_adr&gt;Department of Medicine, Diabetes Research and Training Center, Albert Einstein  College of Medicine, Bronx, New York, 10461, USA. brownlee@aecom.yu.edu&lt;/_author_adr&gt;&lt;_collection_scope&gt;SCIE&lt;/_collection_scope&gt;&lt;_created&gt;66402446&lt;/_created&gt;&lt;_date&gt;53619840&lt;/_date&gt;&lt;_date_display&gt;2001 Dec 13&lt;/_date_display&gt;&lt;_db_updated&gt;CrossRef&lt;/_db_updated&gt;&lt;_doi&gt;10.1038/414813a&lt;/_doi&gt;&lt;_impact_factor&gt;  50.500&lt;/_impact_factor&gt;&lt;_isbn&gt;0028-0836&lt;/_isbn&gt;&lt;_issue&gt;6865&lt;/_issue&gt;&lt;_journal&gt;Nature&lt;/_journal&gt;&lt;_language&gt;eng&lt;/_language&gt;&lt;_modified&gt;66402460&lt;/_modified&gt;&lt;_number&gt;48&lt;/_number&gt;&lt;_pages&gt;813-820&lt;/_pages&gt;&lt;_social_category&gt;综合性期刊(1)&lt;/_social_category&gt;&lt;_subject_headings&gt;Diabetes Complications; Diabetes Mellitus/metabolism; Diabetic Angiopathies/*etiology/pathology; Forecasting; Glycation End Products, Advanced/metabolism; Hexosamines/metabolism; Humans; Hyperglycemia/*complications/pathology; Protein Kinase C/metabolism&lt;/_subject_headings&gt;&lt;_tertiary_title&gt;Nature&lt;/_tertiary_title&gt;&lt;_type_work&gt;Journal Article; Research Support, Non-U.S. Gov&amp;apos;t; Research Support, U.S. Gov&amp;apos;t, P.H.S.&lt;/_type_work&gt;&lt;_url&gt;https://www.nature.com/articles/414813a_x000d__x000a_https://www.nature.com/articles/414813a.pdf&lt;/_url&gt;&lt;_volume&gt;414&lt;/_volume&gt;&lt;/Details&gt;&lt;Extra&gt;&lt;DBUID&gt;{0595FEED-06EC-4465-A92A-123F8040CA41}&lt;/DBUID&gt;&lt;/Extra&gt;&lt;/Item&gt;&lt;/References&gt;&lt;/Group&gt;&lt;/Citation&gt;_x000a_"/>
    <w:docVar w:name="NE.Ref{31AA3B9B-5E76-44D4-847C-A91AE211A333}" w:val=" ADDIN NE.Ref.{31AA3B9B-5E76-44D4-847C-A91AE211A333}&lt;Citation&gt;&lt;Group&gt;&lt;References&gt;&lt;Item&gt;&lt;ID&gt;2624&lt;/ID&gt;&lt;UID&gt;{8529773C-E6BB-411F-B3D4-93CC906418C6}&lt;/UID&gt;&lt;Title&gt;Stress Hyperlactatemia Modifies the Relationship Between Stress Hyperglycemia and Outcome&lt;/Title&gt;&lt;Template&gt;Journal Article&lt;/Template&gt;&lt;Star&gt;0&lt;/Star&gt;&lt;Tag&gt;0&lt;/Tag&gt;&lt;Author&gt;Kaukonen, Kirsi-Maija; Bailey, Michael; Egi, Moritoki; Orford, Neil; Glassford, Neil J; Marik, Paul E; Bellomo, Rinaldo&lt;/Author&gt;&lt;Year&gt;2014&lt;/Year&gt;&lt;Details&gt;&lt;_accessed&gt;66401362&lt;/_accessed&gt;&lt;_accession_num&gt;24561567&lt;/_accession_num&gt;&lt;_author_adr&gt;1Australian and New Zealand Intensive Care Research Centre, School of  Epidemiology and Preventive Medicine, Monash University, Melbourne, Australia.  2Department of Anesthesiology and Resuscitology, Okayama University Hospital,  Okayama, Japan. 3Intensive Care Unit, Geelong Hospital, Barwon Health, Geelong,  Australia. 4Intensive Care Unit, Austin Health, Heidelberg, Australia. 5Division  of Pulmonary and Critical Care Medicine, Eastern Virginia Medical School,  Norfolk, VA.&lt;/_author_adr&gt;&lt;_collection_scope&gt;SCIE&lt;/_collection_scope&gt;&lt;_created&gt;66401353&lt;/_created&gt;&lt;_date&gt;2014-06-01&lt;/_date&gt;&lt;_date_display&gt;2014 Jun&lt;/_date_display&gt;&lt;_db_updated&gt;CrossRef&lt;/_db_updated&gt;&lt;_doi&gt;10.1097/CCM.0000000000000214&lt;/_doi&gt;&lt;_impact_factor&gt;   7.700&lt;/_impact_factor&gt;&lt;_isbn&gt;0090-3493&lt;/_isbn&gt;&lt;_issue&gt;6&lt;/_issue&gt;&lt;_journal&gt;Critical Care Medicine&lt;/_journal&gt;&lt;_language&gt;eng&lt;/_language&gt;&lt;_modified&gt;66401436&lt;/_modified&gt;&lt;_number&gt;46&lt;/_number&gt;&lt;_pages&gt;1379-1385&lt;/_pages&gt;&lt;_social_category&gt;危重病医学(2)&lt;/_social_category&gt;&lt;_subject_headings&gt;APACHE; Aged; Blood Gas Analysis; Critical Illness/*mortality; Cross-Sectional Studies; Female; Glucose/*analysis; Hospital Mortality; Humans; Hyperglycemia/*mortality/pathology/physiopathology; Intensive Care Units; Lactic Acid/*analysis; Logistic Models; Male; Middle Aged; Odds Ratio; Retrospective Studies; Stress, Physiological/*physiology; Time Factors&lt;/_subject_headings&gt;&lt;_tertiary_title&gt;Critical Care Medicine&lt;/_tertiary_title&gt;&lt;_type_work&gt;Journal Article; Multicenter Study; Observational Study; Research Support, Non-U.S. Gov&amp;apos;t&lt;/_type_work&gt;&lt;_url&gt;http://journals.lww.com/00003246-201406000-00008_x000d__x000a_https://journals.lww.com/10.1097/CCM.0000000000000214&lt;/_url&gt;&lt;_volume&gt;42&lt;/_volume&gt;&lt;/Details&gt;&lt;Extra&gt;&lt;DBUID&gt;{0595FEED-06EC-4465-A92A-123F8040CA41}&lt;/DBUID&gt;&lt;/Extra&gt;&lt;/Item&gt;&lt;/References&gt;&lt;/Group&gt;&lt;/Citation&gt;_x000a_"/>
    <w:docVar w:name="NE.Ref{3277C7A0-9685-461A-BCAA-06806B40477E}" w:val=" ADDIN NE.Ref.{3277C7A0-9685-461A-BCAA-06806B40477E}&lt;Citation&gt;&lt;Group&gt;&lt;References&gt;&lt;Item&gt;&lt;ID&gt;2691&lt;/ID&gt;&lt;UID&gt;{097295E6-84F4-4A18-A52F-03B69764BCF3}&lt;/UID&gt;&lt;Title&gt;2019 ESC Guidelines for the diagnosis and management of chronic coronary syndromes&lt;/Title&gt;&lt;Template&gt;Journal Article&lt;/Template&gt;&lt;Star&gt;0&lt;/Star&gt;&lt;Tag&gt;0&lt;/Tag&gt;&lt;Author&gt;Knuuti, Juhani; Wijns, William; Saraste, Antti; Capodanno, Davide; Barbato, Emanuele; Funck-Brentano, Christian; Prescott, Eva; Storey, Robert F; Deaton, Christi; Cuisset, Thomas; Agewall, Stefan; Dickstein, Kenneth; Edvardsen, Thor; Escaned, Javier; Gersh, Bernard J; Svitil, Pavel; Gilard, Martine; Hasdai, David; Hatala, Robert; Mahfoud, Felix; Masip, Josep; Muneretto, Claudio; Valgimigli, Marco; Achenbach, Stephan; Bax, Jeroen J; Neumann, Franz-Josef; Sechtem, Udo; Banning, Adrian Paul; Bonaros, Nikolaos; Bueno, Héctor; Bugiardini, Raffaele; Chieffo, Alaide; Crea, Filippo; Czerny, Martin; Delgado, Victoria; Dendale, Paul; Flachskampf, Frank Arnold; Gohlke, Helmut; Grove, Erik Lerkevang; James, Stefan; Katritsis, Demosthenes; Landmesser, Ulf; Lettino, Maddalena; Matter, Christian M; Nathoe, Hendrik; Niessner, Alexander; Patrono, Carlo; Petronio, Anna Sonia; Pettersen, Steffen E; Piccolo, Raffaele; Piepoli, Massimo Francesco; Popescu, Bogdan A; Räber, Lorenz; Richter, Dimitrios J; Roffi, Marco; Roithinger, Franz X; Shlyakhto, Evgeny; Sibbing, Dirk; Silber, Sigmund; Simpson, Iain A; Sousa-Uva, Miguel; Vardas, Panos; Witkowski, Adam; Zamorano, Jose Luis; Achenbach, Stephan; Agewall, Stefan; Barbato, Emanuele; Bax, Jeroen J; Capodanno, Davide; Cuisset, Thomas; Deaton, Christi; Dickstein, Kenneth; Edvardsen, Thor; Escaned, Javier; Funck-Brentano, Christian; Gersh, Bernard J; Gilard, Martine; Hasdai, David; Hatala, Robert; Mahfoud, Felix; Masip, Josep; Muneretto, Claudio; Prescott, Eva; Saraste, Antti; Storey, Robert F; Svitil, Pavel; Valgimigli, Marco; Windecker, Stephan; Aboyans, Victor; Baigent, Colin; Collet, Jean-Philippe; Dean, Veronica; Delgado, Victoria; Fitzsimons, Donna; Gale, Christopher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Benkhedda, Salim; Metzler, Bernhard; Sujayeva, Volha; Cosyns, Bernard; Kusljugic, Zumreta; Velchev, Vasil; Panayi, Georgios; Kala, Petr; Haahr-Pedersen, Sune Ammentorp; Kabil, Hamza; Ainla, Tiia; Kaukonen, Tomi; Cayla, Guillaume; Pagava, Zurab; Woehrle, Jochen; Kanakakis, John; Tóth, Kálmán; Gudnason, Thorarinn; Peace, Aaron; Aronson, Doron; Riccio, Carmine; Elezi, Shpend; Mirrakhimov, Erkin; Hansone, Silvija; Sarkis, Antoine; Babarskiene, Ruta; Beissel, Jean; Maempel, Andrew J Cassar; Revenco, Valeriu; de Grooth, G J; Pejkov, Hristo; Juliebø, Vibeke; Lipiec, Piotr; Santos, José; Chioncel, Ovidiu; Duplyakov, Dmitry; Bertelli, Luca; Dikic, Ana Djordjevic; Studenčan, Martin; Bunc, Matjaz; Alfonso, Fernando; Bäck, Magnus; Zellweger, Michael; Addad, Faouzi; Yildirir, Aylin; Sirenko, Yuriy; Clapp, Brian&lt;/Author&gt;&lt;Year&gt;2020&lt;/Year&gt;&lt;Details&gt;&lt;_accessed&gt;66402457&lt;/_accessed&gt;&lt;_accession_num&gt;31504439&lt;/_accession_num&gt;&lt;_collection_scope&gt;SCIE&lt;/_collection_scope&gt;&lt;_created&gt;66401449&lt;/_created&gt;&lt;_date&gt;63132480&lt;/_date&gt;&lt;_date_display&gt;2020 Jan 14&lt;/_date_display&gt;&lt;_db_updated&gt;CrossRef&lt;/_db_updated&gt;&lt;_doi&gt;10.1093/eurheartj/ehz425&lt;/_doi&gt;&lt;_impact_factor&gt;  38.100&lt;/_impact_factor&gt;&lt;_isbn&gt;0195-668X&lt;/_isbn&gt;&lt;_issue&gt;3&lt;/_issue&gt;&lt;_journal&gt;European Heart Journal&lt;/_journal&gt;&lt;_keywords&gt;Guidelines; angina pectoris; anti-ischaemic drugs; antithrombotic therapy; chronic coronary syndromes; coronary artery disease; diagnostic testing; imaging; lifestyle modifications; lipid-lowering drugs; microvascular angina; myocardial ischaemia; myocardial revascularization; risk assessment; screening; vasospastic angina&lt;/_keywords&gt;&lt;_language&gt;eng&lt;/_language&gt;&lt;_modified&gt;66402457&lt;/_modified&gt;&lt;_number&gt;4&lt;/_number&gt;&lt;_pages&gt;407-477&lt;/_pages&gt;&lt;_social_category&gt;心脏和心血管系统(1)&lt;/_social_category&gt;&lt;_subject_headings&gt;*Cardiology; Chronic Disease; Coronary Artery Disease/*diagnosis/therapy; *Diagnostic Techniques, Cardiovascular; *Disease Management; Europe; Humans; *Societies, Medical; Syndrome&lt;/_subject_headings&gt;&lt;_tertiary_title&gt;European heart journal&lt;/_tertiary_title&gt;&lt;_type_work&gt;Journal Article; Practice Guideline&lt;/_type_work&gt;&lt;_url&gt;https://academic.oup.com/eurheartj/article/41/3/407/5556137_x000d__x000a_http://academic.oup.com/eurheartj/article-pdf/41/3/407/32651471/ehz425.pdf&lt;/_url&gt;&lt;_volume&gt;41&lt;/_volume&gt;&lt;/Details&gt;&lt;Extra&gt;&lt;DBUID&gt;{0595FEED-06EC-4465-A92A-123F8040CA41}&lt;/DBUID&gt;&lt;/Extra&gt;&lt;/Item&gt;&lt;/References&gt;&lt;/Group&gt;&lt;Group&gt;&lt;References&gt;&lt;Item&gt;&lt;ID&gt;2746&lt;/ID&gt;&lt;UID&gt;{153AF6BA-E82B-473B-8BA3-0B2D10B4098E}&lt;/UID&gt;&lt;Title&gt;2018 ESC/EACTS Guidelines on myocardial revascularization&lt;/Title&gt;&lt;Template&gt;Journal Article&lt;/Template&gt;&lt;Star&gt;0&lt;/Star&gt;&lt;Tag&gt;0&lt;/Tag&gt;&lt;Author&gt;Neumann, Franz-Josef; Sousa-Uva, Miguel; Ahlsson, Anders; Alfonso, Fernando; Banning, Adrian P; Benedetto, Umberto; Byrne, Robert A; Collet, Jean-Philippe; Falk, Volkmar; Head, Stuart J; Jüni, Peter; Kastrati, Adnan; Koller, Akos; Kristensen, Steen D; Niebauer, Josef; Richter, Dimitrios J; Seferovic, Petar M; Sibbing, Dirk; Stefanini, Giulio G; Windecker, Stephan; Yadav, Rashmi; Zembala, Michael O&lt;/Author&gt;&lt;Year&gt;2019&lt;/Year&gt;&lt;Details&gt;&lt;_accession_num&gt;30165437&lt;/_accession_num&gt;&lt;_collection_scope&gt;SCIE&lt;/_collection_scope&gt;&lt;_created&gt;66402453&lt;/_created&gt;&lt;_date&gt;2019-01-07&lt;/_date&gt;&lt;_date_display&gt;2019 Jan 7&lt;/_date_display&gt;&lt;_doi&gt;10.1093/eurheartj/ehy394&lt;/_doi&gt;&lt;_impact_factor&gt;  38.100&lt;/_impact_factor&gt;&lt;_isbn&gt;1522-9645 (Electronic); 0195-668X (Linking)&lt;/_isbn&gt;&lt;_issue&gt;2&lt;/_issue&gt;&lt;_journal&gt;Eur Heart J&lt;/_journal&gt;&lt;_language&gt;eng&lt;/_language&gt;&lt;_modified&gt;66402481&lt;/_modified&gt;&lt;_number&gt;51&lt;/_number&gt;&lt;_pages&gt;87-165&lt;/_pages&gt;&lt;_social_category&gt;心脏和心血管系统(1)&lt;/_social_category&gt;&lt;_subject_headings&gt;Cardiology/*organization &amp;amp; administration; Humans; *Myocardial Revascularization; Thoracic Surgery/*organization &amp;amp; administration&lt;/_subject_headings&gt;&lt;_tertiary_title&gt;European heart journal&lt;/_tertiary_title&gt;&lt;_type_work&gt;Guideline; Journal Article&lt;/_type_work&gt;&lt;_url&gt;http://www.ncbi.nlm.nih.gov/entrez/query.fcgi?cmd=Retrieve&amp;amp;db=pubmed&amp;amp;dopt=Abstract&amp;amp;list_uids=30165437&amp;amp;query_hl=1&lt;/_url&gt;&lt;_volume&gt;40&lt;/_volume&gt;&lt;/Details&gt;&lt;Extra&gt;&lt;DBUID&gt;{0595FEED-06EC-4465-A92A-123F8040CA41}&lt;/DBUID&gt;&lt;/Extra&gt;&lt;/Item&gt;&lt;/References&gt;&lt;/Group&gt;&lt;/Citation&gt;_x000a_"/>
    <w:docVar w:name="NE.Ref{33CE01FA-64EA-42E9-8440-6D9595B90B97}" w:val=" ADDIN NE.Ref.{33CE01FA-64EA-42E9-8440-6D9595B90B97}&lt;Citation&gt;&lt;Group&gt;&lt;References&gt;&lt;Item&gt;&lt;ID&gt;2610&lt;/ID&gt;&lt;UID&gt;{27277F62-3A12-4723-9E1C-C3C6511E332C}&lt;/UID&gt;&lt;Title&gt;Oxidative Stress and Diabetic Complications&lt;/Title&gt;&lt;Template&gt;Journal Article&lt;/Template&gt;&lt;Star&gt;0&lt;/Star&gt;&lt;Tag&gt;0&lt;/Tag&gt;&lt;Author&gt;Giacco, Ferdinando; Brownlee, Michael&lt;/Author&gt;&lt;Year&gt;2010&lt;/Year&gt;&lt;Details&gt;&lt;_accessed&gt;66401361&lt;/_accessed&gt;&lt;_accession_num&gt;21030723&lt;/_accession_num&gt;&lt;_author_adr&gt;Diabetes Research Center, Departments of Medicine/Endocrinology, Albert Einstein  College of Medicine, 1300 Morris Park Ave., Bronx, New York 10461-1602, USA.&lt;/_author_adr&gt;&lt;_collection_scope&gt;SCIE&lt;/_collection_scope&gt;&lt;_created&gt;66401339&lt;/_created&gt;&lt;_date&gt;58288320&lt;/_date&gt;&lt;_date_display&gt;2010 Oct 29&lt;/_date_display&gt;&lt;_db_updated&gt;CrossRef&lt;/_db_updated&gt;&lt;_doi&gt;10.1161/CIRCRESAHA.110.223545&lt;/_doi&gt;&lt;_impact_factor&gt;  16.500&lt;/_impact_factor&gt;&lt;_isbn&gt;0009-7330&lt;/_isbn&gt;&lt;_issue&gt;9&lt;/_issue&gt;&lt;_journal&gt;Circulation Research&lt;/_journal&gt;&lt;_language&gt;eng&lt;/_language&gt;&lt;_modified&gt;66401436&lt;/_modified&gt;&lt;_number&gt;34&lt;/_number&gt;&lt;_pages&gt;1058-1070&lt;/_pages&gt;&lt;_social_category&gt;心脏和心血管系统(1) &amp;amp; 血液学(1) &amp;amp; 外周血管病(1)&lt;/_social_category&gt;&lt;_subject_headings&gt;Animals; Atherosclerosis/etiology/metabolism; Cardiomyopathies/etiology/metabolism; Diabetes Complications/etiology/*metabolism; Humans; Hyperglycemia/complications/metabolism; Microvessels/metabolism; Oxidative Stress/*physiology; Reactive Oxygen Species/metabolism; Signal Transduction/physiology&lt;/_subject_headings&gt;&lt;_tertiary_title&gt;Circulation Research&lt;/_tertiary_title&gt;&lt;_type_work&gt;Journal Article; Research Support, N.I.H., Extramural; Research Support, Non-U.S. Gov&amp;apos;t; Review&lt;/_type_work&gt;&lt;_url&gt;https://www.ahajournals.org/doi/10.1161/CIRCRESAHA.110.223545_x000d__x000a_https://www.ahajournals.org/doi/full/10.1161/CIRCRESAHA.110.223545&lt;/_url&gt;&lt;_volume&gt;107&lt;/_volume&gt;&lt;/Details&gt;&lt;Extra&gt;&lt;DBUID&gt;{0595FEED-06EC-4465-A92A-123F8040CA41}&lt;/DBUID&gt;&lt;/Extra&gt;&lt;/Item&gt;&lt;/References&gt;&lt;/Group&gt;&lt;Group&gt;&lt;References&gt;&lt;Item&gt;&lt;ID&gt;2619&lt;/ID&gt;&lt;UID&gt;{2D8487A2-29A2-41D3-83BC-8E4E34F04656}&lt;/UID&gt;&lt;Title&gt;Biochemistry and molecular cell biology of diabetic complications&lt;/Title&gt;&lt;Template&gt;Journal Article&lt;/Template&gt;&lt;Star&gt;0&lt;/Star&gt;&lt;Tag&gt;0&lt;/Tag&gt;&lt;Author&gt;Brownlee, Michael&lt;/Author&gt;&lt;Year&gt;2001&lt;/Year&gt;&lt;Details&gt;&lt;_accessed&gt;66401362&lt;/_accessed&gt;&lt;_accession_num&gt;11742414&lt;/_accession_num&gt;&lt;_author_adr&gt;Department of Medicine, Diabetes Research and Training Center, Albert Einstein  College of Medicine, Bronx, New York, 10461, USA. brownlee@aecom.yu.edu&lt;/_author_adr&gt;&lt;_collection_scope&gt;SCIE&lt;/_collection_scope&gt;&lt;_created&gt;66401350&lt;/_created&gt;&lt;_date&gt;53619840&lt;/_date&gt;&lt;_date_display&gt;2001 Dec 13&lt;/_date_display&gt;&lt;_db_updated&gt;CrossRef&lt;/_db_updated&gt;&lt;_doi&gt;10.1038/414813a&lt;/_doi&gt;&lt;_impact_factor&gt;  50.500&lt;/_impact_factor&gt;&lt;_isbn&gt;0028-0836&lt;/_isbn&gt;&lt;_issue&gt;6865&lt;/_issue&gt;&lt;_journal&gt;Nature&lt;/_journal&gt;&lt;_language&gt;eng&lt;/_language&gt;&lt;_modified&gt;66401436&lt;/_modified&gt;&lt;_number&gt;42&lt;/_number&gt;&lt;_pages&gt;813-820&lt;/_pages&gt;&lt;_social_category&gt;综合性期刊(1)&lt;/_social_category&gt;&lt;_subject_headings&gt;Diabetes Complications; Diabetes Mellitus/metabolism; Diabetic Angiopathies/*etiology/pathology; Forecasting; Glycation End Products, Advanced/metabolism; Hexosamines/metabolism; Humans; Hyperglycemia/*complications/pathology; Protein Kinase C/metabolism&lt;/_subject_headings&gt;&lt;_tertiary_title&gt;Nature&lt;/_tertiary_title&gt;&lt;_type_work&gt;Journal Article; Research Support, Non-U.S. Gov&amp;apos;t; Research Support, U.S. Gov&amp;apos;t, P.H.S.&lt;/_type_work&gt;&lt;_url&gt;https://www.nature.com/articles/414813a_x000d__x000a_https://www.nature.com/articles/414813a.pdf&lt;/_url&gt;&lt;_volume&gt;414&lt;/_volume&gt;&lt;/Details&gt;&lt;Extra&gt;&lt;DBUID&gt;{0595FEED-06EC-4465-A92A-123F8040CA41}&lt;/DBUID&gt;&lt;/Extra&gt;&lt;/Item&gt;&lt;/References&gt;&lt;/Group&gt;&lt;/Citation&gt;_x000a_"/>
    <w:docVar w:name="NE.Ref{349FC389-F6E7-4F04-B9D0-9A00612848D4}" w:val=" ADDIN NE.Ref.{349FC389-F6E7-4F04-B9D0-9A00612848D4}&lt;Citation&gt;&lt;Group&gt;&lt;References&gt;&lt;Item&gt;&lt;ID&gt;2698&lt;/ID&gt;&lt;UID&gt;{3643939B-4E82-4007-AAB0-DFDCD3B94E24}&lt;/UID&gt;&lt;Title&gt;Stress hyperglycaemia and increased risk of death after myocardial infarction in patients with and without diabetes: a systematic overview&lt;/Title&gt;&lt;Template&gt;Journal Article&lt;/Template&gt;&lt;Star&gt;0&lt;/Star&gt;&lt;Tag&gt;0&lt;/Tag&gt;&lt;Author&gt;Capes, Sarah E; Hunt, Dereck; Malmberg, Klas; Gerstein, Hertzel C&lt;/Author&gt;&lt;Year&gt;2000&lt;/Year&gt;&lt;Details&gt;&lt;_accessed&gt;66402458&lt;/_accessed&gt;&lt;_accession_num&gt;10711923&lt;/_accession_num&gt;&lt;_author_adr&gt;Department of Medicine, McMaster University, Hamilton, Ontario, Canada.  scapes@fhs.csu.mcmaster.ca&lt;/_author_adr&gt;&lt;_collection_scope&gt;SCIE&lt;/_collection_scope&gt;&lt;_created&gt;66401453&lt;/_created&gt;&lt;_date&gt;2000-03-04&lt;/_date&gt;&lt;_date_display&gt;2000 Mar 4&lt;/_date_display&gt;&lt;_db_updated&gt;CrossRef&lt;/_db_updated&gt;&lt;_doi&gt;10.1016/S0140-6736(99)08415-9&lt;/_doi&gt;&lt;_impact_factor&gt;  98.400&lt;/_impact_factor&gt;&lt;_isbn&gt;01406736&lt;/_isbn&gt;&lt;_issue&gt;9206&lt;/_issue&gt;&lt;_journal&gt;The Lancet&lt;/_journal&gt;&lt;_language&gt;eng&lt;/_language&gt;&lt;_modified&gt;66402458&lt;/_modified&gt;&lt;_number&gt;9&lt;/_number&gt;&lt;_pages&gt;773-778&lt;/_pages&gt;&lt;_social_category&gt;医学：内科(1)&lt;/_social_category&gt;&lt;_subject_headings&gt;Blood Glucose/metabolism; Diabetes Mellitus/blood/*mortality; Heart Failure/blood/mortality; Hospital Mortality; Humans; Hyperglycemia/blood/*complications/mortality; Myocardial Infarction/blood/*mortality; Risk; Stress, Physiological/blood/*complications&lt;/_subject_headings&gt;&lt;_tertiary_title&gt;The Lancet&lt;/_tertiary_title&gt;&lt;_type_work&gt;Journal Article; Systematic Review&lt;/_type_work&gt;&lt;_url&gt;https://linkinghub.elsevier.com/retrieve/pii/S0140673699084159_x000d__x000a_https://api.elsevier.com/content/article/PII:S0140673699084159?httpAccept=text/xml&lt;/_url&gt;&lt;_volume&gt;355&lt;/_volume&gt;&lt;/Details&gt;&lt;Extra&gt;&lt;DBUID&gt;{0595FEED-06EC-4465-A92A-123F8040CA41}&lt;/DBUID&gt;&lt;/Extra&gt;&lt;/Item&gt;&lt;/References&gt;&lt;/Group&gt;&lt;/Citation&gt;_x000a_"/>
    <w:docVar w:name="NE.Ref{354756D3-6EFC-4D46-90CD-A13B9AEF0F4B}" w:val=" ADDIN NE.Ref.{354756D3-6EFC-4D46-90CD-A13B9AEF0F4B}&lt;Citation&gt;&lt;Group&gt;&lt;References&gt;&lt;Item&gt;&lt;ID&gt;2596&lt;/ID&gt;&lt;UID&gt;{42761816-52CE-4295-9DEB-F582AEB4A92E}&lt;/UID&gt;&lt;Title&gt;Lactate and shock state: the metabolic view&lt;/Title&gt;&lt;Template&gt;Journal Article&lt;/Template&gt;&lt;Star&gt;0&lt;/Star&gt;&lt;Tag&gt;0&lt;/Tag&gt;&lt;Author&gt;Levy, Bruno&lt;/Author&gt;&lt;Year&gt;2006&lt;/Year&gt;&lt;Details&gt;&lt;_accessed&gt;66401361&lt;/_accessed&gt;&lt;_accession_num&gt;16810041&lt;/_accession_num&gt;&lt;_author_adr&gt;Service de Réanimation Médicale, CHU Brabois, 54500 Vandoeuvre les Nancy, Nancy,  France. b.levy@chu-nancy.fr&lt;/_author_adr&gt;&lt;_collection_scope&gt;SCIE&lt;/_collection_scope&gt;&lt;_created&gt;66401332&lt;/_created&gt;&lt;_date&gt;2006-08-01&lt;/_date&gt;&lt;_date_display&gt;2006 Aug&lt;/_date_display&gt;&lt;_db_updated&gt;CrossRef&lt;/_db_updated&gt;&lt;_doi&gt;10.1097/01.ccx.0000235208.77450.15&lt;/_doi&gt;&lt;_impact_factor&gt;   3.500&lt;/_impact_factor&gt;&lt;_isbn&gt;1070-5295&lt;/_isbn&gt;&lt;_issue&gt;4&lt;/_issue&gt;&lt;_journal&gt;Current Opinion in Critical Care&lt;/_journal&gt;&lt;_language&gt;eng&lt;/_language&gt;&lt;_modified&gt;66401436&lt;/_modified&gt;&lt;_number&gt;25&lt;/_number&gt;&lt;_pages&gt;315-321&lt;/_pages&gt;&lt;_social_category&gt;危重病医学(3)&lt;/_social_category&gt;&lt;_subject_headings&gt;Humans; Hypoxia/metabolism; Lactic Acid/*metabolism; Shock/*metabolism&lt;/_subject_headings&gt;&lt;_tertiary_title&gt;Current Opinion in Critical Care&lt;/_tertiary_title&gt;&lt;_type_work&gt;Journal Article; Review&lt;/_type_work&gt;&lt;_url&gt;http://journals.lww.com/00075198-200608000-00007_x000d__x000a_http://journals.lww.com/00000637-200604000-00011&lt;/_url&gt;&lt;_volume&gt;12&lt;/_volume&gt;&lt;/Details&gt;&lt;Extra&gt;&lt;DBUID&gt;{0595FEED-06EC-4465-A92A-123F8040CA41}&lt;/DBUID&gt;&lt;/Extra&gt;&lt;/Item&gt;&lt;/References&gt;&lt;/Group&gt;&lt;/Citation&gt;_x000a_"/>
    <w:docVar w:name="NE.Ref{3A1B489B-B488-4B86-9E17-3C85C5A934F3}" w:val=" ADDIN NE.Ref.{3A1B489B-B488-4B86-9E17-3C85C5A934F3}&lt;Citation&gt;&lt;Group&gt;&lt;References&gt;&lt;Item&gt;&lt;ID&gt;2709&lt;/ID&gt;&lt;UID&gt;{0E57B5BD-92AD-4711-9612-68934E06A26E}&lt;/UID&gt;&lt;Title&gt;The association between stress hyperglycemia ratio with mortality in critically ill patients with acute heart failure&lt;/Title&gt;&lt;Template&gt;Journal Article&lt;/Template&gt;&lt;Star&gt;0&lt;/Star&gt;&lt;Tag&gt;0&lt;/Tag&gt;&lt;Author&gt;Ge, Tingai; Hu, Jingjing; Zhou, Yidan&lt;/Author&gt;&lt;Year&gt;2024&lt;/Year&gt;&lt;Details&gt;&lt;_accessed&gt;66402458&lt;/_accessed&gt;&lt;_accession_num&gt;39639971&lt;/_accession_num&gt;&lt;_author_adr&gt;Department of Emergency Medicine, Hangzhou Third People&amp;apos;s Hospital, Hangzhou,  China.; Department of Emergency Medicine, Hangzhou Third People&amp;apos;s Hospital, Hangzhou,  China.; Department of Emergency Medicine, Hangzhou Third People&amp;apos;s Hospital, Hangzhou,  China.&lt;/_author_adr&gt;&lt;_collection_scope&gt;SCIE&lt;/_collection_scope&gt;&lt;_created&gt;66401456&lt;/_created&gt;&lt;_date&gt;65685600&lt;/_date&gt;&lt;_date_display&gt;2024&lt;/_date_display&gt;&lt;_db_updated&gt;CrossRef&lt;/_db_updated&gt;&lt;_doi&gt;10.3389/fcvm.2024.1463861&lt;/_doi&gt;&lt;_impact_factor&gt;   2.800&lt;/_impact_factor&gt;&lt;_isbn&gt;2297-055X&lt;/_isbn&gt;&lt;_journal&gt;Frontiers in Cardiovascular Medicine&lt;/_journal&gt;&lt;_keywords&gt;acute heart failure; critically ill; glucose; glycosylated hemoglobin; mortality; stress hyperglycemia&lt;/_keywords&gt;&lt;_language&gt;eng&lt;/_language&gt;&lt;_modified&gt;66402458&lt;/_modified&gt;&lt;_number&gt;18&lt;/_number&gt;&lt;_ori_publication&gt;© 2024 Ge, Hu and Zhou.&lt;/_ori_publication&gt;&lt;_pages&gt;1463861&lt;/_pages&gt;&lt;_social_category&gt;心脏和心血管系统(3)&lt;/_social_category&gt;&lt;_tertiary_title&gt;Front. Cardiovasc. Med.&lt;/_tertiary_title&gt;&lt;_type_work&gt;Journal Article&lt;/_type_work&gt;&lt;_url&gt;https://www.frontiersin.org/articles/10.3389/fcvm.2024.1463861/full_x000d__x000a_https://www.frontiersin.org/articles/10.3389/fcvm.2024.1463861/full&lt;/_url&gt;&lt;_volume&gt;11&lt;/_volume&gt;&lt;/Details&gt;&lt;Extra&gt;&lt;DBUID&gt;{0595FEED-06EC-4465-A92A-123F8040CA41}&lt;/DBUID&gt;&lt;/Extra&gt;&lt;/Item&gt;&lt;/References&gt;&lt;/Group&gt;&lt;Group&gt;&lt;References&gt;&lt;Item&gt;&lt;ID&gt;2710&lt;/ID&gt;&lt;UID&gt;{3C1E5869-8B82-44D4-BFDC-928165B7166D}&lt;/UID&gt;&lt;Title&gt;Stress hyperglycemia ratio as a prognostic indicator for long-term adverse outcomes in heart failure with preserved ejection fraction&lt;/Title&gt;&lt;Template&gt;Journal Article&lt;/Template&gt;&lt;Star&gt;0&lt;/Star&gt;&lt;Tag&gt;0&lt;/Tag&gt;&lt;Author&gt;Mohammed, Abdul-Quddus; Luo, Yongqiang; Wang, Kaitao; Su, Yang; Liu, Lu; Yin, Guoqing; Zhang, Wen; Alifu, J Jiasuer.; Mareai, Redhwan M; Mohammed, Ayman A; Xu, Yawei; Abdu, Fuad A; Che, Wenliang&lt;/Author&gt;&lt;Year&gt;2024&lt;/Year&gt;&lt;Details&gt;&lt;_accessed&gt;66402458&lt;/_accessed&gt;&lt;_accession_num&gt;38350936&lt;/_accession_num&gt;&lt;_author_adr&gt;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1691026@tongji.edu.cn.; Department of Cardiology, Shanghai Tenth People&amp;apos;s Hospital, Tongji University  School of Medicine, 301 Yanchang Road, Shanghai, 200072, China.  chewenliang@tongji.edu.cn.; Department of Cardiology, Shanghai Tenth People&amp;apos;s Hospital Chongming branch,  Shanghai, China. chewenliang@tongji.edu.cn.&lt;/_author_adr&gt;&lt;_collection_scope&gt;SCIE&lt;/_collection_scope&gt;&lt;_created&gt;66401456&lt;/_created&gt;&lt;_date&gt;65279520&lt;/_date&gt;&lt;_date_display&gt;2024 Feb 13&lt;/_date_display&gt;&lt;_db_updated&gt;CrossRef&lt;/_db_updated&gt;&lt;_doi&gt;10.1186/s12933-024-02157-7&lt;/_doi&gt;&lt;_impact_factor&gt;   8.500&lt;/_impact_factor&gt;&lt;_isbn&gt;1475-2840&lt;/_isbn&gt;&lt;_issue&gt;1&lt;/_issue&gt;&lt;_journal&gt;Cardiovascular Diabetology&lt;/_journal&gt;&lt;_keywords&gt;Clinical outcomes; Heart failure with preserved ejection fraction; Stress hyperglycemia ratio&lt;/_keywords&gt;&lt;_language&gt;eng&lt;/_language&gt;&lt;_modified&gt;66402458&lt;/_modified&gt;&lt;_number&gt;19&lt;/_number&gt;&lt;_ori_publication&gt;© 2024. The Author(s).&lt;/_ori_publication&gt;&lt;_pages&gt;67&lt;/_pages&gt;&lt;_social_category&gt;内分泌学与代谢(1) &amp;amp; 心脏和心血管系统(2)&lt;/_social_category&gt;&lt;_subject_headings&gt;Humans; Prognosis; Stroke Volume; Biomarkers; *Heart Failure; *Hyperglycemia/diagnosis; Natriuretic Peptide, Brain; Peptide Fragments&lt;/_subject_headings&gt;&lt;_tertiary_title&gt;Cardiovasc Diabetol&lt;/_tertiary_title&gt;&lt;_type_work&gt;Journal Article; Research Support, Non-U.S. Gov&amp;apos;t&lt;/_type_work&gt;&lt;_url&gt;https://cardiab.biomedcentral.com/articles/10.1186/s12933-024-02157-7_x000d__x000a_https://link.springer.com/content/pdf/10.1186/s12933-024-02157-7.pdf&lt;/_url&gt;&lt;_volume&gt;23&lt;/_volume&gt;&lt;/Details&gt;&lt;Extra&gt;&lt;DBUID&gt;{0595FEED-06EC-4465-A92A-123F8040CA41}&lt;/DBUID&gt;&lt;/Extra&gt;&lt;/Item&gt;&lt;/References&gt;&lt;/Group&gt;&lt;/Citation&gt;_x000a_"/>
    <w:docVar w:name="NE.Ref{3A23E7F1-6A61-4E47-9DA2-894169D94199}" w:val=" ADDIN NE.Ref.{3A23E7F1-6A61-4E47-9DA2-894169D94199}&lt;Citation&gt;&lt;Group&gt;&lt;References&gt;&lt;Item&gt;&lt;ID&gt;2588&lt;/ID&gt;&lt;UID&gt;{46632D1E-AA32-4007-BD4A-14AE5ECFF746}&lt;/UID&gt;&lt;Title&gt;Association of stress hyperglycemia ratio and in-hospital mortality in patients with coronary artery disease: insights from a large cohort study&lt;/Title&gt;&lt;Template&gt;Journal Article&lt;/Template&gt;&lt;Star&gt;0&lt;/Star&gt;&lt;Tag&gt;0&lt;/Tag&gt;&lt;Author&gt;Xu, Wei; Song, Qirui; Wang, Xiang; Zhao, Zinan; Meng, Xuyang; Xia, Chenxi; Xie, Yibo; Yang, Chenguang; Guo, Ying; Zhang, Yatong; Wang, Fang&lt;/Author&gt;&lt;Year&gt;2022&lt;/Year&gt;&lt;Details&gt;&lt;_accessed&gt;66401360&lt;/_accessed&gt;&lt;_accession_num&gt;36261839&lt;/_accession_num&gt;&lt;_author_adr&gt;Emergency Center, State Key Laboratory of Cardiovascular Disease of China,  National Center for Cardiovascular Diseases, National Clinical Research Center of  Cardiovascular Diseases, Fuwai Hospital, Chinese Academy of Medical Sciences and  Peking Union Medical College, 100037, Beijing, China.; Hypertension Center, State Key Laboratory of Cardiovascular Disease of China,  National Center for Cardiovascular Diseases of China, Fuwai Hospital, Chinese  Academy of Medical Sciences, Peking Union Medical College, 100037,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Cardiology, Beijing Hospital, National Center of Gerontology,  Institute of Geriatric Medicine, Chinese Academy of Medical Sciences, Beijing,  China.; Department of Information Center,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750826140@qq.com.; Department of Cardiology, Beijing Hospital, National Center of Gerontology,  Institute of Geriatric Medicine, Chinese Academy of Medical Sciences, Beijing,  China. bjh_wangfang@163.com.; Graduate School of Peking Union Medical College, Chinese Academy of Medical  Sciences, Beijing, China. bjh_wangfang@163.com.&lt;/_author_adr&gt;&lt;_collection_scope&gt;SCIE&lt;/_collection_scope&gt;&lt;_created&gt;66401321&lt;/_created&gt;&lt;_date&gt;64585440&lt;/_date&gt;&lt;_date_display&gt;2022 Oct 19&lt;/_date_display&gt;&lt;_db_updated&gt;CrossRef&lt;/_db_updated&gt;&lt;_doi&gt;10.1186/s12933-022-01645-y&lt;/_doi&gt;&lt;_impact_factor&gt;   8.500&lt;/_impact_factor&gt;&lt;_isbn&gt;1475-2840&lt;/_isbn&gt;&lt;_issue&gt;1&lt;/_issue&gt;&lt;_journal&gt;Cardiovascular Diabetology&lt;/_journal&gt;&lt;_keywords&gt;Coronary artery disease; Diabetes; Mortality; Stress hyperglycemia; Stress hyperglycemia ratio&lt;/_keywords&gt;&lt;_language&gt;eng&lt;/_language&gt;&lt;_modified&gt;66401434&lt;/_modified&gt;&lt;_number&gt;17&lt;/_number&gt;&lt;_ori_publication&gt;© 2022. The Author(s).&lt;/_ori_publication&gt;&lt;_pages&gt;217&lt;/_pages&gt;&lt;_social_category&gt;内分泌学与代谢(1) &amp;amp; 心脏和心血管系统(2)&lt;/_social_category&gt;&lt;_subject_headings&gt;Humans; Blood Glucose; Glycated Hemoglobin/analysis; *Coronary Artery Disease; Hospital Mortality; Cohort Studies; *Hyperglycemia; *Diabetes Mellitus; *Acute Coronary Syndrome&lt;/_subject_headings&gt;&lt;_tertiary_title&gt;Cardiovasc Diabetol&lt;/_tertiary_title&gt;&lt;_type_work&gt;Journal Article; Research Support, Non-U.S. Gov&amp;apos;t&lt;/_type_work&gt;&lt;_url&gt;https://cardiab.biomedcentral.com/articles/10.1186/s12933-022-01645-y_x000d__x000a_https://link.springer.com/content/pdf/10.1186/s12933-022-01645-y.pdf&lt;/_url&gt;&lt;_volume&gt;21&lt;/_volume&gt;&lt;/Details&gt;&lt;Extra&gt;&lt;DBUID&gt;{0595FEED-06EC-4465-A92A-123F8040CA41}&lt;/DBUID&gt;&lt;/Extra&gt;&lt;/Item&gt;&lt;/References&gt;&lt;/Group&gt;&lt;Group&gt;&lt;References&gt;&lt;Item&gt;&lt;ID&gt;2594&lt;/ID&gt;&lt;UID&gt;{A11A51F3-29EE-4CB3-89A5-DE157AB77504}&lt;/UID&gt;&lt;Title&gt;Prognostic Value of the Acute-to-Chronic Glycemic Ratio at Admission in Acute Myocardial Infarction: A Prospective Study&lt;/Title&gt;&lt;Template&gt;Journal Article&lt;/Template&gt;&lt;Star&gt;0&lt;/Star&gt;&lt;Tag&gt;0&lt;/Tag&gt;&lt;Author&gt;Marenzi, Giancarlo; Cosentino, Nicola; Milazzo, Valentina; De Metrio, Monica; Cecere, Milena; Mosca, Susanna; Rubino, Mara; Campodonico, Jeness; Moltrasio, Marco; Marana, Ivana; Grazi, Marco; Lauri, Gianfranco; Bonomi, Alice; Veglia, Fabrizio; Manfrini, Roberto; Bartorelli, Antonio L&lt;/Author&gt;&lt;Year&gt;2018&lt;/Year&gt;&lt;Details&gt;&lt;_accessed&gt;66401361&lt;/_accessed&gt;&lt;_accession_num&gt;29382659&lt;/_accession_num&gt;&lt;_author_adr&gt;Centro Cardiologico Monzino, Istituto di Ricovero e Cura a Carattere Scientifico,  Milan, Italy giancarlo.marenzi@ccfm.it.;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Centro Cardiologico Monzino, Istituto di Ricovero e Cura a Carattere Scientifico,  Milan, Italy.; Department of Biomedical and Clinical Sciences &amp;quot;Luigi Sacco,&amp;quot; University of  Milan, Milan, Italy.&lt;/_author_adr&gt;&lt;_collection_scope&gt;SCIE&lt;/_collection_scope&gt;&lt;_created&gt;66401331&lt;/_created&gt;&lt;_date&gt;62192160&lt;/_date&gt;&lt;_date_display&gt;2018 Apr&lt;/_date_display&gt;&lt;_db_updated&gt;CrossRef&lt;/_db_updated&gt;&lt;_doi&gt;10.2337/dc17-1732&lt;/_doi&gt;&lt;_impact_factor&gt;  14.800&lt;/_impact_factor&gt;&lt;_isbn&gt;0149-5992&lt;/_isbn&gt;&lt;_issue&gt;4&lt;/_issue&gt;&lt;_journal&gt;Diabetes Care&lt;/_journal&gt;&lt;_language&gt;eng&lt;/_language&gt;&lt;_modified&gt;66401436&lt;/_modified&gt;&lt;_number&gt;23&lt;/_number&gt;&lt;_ori_publication&gt;© 2018 by the American Diabetes Association.&lt;/_ori_publication&gt;&lt;_pages&gt;847-853&lt;/_pages&gt;&lt;_social_category&gt;内分泌学与代谢(1)&lt;/_social_category&gt;&lt;_subject_headings&gt;Acute Disease; Aged; Blood Glucose/*analysis; Endpoint Determination; Female; Glycated Hemoglobin/analysis; Hospital Mortality; Hospitalization; Humans; Hyperglycemia/*blood/*mortality; Male; Middle Aged; Myocardial Infarction/*blood/*diagnosis/mortality; Prognosis; Prospective Studies; Troponin I/blood&lt;/_subject_headings&gt;&lt;_tertiary_title&gt;Diabetes care&lt;/_tertiary_title&gt;&lt;_type_work&gt;Journal Article; Observational Study; Research Support, Non-U.S. Gov&amp;apos;t&lt;/_type_work&gt;&lt;_url&gt;https://diabetesjournals.org/care/article/41/4/847/36893/Prognostic-Value-of-the-Acute-to-Chronic-Glycemic_x000d__x000a_https://diabetesjournals.org/care/article-pdf/41/4/847/549940/dc171732.pdf&lt;/_url&gt;&lt;_volume&gt;41&lt;/_volume&gt;&lt;/Details&gt;&lt;Extra&gt;&lt;DBUID&gt;{0595FEED-06EC-4465-A92A-123F8040CA41}&lt;/DBUID&gt;&lt;/Extra&gt;&lt;/Item&gt;&lt;/References&gt;&lt;/Group&gt;&lt;Group&gt;&lt;References&gt;&lt;Item&gt;&lt;ID&gt;2595&lt;/ID&gt;&lt;UID&gt;{3FFA882A-7FFE-4DD3-9348-0752C9102C30}&lt;/UID&gt;&lt;Title&gt;Optimal glucose, HbA1c, glucose-HbA1c ratio and stress-hyperglycaemia ratio cut-off values for predicting 1-year mortality in diabetic and non-diabetic acute myocardial infarction patients&lt;/Title&gt;&lt;Template&gt;Journal Article&lt;/Template&gt;&lt;Star&gt;0&lt;/Star&gt;&lt;Tag&gt;0&lt;/Tag&gt;&lt;Author&gt;Sia, Ching-Hui; Chan, Mervyn Huan-Hao; Zheng, Huili; Ko, Junsuk; Ho, Andrew Fu-Wah; Chong, Jun; Foo, David; Foo, Ling-Li; Lim, Patrick Zhan-Yun; Liew, Boon Wah; Chai, Ping; Yeo, Tiong-Cheng; Tan, Huay-Cheem; Chua, Terrance; Chan, Mark Yan-Yee; Tan, Jack Wei Chieh; Bulluck, Heerajnarain; Hausenloy, Derek J&lt;/Author&gt;&lt;Year&gt;2021&lt;/Year&gt;&lt;Details&gt;&lt;_accessed&gt;66401400&lt;/_accessed&gt;&lt;_accession_num&gt;34666746&lt;/_accession_num&gt;&lt;_author_adr&gt;Department of Cardiology, National University Heart Centre Singapore, Singapore,  Singapore.; Yong Loo Lin School of Medicine, National University of Singapore, Singapore,  Singapore.; Cardiovascular &amp;amp; Metabolic Disorders Program, Duke-NUS Medical School, 8 College  Road, Level 8, Singapore, 169857, Singapore.; Health Promotion Board, National Registry of Diseases Office, Singapore,  Singapore.; MD Program, Duke-NUS Medical School, Singapore, Singapore.; SingHealth Duke-NUS Emergency Medicine Academic Clinical Programme, Singapore,  Singapore.; National Heart Research Institute Singapore, National Heart Centre Singapore,  Singapore, Singapore.; Pre-Hospital and Emergency Care Research Centre, Health Services and Systems  Research, Duke-NUS Medical School, Singapore, Singapore.; National Heart Research Institute Singapore, National Heart Centre Singapore,  Singapore, Singapore.; Department of Cardiology, National Heart Centre Singapore, Singapore, Singapore.; Tan Tock Seng Hospital, Singapore, Singapore.; Health Promotion Board, National Registry of Diseases Office, Singapore,  Singapore.; Khoo Teck Puat Hospital, Singapore, Singapore.; Changi General Hospital, Singapore, Singapore.; Department of Cardiology, National University Heart Centre Singapore, Singapore,  Singapore.; Yong Loo Lin School of Medicine, National University of Singapore, Singapore,  Singapore.; Department of Cardiology, National University Heart Centre Singapore, Singapore,  Singapore.; Yong Loo Lin School of Medicine, National University of Singapore, Singapore,  Singapore.; Department of Cardiology, National University Heart Centre Singapore, Singapore,  Singapore.; Yong Loo Lin School of Medicine, National University of Singapore, Singapore,  Singapore.; Department of Cardiology, National Heart Centre Singapore, Singapore, Singapore.; Department of Cardiology, National University Heart Centre Singapore, Singapore,  Singapore.; Yong Loo Lin School of Medicine, National University of Singapore, Singapore,  Singapore.; Pre-Hospital and Emergency Care Research Centre, Health Services and Systems  Research, Duke-NUS Medical School, Singapore, Singapore.; Leeds Institute of Cardiovascular and Metabolic Medicine, University of Leeds,  Leeds, UK.; Department of Cardiology, Leeds General Infirmary, Leeds Teaching Hospitals NHS  Trust, Leeds, UK.; Yong Loo Lin School of Medicine, National University of Singapore, Singapore,  Singapore. derek.hausenloy@duke-nus.edu.sg.; Cardiovascular &amp;amp; Metabolic Disorders Program, Duke-NUS Medical School, 8 College  Road, Level 8, Singapore, 169857, Singapore. derek.hausenloy@duke-nus.edu.sg.; National Heart Research Institute Singapore, National Heart Centre Singapore,  Singapore, Singapore. derek.hausenloy@duke-nus.edu.sg.; Department of Cardiology, National Heart Centre Singapore, Singapore, Singapore.  derek.hausenloy@duke-nus.edu.sg.; The Hatter Cardiovascular Institute, University College London, London, UK.  derek.hausenloy@duke-nus.edu.sg.; Cardiovascular Research Center, College of Medical and Health Sciences, Asia  University, Taichung City, Taiwan. derek.hausenloy@duke-nus.edu.sg.&lt;/_author_adr&gt;&lt;_collection_scope&gt;SCIE&lt;/_collection_scope&gt;&lt;_created&gt;66401331&lt;/_created&gt;&lt;_date&gt;64059840&lt;/_date&gt;&lt;_date_display&gt;2021 Oct 19&lt;/_date_display&gt;&lt;_db_updated&gt;CrossRef&lt;/_db_updated&gt;&lt;_doi&gt;10.1186/s12933-021-01395-3&lt;/_doi&gt;&lt;_impact_factor&gt;   8.500&lt;/_impact_factor&gt;&lt;_isbn&gt;1475-2840&lt;/_isbn&gt;&lt;_issue&gt;1&lt;/_issue&gt;&lt;_journal&gt;Cardiovascular Diabetology&lt;/_journal&gt;&lt;_language&gt;eng&lt;/_language&gt;&lt;_modified&gt;66401436&lt;/_modified&gt;&lt;_number&gt;24&lt;/_number&gt;&lt;_ori_publication&gt;© 2021. The Author(s).&lt;/_ori_publication&gt;&lt;_pages&gt;211&lt;/_pages&gt;&lt;_social_category&gt;内分泌学与代谢(1) &amp;amp; 心脏和心血管系统(2)&lt;/_social_category&gt;&lt;_subject_headings&gt;Aged; Biomarkers/blood; Blood Glucose/*metabolism; Diabetes Mellitus/*blood/diagnosis/mortality/therapy; Female; Glycated Hemoglobin/*metabolism; Humans; Male; Middle Aged; Non-ST Elevated Myocardial Infarction/*blood/diagnosis/mortality/therapy; Patient Admission; Predictive Value of Tests; Prognosis; Registries; Retrospective Studies; Risk Assessment; Risk Factors; ST Elevation Myocardial Infarction/*blood/diagnosis/mortality/therapy; Singapore/epidemiology; Time Factors&lt;/_subject_headings&gt;&lt;_tertiary_title&gt;Cardiovasc Diabetol&lt;/_tertiary_title&gt;&lt;_type_work&gt;Journal Article; Research Support, Non-U.S. Gov&amp;apos;t&lt;/_type_work&gt;&lt;_url&gt;https://cardiab.biomedcentral.com/articles/10.1186/s12933-021-01395-3_x000d__x000a_https://link.springer.com/content/pdf/10.1186/s12933-021-01395-3.pdf&lt;/_url&gt;&lt;_volume&gt;20&lt;/_volume&gt;&lt;/Details&gt;&lt;Extra&gt;&lt;DBUID&gt;{0595FEED-06EC-4465-A92A-123F8040CA41}&lt;/DBUID&gt;&lt;/Extra&gt;&lt;/Item&gt;&lt;/References&gt;&lt;/Group&gt;&lt;/Citation&gt;_x000a_"/>
    <w:docVar w:name="NE.Ref{3F1FBAE2-DE36-4A99-AE58-B467C94809E5}" w:val=" ADDIN NE.Ref.{3F1FBAE2-DE36-4A99-AE58-B467C94809E5}&lt;Citation&gt;&lt;Group&gt;&lt;References&gt;&lt;Item&gt;&lt;ID&gt;2576&lt;/ID&gt;&lt;UID&gt;{C7065FEB-CF0F-4EAF-8C5E-A3C5BAE99ABE}&lt;/UID&gt;&lt;Title&gt;2012 ACCF/AHA/ACP/AATS/PCNA/SCAI/STS Guideline for the Diagnosis and Management of Patients With Stable Ischemic Heart Disease&lt;/Title&gt;&lt;Template&gt;Journal Article&lt;/Template&gt;&lt;Star&gt;0&lt;/Star&gt;&lt;Tag&gt;0&lt;/Tag&gt;&lt;Author&gt;Fihn, Stephan D; Gardin, Julius M; Abrams, Jonathan; Berra, Kathleen; Blankenship, James C; Dallas, Apostolos P; Douglas, Pamela S; Foody, JoAnne M; Gerber, Thomas C; Hinderliter, Alan L; King, Spencer B; Kligfield, Paul D; Krumholz, Harlan M; Kwong, Raymond Y K; Lim, Michael J; Linderbaum, Jane A; Mack, Michael J; Munger, Mark A; Prager, Richard L; Sabik, Joseph F; Shaw, Leslee J; Sikkema, Joanna D; Smith, Craig R; Smith, Sidney C; Spertus, John A; Williams, Sankey V&lt;/Author&gt;&lt;Year&gt;2012&lt;/Year&gt;&lt;Details&gt;&lt;_accessed&gt;66401431&lt;/_accessed&gt;&lt;_accession_num&gt;23166211&lt;/_accession_num&gt;&lt;_collection_scope&gt;SCIE&lt;/_collection_scope&gt;&lt;_created&gt;66401315&lt;/_created&gt;&lt;_date&gt;59412960&lt;/_date&gt;&lt;_date_display&gt;2012 Dec 18&lt;/_date_display&gt;&lt;_db_updated&gt;CrossRef&lt;/_db_updated&gt;&lt;_doi&gt;10.1161/CIR.0b013e318277d6a0&lt;/_doi&gt;&lt;_impact_factor&gt;  35.600&lt;/_impact_factor&gt;&lt;_isbn&gt;0009-7322&lt;/_isbn&gt;&lt;_issue&gt;25&lt;/_issue&gt;&lt;_journal&gt;Circulation&lt;/_journal&gt;&lt;_language&gt;eng&lt;/_language&gt;&lt;_modified&gt;66401431&lt;/_modified&gt;&lt;_number&gt;5&lt;/_number&gt;&lt;_pages&gt;e354-471&lt;/_pages&gt;&lt;_social_category&gt;心脏和心血管系统(1) &amp;amp; 外周血管病(1)&lt;/_social_category&gt;&lt;_subject_headings&gt;Coronary Angiography; Coronary Artery Bypass; Echocardiography; Exercise Test; Humans; Myocardial Ischemia/*diagnosis/*therapy; Myocardial Revascularization; Patient Education as Topic; Risk Assessment&lt;/_subject_headings&gt;&lt;_tertiary_title&gt;Circulation&lt;/_tertiary_title&gt;&lt;_type_work&gt;Journal Article; Practice Guideline&lt;/_type_work&gt;&lt;_url&gt;https://www.ahajournals.org/doi/10.1161/CIR.0b013e318277d6a0_x000d__x000a_https://www.ahajournals.org/doi/full/10.1161/CIR.0b013e318277d6a0&lt;/_url&gt;&lt;_volume&gt;126&lt;/_volume&gt;&lt;/Details&gt;&lt;Extra&gt;&lt;DBUID&gt;{0595FEED-06EC-4465-A92A-123F8040CA41}&lt;/DBUID&gt;&lt;/Extra&gt;&lt;/Item&gt;&lt;/References&gt;&lt;/Group&gt;&lt;Group&gt;&lt;References&gt;&lt;Item&gt;&lt;ID&gt;2577&lt;/ID&gt;&lt;UID&gt;{03265BCD-3373-4B39-9497-9A1F1306BE9E}&lt;/UID&gt;&lt;Title&gt;Epidemiology of Shock in Contemporary Cardiac Intensive Care Units&lt;/Title&gt;&lt;Template&gt;Journal Article&lt;/Template&gt;&lt;Star&gt;0&lt;/Star&gt;&lt;Tag&gt;0&lt;/Tag&gt;&lt;Author&gt;Berg, David D; Bohula, Erin A; van Diepen, Sean; Katz, Jason N; Alviar, Carlos L; Baird-Zars, Vivian M; Barnett, Christopher F; Barsness, Gregory W; Burke, James A; Cremer, Paul C; Cruz, Jennifer; Daniels, Lori B; DeFilippis, Andrew P; Haleem, Affan; Hollenberg, Steven M; Horowitz, James M; Keller, Norma; Kontos, Michael C; Lawler, Patrick R; Menon, Venu; Metkus, Thomas S; Ng, Jason; Orgel, Ryan; Overgaard, Christopher B; Park, Jeong-Gun; Phreaner, Nicholas; Roswell, Robert O; Schulman, Steven P; Jeffrey Snell, R; Solomon, Michael A; Ternus, Bradley; Tymchak, Wayne; Vikram, Fnu; Morrow, David A&lt;/Author&gt;&lt;Year&gt;2019&lt;/Year&gt;&lt;Details&gt;&lt;_accessed&gt;66401360&lt;/_accessed&gt;&lt;_accession_num&gt;30879324&lt;/_accession_num&gt;&lt;_author_adr&gt;Levine Cardiac Intensive Care Unit, TIMI Study Group, Cardiovascular Division,  Department of Medicine, Brigham and Women&amp;apos;s Hospital and Harvard Medical School,  Boston, MA (D.D.B, E.A.B., V.M.B.-Z., J.-G.P., D.A.M.).; Levine Cardiac Intensive Care Unit, TIMI Study Group, Cardiovascular Division,  Department of Medicine, Brigham and Women&amp;apos;s Hospital and Harvard Medical School,  Boston, MA (D.D.B, E.A.B., V.M.B.-Z., J.-G.P., D.A.M.).; Department of Critical Care and Division of Cardiology, Department of Medicine,  University of Alberta, Edmonton, AB, Canada (S.v.D., W.T.).; Divisions of Cardiology and Pulmonary and Critical Care Medicine, University of  North Carolina, Center for Heart and Vascular Care Chapel Hill (J.N.K., R.O.).; University of Florida, Gainesville (C.L.A.).; Levine Cardiac Intensive Care Unit, TIMI Study Group, Cardiovascular Division,  Department of Medicine, Brigham and Women&amp;apos;s Hospital and Harvard Medical School,  Boston, MA (D.D.B, E.A.B., V.M.B.-Z., J.-G.P., D.A.M.).; Department of Cardiology, MedStar Washington Hospital Center, DC (C.F.B.).; Department of Cardiovascular Medicine, Mayo Clinic, Rochester, MN (G.W.B., B.T.).; Lehigh Valley Health Network, Allentown, PA (J.A.B., A.H., F.V.).; Department of Cardiovascular Medicine, Cleveland Clinic Foundation, OH (P.C.C.,  V.M.).; Section of Cardiology, Cooper University Hospital, Camden, NJ (J.C., S.H.).; Sulpizio Cardiovascular Center, University of California San Diego, La Jolla  (L.B.D., N.P.).; Division of Cardiovascular Medicine, Department of Medicine, University of  Louisville, KY (A.D.).; Lehigh Valley Health Network, Allentown, PA (J.A.B., A.H., F.V.).; Section of Cardiology, Cooper University Hospital, Camden, NJ (J.C., S.H.).; New York University Langone Health (J.M.H., N.K., J.N., R.O.R.).; New York University Langone Health (J.M.H., N.K., J.N., R.O.R.).; Virginia Commonwealth University, Richmond (M.C.K.).; Peter Munk Cardiac Centre, Toronto General Hospital, University of Toronto, ON,  Canada (P.R.L., C.B.O.).; Department of Cardiovascular Medicine, Cleveland Clinic Foundation, OH (P.C.C.,  V.M.).; Division of Cardiology, Department of Medicine, Johns Hopkins University School  of Medicine, Baltimore, MD (T.S.M., S.P.S.).; New York University Langone Health (J.M.H., N.K., J.N., R.O.R.).; Divisions of Cardiology and Pulmonary and Critical Care Medicine, University of  North Carolina, Center for Heart and Vascular Care Chapel Hill (J.N.K., R.O.).; Peter Munk Cardiac Centre, Toronto General Hospital, University of Toronto, ON,  Canada (P.R.L., C.B.O.).; Levine Cardiac Intensive Care Unit, TIMI Study Group, Cardiovascular Division,  Department of Medicine, Brigham and Women&amp;apos;s Hospital and Harvard Medical School,  Boston, MA (D.D.B, E.A.B., V.M.B.-Z., J.-G.P., D.A.M.).; Sulpizio Cardiovascular Center, University of California San Diego, La Jolla  (L.B.D., N.P.).; New York University Langone Health (J.M.H., N.K., J.N., R.O.R.).; Division of Cardiology, Department of Medicine, Johns Hopkins University School  of Medicine, Baltimore, MD (T.S.M., S.P.S.).; Rush University Medical Center, Chicago, IL (R.J.S.).; Critical Care Medicine Department, National Institutes of Health Clinical Center  and Cardiovascular Branch, National Heart, Lung, and Blood Institute, of the  National Institutes of Health, Bethesda, MD (M.A.S.).; Department of Cardiovascular Medicine, Mayo Clinic, Rochester, MN (G.W.B., B.T.).; Department of Critical Care and Division of Cardiology, Department of Medicine,  University of Alberta, Edmonton, AB, Canada (S.v.D., W.T.).; Lehigh Valley Health Network, Allentown, PA (J.A.B., A.H., F.V.).; Levine Cardiac Intensive Care Unit, TIMI Study Group, Cardiovascular Division,  Department of Medicine, Brigham and Women&amp;apos;s Hospital and Harvard Medical School,  Boston, MA (D.D.B, E.A.B., V.M.B.-Z., J.-G.P., D.A.M.).&lt;/_author_adr&gt;&lt;_created&gt;66401317&lt;/_created&gt;&lt;_date&gt;2019-03-01&lt;/_date&gt;&lt;_date_display&gt;2019 Mar&lt;/_date_display&gt;&lt;_db_updated&gt;CrossRef&lt;/_db_updated&gt;&lt;_doi&gt;10.1161/CIRCOUTCOMES.119.005618&lt;/_doi&gt;&lt;_impact_factor&gt;   6.200&lt;/_impact_factor&gt;&lt;_isbn&gt;1941-7713&lt;/_isbn&gt;&lt;_issue&gt;3&lt;/_issue&gt;&lt;_journal&gt;Circulation: Cardiovascular Quality and Outcomes&lt;/_journal&gt;&lt;_keywords&gt;North America; cardiogenic shock; epidemiology; hypotension; intensive care units&lt;/_keywords&gt;&lt;_language&gt;eng&lt;/_language&gt;&lt;_modified&gt;66401432&lt;/_modified&gt;&lt;_number&gt;6&lt;/_number&gt;&lt;_pages&gt;e005618&lt;/_pages&gt;&lt;_subject_headings&gt;Aged; *Coronary Care Units; Female; Hospital Mortality; Humans; Male; Middle Aged; Myocardial Infarction/diagnosis/*epidemiology/mortality/therapy; North America/epidemiology; Organ Dysfunction Scores; Prognosis; Registries; Risk Assessment; Risk Factors; Shock, Cardiogenic/diagnosis/*epidemiology/mortality/therapy; Time Factors&lt;/_subject_headings&gt;&lt;_tertiary_title&gt;Circ: Cardiovascular Quality and Outcomes&lt;/_tertiary_title&gt;&lt;_type_work&gt;Journal Article; Multicenter Study; Research Support, N.I.H., Extramural; Research Support, N.I.H., Intramural&lt;/_type_work&gt;&lt;_url&gt;https://www.ahajournals.org/doi/10.1161/CIRCOUTCOMES.119.005618_x000d__x000a_https://www.ahajournals.org/doi/full/10.1161/CIRCOUTCOMES.119.005618&lt;/_url&gt;&lt;_volume&gt;12&lt;/_volume&gt;&lt;/Details&gt;&lt;Extra&gt;&lt;DBUID&gt;{0595FEED-06EC-4465-A92A-123F8040CA41}&lt;/DBUID&gt;&lt;/Extra&gt;&lt;/Item&gt;&lt;/References&gt;&lt;/Group&gt;&lt;/Citation&gt;_x000a_"/>
    <w:docVar w:name="NE.Ref{4198B44C-1410-4E70-80C0-E5AA49E8CA1F}" w:val=" ADDIN NE.Ref.{4198B44C-1410-4E70-80C0-E5AA49E8CA1F}&lt;Citation&gt;&lt;Group&gt;&lt;References&gt;&lt;Item&gt;&lt;ID&gt;2709&lt;/ID&gt;&lt;UID&gt;{0E57B5BD-92AD-4711-9612-68934E06A26E}&lt;/UID&gt;&lt;Title&gt;The association between stress hyperglycemia ratio with mortality in critically ill patients with acute heart failure&lt;/Title&gt;&lt;Template&gt;Journal Article&lt;/Template&gt;&lt;Star&gt;0&lt;/Star&gt;&lt;Tag&gt;0&lt;/Tag&gt;&lt;Author&gt;Ge, Tingai; Hu, Jingjing; Zhou, Yidan&lt;/Author&gt;&lt;Year&gt;2024&lt;/Year&gt;&lt;Details&gt;&lt;_accessed&gt;66402458&lt;/_accessed&gt;&lt;_accession_num&gt;39639971&lt;/_accession_num&gt;&lt;_author_adr&gt;Department of Emergency Medicine, Hangzhou Third People&amp;apos;s Hospital, Hangzhou,  China.; Department of Emergency Medicine, Hangzhou Third People&amp;apos;s Hospital, Hangzhou,  China.; Department of Emergency Medicine, Hangzhou Third People&amp;apos;s Hospital, Hangzhou,  China.&lt;/_author_adr&gt;&lt;_collection_scope&gt;SCIE&lt;/_collection_scope&gt;&lt;_created&gt;66401456&lt;/_created&gt;&lt;_date&gt;65685600&lt;/_date&gt;&lt;_date_display&gt;2024&lt;/_date_display&gt;&lt;_db_updated&gt;CrossRef&lt;/_db_updated&gt;&lt;_doi&gt;10.3389/fcvm.2024.1463861&lt;/_doi&gt;&lt;_impact_factor&gt;   2.800&lt;/_impact_factor&gt;&lt;_isbn&gt;2297-055X&lt;/_isbn&gt;&lt;_journal&gt;Frontiers in Cardiovascular Medicine&lt;/_journal&gt;&lt;_keywords&gt;acute heart failure; critically ill; glucose; glycosylated hemoglobin; mortality; stress hyperglycemia&lt;/_keywords&gt;&lt;_language&gt;eng&lt;/_language&gt;&lt;_modified&gt;66402458&lt;/_modified&gt;&lt;_number&gt;18&lt;/_number&gt;&lt;_ori_publication&gt;© 2024 Ge, Hu and Zhou.&lt;/_ori_publication&gt;&lt;_pages&gt;1463861&lt;/_pages&gt;&lt;_social_category&gt;心脏和心血管系统(3)&lt;/_social_category&gt;&lt;_tertiary_title&gt;Front. Cardiovasc. Med.&lt;/_tertiary_title&gt;&lt;_type_work&gt;Journal Article&lt;/_type_work&gt;&lt;_url&gt;https://www.frontiersin.org/articles/10.3389/fcvm.2024.1463861/full_x000d__x000a_https://www.frontiersin.org/articles/10.3389/fcvm.2024.1463861/full&lt;/_url&gt;&lt;_volume&gt;11&lt;/_volume&gt;&lt;/Details&gt;&lt;Extra&gt;&lt;DBUID&gt;{0595FEED-06EC-4465-A92A-123F8040CA41}&lt;/DBUID&gt;&lt;/Extra&gt;&lt;/Item&gt;&lt;/References&gt;&lt;/Group&gt;&lt;Group&gt;&lt;References&gt;&lt;Item&gt;&lt;ID&gt;2727&lt;/ID&gt;&lt;UID&gt;{08F24690-8D04-461E-93A7-39C6BA01D913}&lt;/UID&gt;&lt;Title&gt;Association between stress hyperglycemia ratio and 28-day all-cause mortality in critically ill atrial fibrillation patients: a retrospective cohort study based on the MIMIC-IV database&lt;/Title&gt;&lt;Template&gt;Journal Article&lt;/Template&gt;&lt;Star&gt;0&lt;/Star&gt;&lt;Tag&gt;0&lt;/Tag&gt;&lt;Author&gt;Zhang, Qianqian; Zhang, Nianzhi; Zhou, Jing; Zheng, Ying; Wang, Yuanyuan&lt;/Author&gt;&lt;Year&gt;2025&lt;/Year&gt;&lt;Details&gt;&lt;_accessed&gt;66402459&lt;/_accessed&gt;&lt;_accession_num&gt;41376919&lt;/_accession_num&gt;&lt;_author_adr&gt;The First Clinical School of Anhui University of Chinese Medicine, Hefei, China.; Department of Respiratory Medicine, First Affiliated Hospital of Anhui University  of Chinese Medicine, Hefei, China.; The First Clinical School of Anhui University of Chinese Medicine, Hefei, China.; Department of Respiratory Medicine, First Affiliated Hospital of Anhui University  of Chinese Medicine, Hefei, China.; The First Clinical School of Anhui University of Chinese Medicine, Hefei, China.; Department of Respiratory Medicine, First Affiliated Hospital of Anhui University  of Chinese Medicine, Hefei, China.&lt;/_author_adr&gt;&lt;_collection_scope&gt;SCIE&lt;/_collection_scope&gt;&lt;_created&gt;66401474&lt;/_created&gt;&lt;_date&gt;2025-11-30&lt;/_date&gt;&lt;_date_display&gt;2025 Nov 30&lt;/_date_display&gt;&lt;_db_updated&gt;CrossRef&lt;/_db_updated&gt;&lt;_doi&gt;10.21037/jtd-2025-1507&lt;/_doi&gt;&lt;_impact_factor&gt;   2.100&lt;/_impact_factor&gt;&lt;_isbn&gt;20721439&lt;/_isbn&gt;&lt;_issue&gt;11&lt;/_issue&gt;&lt;_journal&gt;Journal of Thoracic Disease&lt;/_journal&gt;&lt;_keywords&gt;Atrial fibrillation (AF); Medical Information Mart for Intensive Care IV database (MIMIC-IV database); intensive care unit (ICU); stress hyperglycemia ratio (SHR)&lt;/_keywords&gt;&lt;_language&gt;eng&lt;/_language&gt;&lt;_modified&gt;66402459&lt;/_modified&gt;&lt;_number&gt;33&lt;/_number&gt;&lt;_ori_publication&gt;© AME Publishing Company.&lt;/_ori_publication&gt;&lt;_pages&gt;10272-10284&lt;/_pages&gt;&lt;_social_category&gt;呼吸系统(4)&lt;/_social_category&gt;&lt;_tertiary_title&gt;J Thorac Dis&lt;/_tertiary_title&gt;&lt;_type_work&gt;Journal Article&lt;/_type_work&gt;&lt;_url&gt;https://jtd.amegroups.com/article/view/108816/html_x000d__x000a_https://jtd.amegroups.com/article/download/108816/pdf&lt;/_url&gt;&lt;_volume&gt;17&lt;/_volume&gt;&lt;/Details&gt;&lt;Extra&gt;&lt;DBUID&gt;{0595FEED-06EC-4465-A92A-123F8040CA41}&lt;/DBUID&gt;&lt;/Extra&gt;&lt;/Item&gt;&lt;/References&gt;&lt;/Group&gt;&lt;/Citation&gt;_x000a_"/>
    <w:docVar w:name="NE.Ref{43551116-E1BC-4174-9FA8-B7E3E0DE6EF6}" w:val=" ADDIN NE.Ref.{43551116-E1BC-4174-9FA8-B7E3E0DE6EF6}&lt;Citation&gt;&lt;Group&gt;&lt;References&gt;&lt;Item&gt;&lt;ID&gt;2744&lt;/ID&gt;&lt;UID&gt;{B168DD8E-CDAD-478B-AF0C-5657F9B4C8E7}&lt;/UID&gt;&lt;Title&gt;Clinical use of lactate monitoring in critically ill patients&lt;/Title&gt;&lt;Template&gt;Journal Article&lt;/Template&gt;&lt;Star&gt;0&lt;/Star&gt;&lt;Tag&gt;0&lt;/Tag&gt;&lt;Author&gt;Bakker, Jan; Nijsten, Maarten WN; Jansen, Tim C&lt;/Author&gt;&lt;Year&gt;2013&lt;/Year&gt;&lt;Details&gt;&lt;_accessed&gt;66402460&lt;/_accessed&gt;&lt;_accession_num&gt;23663301&lt;/_accession_num&gt;&lt;_author_adr&gt;Department of Intensive Care Adults, Erasmus MC University Medical Center, PO Box  2040, Room H625, Rotterdam, CA 3000, Netherlands. jan.bakker@erasmusmc.nl.&lt;/_author_adr&gt;&lt;_collection_scope&gt;SCIE&lt;/_collection_scope&gt;&lt;_created&gt;66402453&lt;/_created&gt;&lt;_date&gt;2013-05-10&lt;/_date&gt;&lt;_date_display&gt;2013 May 10&lt;/_date_display&gt;&lt;_db_updated&gt;CrossRef&lt;/_db_updated&gt;&lt;_doi&gt;10.1186/2110-5820-3-12&lt;/_doi&gt;&lt;_impact_factor&gt;   5.700&lt;/_impact_factor&gt;&lt;_isbn&gt;2110-5820&lt;/_isbn&gt;&lt;_issue&gt;1&lt;/_issue&gt;&lt;_journal&gt;Annals of Intensive Care&lt;/_journal&gt;&lt;_language&gt;eng&lt;/_language&gt;&lt;_modified&gt;66402460&lt;/_modified&gt;&lt;_number&gt;49&lt;/_number&gt;&lt;_pages&gt;12&lt;/_pages&gt;&lt;_social_category&gt;危重病医学(2)&lt;/_social_category&gt;&lt;_tertiary_title&gt;Ann Intensive Care&lt;/_tertiary_title&gt;&lt;_type_work&gt;Journal Article&lt;/_type_work&gt;&lt;_url&gt;http://annalsofintensivecare.springeropen.com/articles/10.1186/2110-5820-3-12&lt;/_url&gt;&lt;_volume&gt;3&lt;/_volume&gt;&lt;/Details&gt;&lt;Extra&gt;&lt;DBUID&gt;{0595FEED-06EC-4465-A92A-123F8040CA41}&lt;/DBUID&gt;&lt;/Extra&gt;&lt;/Item&gt;&lt;/References&gt;&lt;/Group&gt;&lt;/Citation&gt;_x000a_"/>
    <w:docVar w:name="NE.Ref{4580975B-C3A1-47E4-BA12-990084F99571}" w:val=" ADDIN NE.Ref.{4580975B-C3A1-47E4-BA12-990084F99571}&lt;Citation&gt;&lt;Group&gt;&lt;References&gt;&lt;Item&gt;&lt;ID&gt;2702&lt;/ID&gt;&lt;UID&gt;{A97E1CE6-CBEC-43AF-98EB-F7DEC8E3FD26}&lt;/UID&gt;&lt;Title&gt;Admission Glucose and Mortality in Elderly Patients Hospitalized With Acute Myocardial Infarction&lt;/Title&gt;&lt;Template&gt;Journal Article&lt;/Template&gt;&lt;Star&gt;0&lt;/Star&gt;&lt;Tag&gt;0&lt;/Tag&gt;&lt;Author&gt;Kosiborod, Mikhail; Rathore, Saif S; Inzucchi, Silvio E; Masoudi, Frederick A; Wang, Yongfei; Havranek, Edward P; Krumholz, Harlan M&lt;/Author&gt;&lt;Year&gt;2005&lt;/Year&gt;&lt;Details&gt;&lt;_accessed&gt;66402458&lt;/_accessed&gt;&lt;_accession_num&gt;15939812&lt;/_accession_num&gt;&lt;_author_adr&gt;Section of Cardiovascular Medicine, Yale University School of Medicine, 333 Cedar  St, PO Box 208088, New Haven, CT 06520-8088, USA.&lt;/_author_adr&gt;&lt;_collection_scope&gt;SCIE&lt;/_collection_scope&gt;&lt;_created&gt;66401454&lt;/_created&gt;&lt;_date&gt;55461600&lt;/_date&gt;&lt;_date_display&gt;2005 Jun 14&lt;/_date_display&gt;&lt;_db_updated&gt;CrossRef&lt;/_db_updated&gt;&lt;_doi&gt;10.1161/CIRCULATIONAHA.104.517839&lt;/_doi&gt;&lt;_impact_factor&gt;  35.600&lt;/_impact_factor&gt;&lt;_isbn&gt;0009-7322&lt;/_isbn&gt;&lt;_issue&gt;23&lt;/_issue&gt;&lt;_journal&gt;Circulation&lt;/_journal&gt;&lt;_language&gt;eng&lt;/_language&gt;&lt;_modified&gt;66402458&lt;/_modified&gt;&lt;_number&gt;11&lt;/_number&gt;&lt;_pages&gt;3078-3086&lt;/_pages&gt;&lt;_social_category&gt;心脏和心血管系统(1) &amp;amp; 外周血管病(1)&lt;/_social_category&gt;&lt;_subject_headings&gt;Aged; Aged, 80 and over; Blood Glucose/*analysis; Case-Control Studies; Diabetes Mellitus/mortality; Female; Hospital Mortality; Humans; Hyperglycemia/complications; Male; Myocardial Infarction/blood/complications/*mortality; Patient Admission; Survival Rate; Treatment Outcome&lt;/_subject_headings&gt;&lt;_tertiary_title&gt;Circulation&lt;/_tertiary_title&gt;&lt;_type_work&gt;Journal Article; Research Support, N.I.H., Extramural; Research Support, Non-U.S. Gov&amp;apos;t; Research Support, U.S. Gov&amp;apos;t, P.H.S.&lt;/_type_work&gt;&lt;_url&gt;https://www.ahajournals.org/doi/10.1161/CIRCULATIONAHA.104.517839_x000d__x000a_https://www.ahajournals.org/doi/full/10.1161/CIRCULATIONAHA.104.517839&lt;/_url&gt;&lt;_volume&gt;111&lt;/_volume&gt;&lt;/Details&gt;&lt;Extra&gt;&lt;DBUID&gt;{0595FEED-06EC-4465-A92A-123F8040CA41}&lt;/DBUID&gt;&lt;/Extra&gt;&lt;/Item&gt;&lt;/References&gt;&lt;/Group&gt;&lt;/Citation&gt;_x000a_"/>
    <w:docVar w:name="NE.Ref{49E8C0A6-1A5C-473E-A3A7-BE86A26DE1DD}" w:val=" ADDIN NE.Ref.{49E8C0A6-1A5C-473E-A3A7-BE86A26DE1DD}&lt;Citation&gt;&lt;Group&gt;&lt;References&gt;&lt;Item&gt;&lt;ID&gt;2706&lt;/ID&gt;&lt;UID&gt;{0DA4AACF-1065-4624-A5DC-ADA57E4D2439}&lt;/UID&gt;&lt;Title&gt;Translating the A1C Assay Into Estimated Average Glucose Values&lt;/Title&gt;&lt;Template&gt;Journal Article&lt;/Template&gt;&lt;Star&gt;0&lt;/Star&gt;&lt;Tag&gt;0&lt;/Tag&gt;&lt;Author&gt;Nathan, David M; Kuenen, Judith; Borg, Rikke; Zheng, Hui; Schoenfeld, David; Heine, Robert J&lt;/Author&gt;&lt;Year&gt;2008&lt;/Year&gt;&lt;Details&gt;&lt;_accessed&gt;66402458&lt;/_accessed&gt;&lt;_accession_num&gt;18540046&lt;/_accession_num&gt;&lt;_author_adr&gt;Diabetes Center, Massachusetts General Hospital and Harvard Medical School,  Boston, MA, USA. dnathan@partners.org&lt;/_author_adr&gt;&lt;_collection_scope&gt;SCIE&lt;/_collection_scope&gt;&lt;_created&gt;66401455&lt;/_created&gt;&lt;_date&gt;57108960&lt;/_date&gt;&lt;_date_display&gt;2008 Aug&lt;/_date_display&gt;&lt;_db_updated&gt;CrossRef&lt;/_db_updated&gt;&lt;_doi&gt;10.2337/dc08-0545&lt;/_doi&gt;&lt;_impact_factor&gt;  14.800&lt;/_impact_factor&gt;&lt;_isbn&gt;0149-5992&lt;/_isbn&gt;&lt;_issue&gt;8&lt;/_issue&gt;&lt;_journal&gt;Diabetes Care&lt;/_journal&gt;&lt;_language&gt;eng&lt;/_language&gt;&lt;_modified&gt;66402565&lt;/_modified&gt;&lt;_number&gt;15&lt;/_number&gt;&lt;_pages&gt;1473-1478&lt;/_pages&gt;&lt;_social_category&gt;内分泌学与代谢(1)&lt;/_social_category&gt;&lt;_subject_headings&gt;Adult; Aged; Blood Glucose/*metabolism; Diabetes Mellitus, Type 1/*blood; Diabetes Mellitus, Type 2/*blood; Female; Glycated Hemoglobin/*metabolism; Humans; Male; Middle Aged; Models, Theoretical; Monitoring, Ambulatory; Reference Values; Regression Analysis&lt;/_subject_headings&gt;&lt;_tertiary_title&gt;Diabetes care&lt;/_tertiary_title&gt;&lt;_type_work&gt;Journal Article; Multicenter Study; Research Support, Non-U.S. Gov&amp;apos;t&lt;/_type_work&gt;&lt;_url&gt;https://diabetesjournals.org/care/article/31/8/1473/28589/Translating-the-A1C-Assay-Into-Estimated-Average_x000d__x000a_https://diabetesjournals.org/care/article-pdf/31/8/1473/599712/zdc00808001473.pdf&lt;/_url&gt;&lt;_volume&gt;31&lt;/_volume&gt;&lt;/Details&gt;&lt;Extra&gt;&lt;DBUID&gt;{0595FEED-06EC-4465-A92A-123F8040CA41}&lt;/DBUID&gt;&lt;/Extra&gt;&lt;/Item&gt;&lt;/References&gt;&lt;/Group&gt;&lt;/Citation&gt;_x000a_"/>
    <w:docVar w:name="NE.Ref{4AEA1ED0-C9A1-44FC-8071-B86EC296F2D9}" w:val=" ADDIN NE.Ref.{4AEA1ED0-C9A1-44FC-8071-B86EC296F2D9}&lt;Citation&gt;&lt;Group&gt;&lt;References&gt;&lt;Item&gt;&lt;ID&gt;2705&lt;/ID&gt;&lt;UID&gt;{FAC6AB9F-CDB0-4751-92E4-B2ED6A2DFAA5}&lt;/UID&gt;&lt;Title&gt;Relative Hyperglycemia, a Marker of Critical Illness: Introducing the Stress Hyperglycemia Ratio&lt;/Title&gt;&lt;Template&gt;Journal Article&lt;/Template&gt;&lt;Star&gt;0&lt;/Star&gt;&lt;Tag&gt;0&lt;/Tag&gt;&lt;Author&gt;Roberts, Gregory W; Quinn, Stephen J; Valentine, Nyoli; Alhawassi, Tariq; O&amp;apos;Dea, Hazel; Stranks, Stephen N; Burt, Morton G; Doogue, Matthew P&lt;/Author&gt;&lt;Year&gt;2015&lt;/Year&gt;&lt;Details&gt;&lt;_accessed&gt;66402458&lt;/_accessed&gt;&lt;_accession_num&gt;26485219&lt;/_accession_num&gt;&lt;_author_adr&gt;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lt;/_author_adr&gt;&lt;_collection_scope&gt;SCIE&lt;/_collection_scope&gt;&lt;_created&gt;66401455&lt;/_created&gt;&lt;_date&gt;60965280&lt;/_date&gt;&lt;_date_display&gt;2015 Dec&lt;/_date_display&gt;&lt;_db_updated&gt;CrossRef&lt;/_db_updated&gt;&lt;_doi&gt;10.1210/jc.2015-2660&lt;/_doi&gt;&lt;_impact_factor&gt;   5.000&lt;/_impact_factor&gt;&lt;_isbn&gt;0021-972X&lt;/_isbn&gt;&lt;_issue&gt;12&lt;/_issue&gt;&lt;_journal&gt;The Journal of Clinical Endocrinology &amp;amp; Metabolism&lt;/_journal&gt;&lt;_language&gt;eng&lt;/_language&gt;&lt;_modified&gt;66402458&lt;/_modified&gt;&lt;_number&gt;14&lt;/_number&gt;&lt;_pages&gt;4490-4497&lt;/_pages&gt;&lt;_social_category&gt;内分泌学与代谢(2)&lt;/_social_category&gt;&lt;_subject_headings&gt;Adult; Australia/epidemiology; Biomarkers/*blood; Blood Glucose/metabolism; Cohort Studies; Critical Care; Critical Illness/*mortality; Female; Glycated Hemoglobin/analysis; Hospital Mortality; Hospitalization; Humans; Hyperglycemia/*blood; Male; Middle Aged; *Stress, Physiological&lt;/_subject_headings&gt;&lt;_tertiary_title&gt;The Journal of clinical endocrinology and metabolism&lt;/_tertiary_title&gt;&lt;_type_work&gt;Journal Article; Observational Study; Research Support, Non-U.S. Gov&amp;apos;t&lt;/_type_work&gt;&lt;_url&gt;https://academic.oup.com/jcem/article/100/12/4490/2536331_x000d__x000a_http://academic.oup.com/jcem/article-pdf/100/12/4490/10421980/jcem4490.pdf&lt;/_url&gt;&lt;_volume&gt;100&lt;/_volume&gt;&lt;/Details&gt;&lt;Extra&gt;&lt;DBUID&gt;{0595FEED-06EC-4465-A92A-123F8040CA41}&lt;/DBUID&gt;&lt;/Extra&gt;&lt;/Item&gt;&lt;/References&gt;&lt;/Group&gt;&lt;/Citation&gt;_x000a_"/>
    <w:docVar w:name="NE.Ref{4DDE4705-B6AE-487D-B922-ED6487ACF98D}" w:val=" ADDIN NE.Ref.{4DDE4705-B6AE-487D-B922-ED6487ACF98D}&lt;Citation&gt;&lt;Group&gt;&lt;References&gt;&lt;Item&gt;&lt;ID&gt;2600&lt;/ID&gt;&lt;UID&gt;{D6BBBD93-64B1-4217-9C5F-E9FB073B239A}&lt;/UID&gt;&lt;Title&gt;The stress hyperglycemia ratio, an index of relative hyperglycemia, as a predictor of clinical outcomes after percutaneous coronary intervention&lt;/Title&gt;&lt;Template&gt;Journal Article&lt;/Template&gt;&lt;Star&gt;0&lt;/Star&gt;&lt;Tag&gt;0&lt;/Tag&gt;&lt;Author&gt;Yang, Yeoree; Kim, Tae-Hoon; Yoon, Kun-Ho; Chung, Wook Sung; Ahn, Youngkeun; Jeong, Myung-Ho; Seung, Ki-Bae; Lee, Seung-Hwan; Chang, Kiyuk&lt;/Author&gt;&lt;Year&gt;2017&lt;/Year&gt;&lt;Details&gt;&lt;_accessed&gt;66401361&lt;/_accessed&gt;&lt;_accession_num&gt;28256326&lt;/_accession_num&gt;&lt;_author_adr&gt;Division of Endocrinology and Metabolism, Department of Internal Medicine, Seoul  St. Mary&amp;apos;s Hospital, College of Medicine, The Catholic University of Korea,  Seoul, Republic of Korea.; Division of Cardiology, Department of Internal Medicine, Seoul St. Mary&amp;apos;s  Hospital, College of Medicine, The Catholic University of Korea, Seoul, Republic  of Korea.; Division of Endocrinology and Metabolism, Department of Internal Medicine, Seoul  St. Mary&amp;apos;s Hospital, College of Medicine, The Catholic University of Korea,  Seoul, Republic of Korea.; Division of Cardiology, Department of Internal Medicine, Seoul St. Mary&amp;apos;s  Hospital, College of Medicine, The Catholic University of Korea, Seoul, Republic  of Korea.; Division of Cardiology, Department of Internal Medicine, Chonnam National  University Hospital, Chonnam National University, Gwangju, Republic of Korea.; Division of Cardiology, Department of Internal Medicine, Chonnam National  University Hospital, Chonnam National University, Gwangju, Republic of Korea.; Division of Cardiology, Department of Internal Medicine, Seoul St. Mary&amp;apos;s  Hospital, College of Medicine, The Catholic University of Korea, Seoul, Republic  of Korea.; Division of Endocrinology and Metabolism, Department of Internal Medicine, Seoul  St. Mary&amp;apos;s Hospital, College of Medicine, The Catholic University of Korea,  Seoul, Republic of Korea. Electronic address: hwanx2@catholic.ac.kr.; Division of Cardiology, Department of Internal Medicine, Seoul St. Mary&amp;apos;s  Hospital, College of Medicine, The Catholic University of Korea, Seoul, Republic  of Korea. Electronic address: kiyuk@catholic.ac.kr.&lt;/_author_adr&gt;&lt;_collection_scope&gt;SCIE&lt;/_collection_scope&gt;&lt;_created&gt;66401335&lt;/_created&gt;&lt;_date&gt;2017-08-15&lt;/_date&gt;&lt;_date_display&gt;2017 Aug 15&lt;/_date_display&gt;&lt;_db_updated&gt;CrossRef&lt;/_db_updated&gt;&lt;_doi&gt;10.1016/j.ijcard.2017.02.065&lt;/_doi&gt;&lt;_impact_factor&gt;   3.200&lt;/_impact_factor&gt;&lt;_isbn&gt;01675273&lt;/_isbn&gt;&lt;_journal&gt;International Journal of Cardiology&lt;/_journal&gt;&lt;_keywords&gt;Coronary artery disease; Diabetes; Major adverse cardiovascular and cerebrovascular events; Percutaneous coronary intervention; Stress hyperglycemia ratio&lt;/_keywords&gt;&lt;_language&gt;eng&lt;/_language&gt;&lt;_modified&gt;66401377&lt;/_modified&gt;&lt;_ori_publication&gt;Copyright © 2017 Elsevier B.V. All rights reserved.&lt;/_ori_publication&gt;&lt;_pages&gt;57-63&lt;/_pages&gt;&lt;_social_category&gt;心脏和心血管系统(3)&lt;/_social_category&gt;&lt;_subject_headings&gt;Aged; Blood Glucose/*metabolism; Coronary Artery Disease/*blood/diagnosis/*surgery; Female; Follow-Up Studies; Humans; Hyperglycemia/*blood/diagnosis/*surgery; Male; Middle Aged; Percutaneous Coronary Intervention/*trends; Predictive Value of Tests; Registries; Retrospective Studies; Treatment Outcome&lt;/_subject_headings&gt;&lt;_tertiary_title&gt;International Journal of Cardiology&lt;/_tertiary_title&gt;&lt;_type_work&gt;Journal Article; Multicenter Study; Observational Study&lt;/_type_work&gt;&lt;_url&gt;https://linkinghub.elsevier.com/retrieve/pii/S0167527317305818_x000d__x000a_https://api.elsevier.com/content/article/PII:S0167527317305818?httpAccept=text/xml&lt;/_url&gt;&lt;_volume&gt;241&lt;/_volume&gt;&lt;/Details&gt;&lt;Extra&gt;&lt;DBUID&gt;{0595FEED-06EC-4465-A92A-123F8040CA41}&lt;/DBUID&gt;&lt;/Extra&gt;&lt;/Item&gt;&lt;/References&gt;&lt;/Group&gt;&lt;Group&gt;&lt;References&gt;&lt;Item&gt;&lt;ID&gt;2613&lt;/ID&gt;&lt;UID&gt;{15CEB147-3881-4F7A-ABEA-71BB01FE23C6}&lt;/UID&gt;&lt;Title&gt;Optimal glucose, HbA1c, glucose-HbA1c ratio and stress-hyperglycaemia ratio cut-off values for predicting 1-year mortality in diabetic and non-diabetic acute myocardial infarction patients&lt;/Title&gt;&lt;Template&gt;Journal Article&lt;/Template&gt;&lt;Star&gt;0&lt;/Star&gt;&lt;Tag&gt;0&lt;/Tag&gt;&lt;Author&gt;Sia, Ching-Hui; Chan, Mervyn Huan-Hao; Zheng, Huili; Ko, Junsuk; Ho, Andrew Fu-Wah; Chong, Jun; Foo, David; Foo, Ling-Li; Lim, Patrick Zhan-Yun; Liew, Boon Wah; Chai, Ping; Yeo, Tiong-Cheng; Tan, Huay-Cheem; Chua, Terrance; Chan, Mark Yan-Yee; Tan, Jack Wei Chieh; Bulluck, Heerajnarain; Hausenloy, Derek J&lt;/Author&gt;&lt;Year&gt;2021&lt;/Year&gt;&lt;Details&gt;&lt;_accessed&gt;66401362&lt;/_accessed&gt;&lt;_accession_num&gt;34666746&lt;/_accession_num&gt;&lt;_author_adr&gt;Department of Cardiology, National University Heart Centre Singapore, Singapore,  Singapore.; Yong Loo Lin School of Medicine, National University of Singapore, Singapore,  Singapore.; Cardiovascular &amp;amp; Metabolic Disorders Program, Duke-NUS Medical School, 8 College  Road, Level 8, Singapore, 169857, Singapore.; Health Promotion Board, National Registry of Diseases Office, Singapore,  Singapore.; MD Program, Duke-NUS Medical School, Singapore, Singapore.; SingHealth Duke-NUS Emergency Medicine Academic Clinical Programme, Singapore,  Singapore.; National Heart Research Institute Singapore, National Heart Centre Singapore,  Singapore, Singapore.; Pre-Hospital and Emergency Care Research Centre, Health Services and Systems  Research, Duke-NUS Medical School, Singapore, Singapore.; National Heart Research Institute Singapore, National Heart Centre Singapore,  Singapore, Singapore.; Department of Cardiology, National Heart Centre Singapore, Singapore, Singapore.; Tan Tock Seng Hospital, Singapore, Singapore.; Health Promotion Board, National Registry of Diseases Office, Singapore,  Singapore.; Khoo Teck Puat Hospital, Singapore, Singapore.; Changi General Hospital, Singapore, Singapore.; Department of Cardiology, National University Heart Centre Singapore, Singapore,  Singapore.; Yong Loo Lin School of Medicine, National University of Singapore, Singapore,  Singapore.; Department of Cardiology, National University Heart Centre Singapore, Singapore,  Singapore.; Yong Loo Lin School of Medicine, National University of Singapore, Singapore,  Singapore.; Department of Cardiology, National University Heart Centre Singapore, Singapore,  Singapore.; Yong Loo Lin School of Medicine, National University of Singapore, Singapore,  Singapore.; Department of Cardiology, National Heart Centre Singapore, Singapore, Singapore.; Department of Cardiology, National University Heart Centre Singapore, Singapore,  Singapore.; Yong Loo Lin School of Medicine, National University of Singapore, Singapore,  Singapore.; Pre-Hospital and Emergency Care Research Centre, Health Services and Systems  Research, Duke-NUS Medical School, Singapore, Singapore.; Leeds Institute of Cardiovascular and Metabolic Medicine, University of Leeds,  Leeds, UK.; Department of Cardiology, Leeds General Infirmary, Leeds Teaching Hospitals NHS  Trust, Leeds, UK.; Yong Loo Lin School of Medicine, National University of Singapore, Singapore,  Singapore. derek.hausenloy@duke-nus.edu.sg.; Cardiovascular &amp;amp; Metabolic Disorders Program, Duke-NUS Medical School, 8 College  Road, Level 8, Singapore, 169857, Singapore. derek.hausenloy@duke-nus.edu.sg.; National Heart Research Institute Singapore, National Heart Centre Singapore,  Singapore, Singapore. derek.hausenloy@duke-nus.edu.sg.; Department of Cardiology, National Heart Centre Singapore, Singapore, Singapore.  derek.hausenloy@duke-nus.edu.sg.; The Hatter Cardiovascular Institute, University College London, London, UK.  derek.hausenloy@duke-nus.edu.sg.; Cardiovascular Research Center, College of Medical and Health Sciences, Asia  University, Taichung City, Taiwan. derek.hausenloy@duke-nus.edu.sg.&lt;/_author_adr&gt;&lt;_collection_scope&gt;SCIE&lt;/_collection_scope&gt;&lt;_created&gt;66401340&lt;/_created&gt;&lt;_date&gt;64059840&lt;/_date&gt;&lt;_date_display&gt;2021 Oct 19&lt;/_date_display&gt;&lt;_db_updated&gt;PubMed&lt;/_db_updated&gt;&lt;_doi&gt;10.1186/s12933-021-01395-3&lt;/_doi&gt;&lt;_impact_factor&gt;   8.500&lt;/_impact_factor&gt;&lt;_isbn&gt;1475-2840 (Electronic); 1475-2840 (Linking)&lt;/_isbn&gt;&lt;_issue&gt;1&lt;/_issue&gt;&lt;_journal&gt;Cardiovasc Diabetol&lt;/_journal&gt;&lt;_language&gt;eng&lt;/_language&gt;&lt;_modified&gt;66401377&lt;/_modified&gt;&lt;_ori_publication&gt;(c) 2021. The Author(s).&lt;/_ori_publication&gt;&lt;_pages&gt;211&lt;/_pages&gt;&lt;_social_category&gt;内分泌学与代谢(1) &amp;amp; 心脏和心血管系统(2)&lt;/_social_category&gt;&lt;_subject_headings&gt;Aged; Biomarkers/blood; Blood Glucose/*metabolism; Diabetes Mellitus/*blood/diagnosis/mortality/therapy; Female; Glycated Hemoglobin/*metabolism; Humans; Male; Middle Aged; Non-ST Elevated Myocardial Infarction/*blood/diagnosis/mortality/therapy; Patient Admission; Predictive Value of Tests; Prognosis; Registries; Retrospective Studies; Risk Assessment; Risk Factors; ST Elevation Myocardial Infarction/*blood/diagnosis/mortality/therapy; Singapore/epidemiology; Time Factors&lt;/_subject_headings&gt;&lt;_tertiary_title&gt;Cardiovascular diabetology&lt;/_tertiary_title&gt;&lt;_type_work&gt;Journal Article; Research Support, Non-U.S. Gov&amp;apos;t&lt;/_type_work&gt;&lt;_url&gt;http://www.ncbi.nlm.nih.gov/entrez/query.fcgi?cmd=Retrieve&amp;amp;db=pubmed&amp;amp;dopt=Abstract&amp;amp;list_uids=34666746&amp;amp;query_hl=1&lt;/_url&gt;&lt;_volume&gt;20&lt;/_volume&gt;&lt;/Details&gt;&lt;Extra&gt;&lt;DBUID&gt;{0595FEED-06EC-4465-A92A-123F8040CA41}&lt;/DBUID&gt;&lt;/Extra&gt;&lt;/Item&gt;&lt;/References&gt;&lt;/Group&gt;&lt;Group&gt;&lt;References&gt;&lt;Item&gt;&lt;ID&gt;2614&lt;/ID&gt;&lt;UID&gt;{C99C4ED0-919C-4CD2-BBA0-0219E2F37538}&lt;/UID&gt;&lt;Title&gt;Hyperglycemia and Acute Coronary Syndrome&lt;/Title&gt;&lt;Template&gt;Journal Article&lt;/Template&gt;&lt;Star&gt;0&lt;/Star&gt;&lt;Tag&gt;0&lt;/Tag&gt;&lt;Author&gt;Deedwania, Prakash; Kosiborod, Mikhail; Barrett, Eugene; Ceriello, Antonio; Isley, William; Mazzone, Theodore; Raskin, Philip&lt;/Author&gt;&lt;Year&gt;2008&lt;/Year&gt;&lt;Details&gt;&lt;_accessed&gt;66401362&lt;/_accessed&gt;&lt;_accession_num&gt;18299505&lt;/_accession_num&gt;&lt;_collection_scope&gt;SCIE&lt;/_collection_scope&gt;&lt;_created&gt;66401340&lt;/_created&gt;&lt;_date&gt;56923200&lt;/_date&gt;&lt;_date_display&gt;2008 Mar 25&lt;/_date_display&gt;&lt;_db_updated&gt;CrossRef&lt;/_db_updated&gt;&lt;_doi&gt;10.1161/CIRCULATIONAHA.107.188629&lt;/_doi&gt;&lt;_impact_factor&gt;  35.600&lt;/_impact_factor&gt;&lt;_isbn&gt;0009-7322&lt;/_isbn&gt;&lt;_issue&gt;12&lt;/_issue&gt;&lt;_journal&gt;Circulation&lt;/_journal&gt;&lt;_language&gt;eng&lt;/_language&gt;&lt;_modified&gt;66401436&lt;/_modified&gt;&lt;_number&gt;37&lt;/_number&gt;&lt;_pages&gt;1610-1619&lt;/_pages&gt;&lt;_social_category&gt;心脏和心血管系统(1) &amp;amp; 外周血管病(1)&lt;/_social_category&gt;&lt;_subject_headings&gt;Acute Coronary Syndrome/*complications/mortality; American Heart Association; Consensus; Disease Management; Disease Progression; *Health Planning Guidelines; Hospitalization; Humans; Hyperglycemia/*complications/diagnosis/therapy; Prognosis; United States&lt;/_subject_headings&gt;&lt;_tertiary_title&gt;Circulation&lt;/_tertiary_title&gt;&lt;_type_work&gt;Journal Article&lt;/_type_work&gt;&lt;_url&gt;https://www.ahajournals.org/doi/10.1161/CIRCULATIONAHA.107.188629_x000d__x000a_https://www.ahajournals.org/doi/full/10.1161/CIRCULATIONAHA.107.188629&lt;/_url&gt;&lt;_volume&gt;117&lt;/_volume&gt;&lt;/Details&gt;&lt;Extra&gt;&lt;DBUID&gt;{0595FEED-06EC-4465-A92A-123F8040CA41}&lt;/DBUID&gt;&lt;/Extra&gt;&lt;/Item&gt;&lt;/References&gt;&lt;/Group&gt;&lt;/Citation&gt;_x000a_"/>
    <w:docVar w:name="NE.Ref{4E78D082-2CFD-44A5-B0A2-0D424E0D8DD1}" w:val=" ADDIN NE.Ref.{4E78D082-2CFD-44A5-B0A2-0D424E0D8DD1}&lt;Citation&gt;&lt;Group&gt;&lt;References&gt;&lt;Item&gt;&lt;ID&gt;2593&lt;/ID&gt;&lt;UID&gt;{9A66A25F-7E47-4BEF-B04A-E26F6AFE4E8B}&lt;/UID&gt;&lt;Title&gt;Relationship between stress hyperglycemia ratio and allcause mortality in  critically ill patients: Results from the MIMIC-IV database&lt;/Title&gt;&lt;Template&gt;Journal Article&lt;/Template&gt;&lt;Star&gt;0&lt;/Star&gt;&lt;Tag&gt;0&lt;/Tag&gt;&lt;Author&gt;Zhang, Chong; Shen, He-Chen; Liang, Wei-Ru; Ning, Meng; Wang, Zi-Xuan; Chen, Yi; Su, Wei; Guo, Ting-Ting; Hu, Kun; Liu, Ying-Wu&lt;/Author&gt;&lt;Year&gt;2023&lt;/Year&gt;&lt;Details&gt;&lt;_accessed&gt;66401434&lt;/_accessed&gt;&lt;_accession_num&gt;37077351&lt;/_accession_num&gt;&lt;_author_adr&gt;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State Key Laboratory of Experimental Hematology, National Clinical Research  Center for Blood Diseases, Haihe Laboratory of Cell Ecosystem, Institute of  Hematology &amp;amp; Blood Diseases Hospital, Chinese Academy of Medical Sciences &amp;amp;  Peking Union Medical College,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lt;/_author_adr&gt;&lt;_collection_scope&gt;SCIE&lt;/_collection_scope&gt;&lt;_created&gt;66401328&lt;/_created&gt;&lt;_date&gt;64719360&lt;/_date&gt;&lt;_date_display&gt;2023&lt;/_date_display&gt;&lt;_db_updated&gt;PubMed&lt;/_db_updated&gt;&lt;_doi&gt;10.3389/fendo.2023.1111026&lt;/_doi&gt;&lt;_impact_factor&gt;   3.900&lt;/_impact_factor&gt;&lt;_isbn&gt;1664-2392 (Print); 1664-2392 (Electronic); 1664-2392 (Linking)&lt;/_isbn&gt;&lt;_journal&gt;Front Endocrinol (Lausanne)&lt;/_journal&gt;&lt;_keywords&gt;all-cause mortality; critically ill patients; intensive care unit; mortality; stress hyperglycemia ratio&lt;/_keywords&gt;&lt;_language&gt;eng&lt;/_language&gt;&lt;_modified&gt;66401436&lt;/_modified&gt;&lt;_number&gt;22&lt;/_number&gt;&lt;_ori_publication&gt;Copyright (c) 2023 Zhang, Shen, Liang, Ning, Wang, Chen, Su, Guo, Hu and Liu.&lt;/_ori_publication&gt;&lt;_pages&gt;1111026&lt;/_pages&gt;&lt;_social_category&gt;内分泌学与代谢(3)&lt;/_social_category&gt;&lt;_subject_headings&gt;Humans; Retrospective Studies; Critical Illness; Intensive Care Units; *Hyperglycemia; *Diabetes Mellitus&lt;/_subject_headings&gt;&lt;_tertiary_title&gt;Frontiers in endocrinology&lt;/_tertiary_title&gt;&lt;_type_work&gt;Journal Article; Research Support, Non-U.S. Gov&amp;apos;t&lt;/_type_work&gt;&lt;_url&gt;http://www.ncbi.nlm.nih.gov/entrez/query.fcgi?cmd=Retrieve&amp;amp;db=pubmed&amp;amp;dopt=Abstract&amp;amp;list_uids=37077351&amp;amp;query_hl=1&lt;/_url&gt;&lt;_volume&gt;14&lt;/_volume&gt;&lt;/Details&gt;&lt;Extra&gt;&lt;DBUID&gt;{0595FEED-06EC-4465-A92A-123F8040CA41}&lt;/DBUID&gt;&lt;/Extra&gt;&lt;/Item&gt;&lt;/References&gt;&lt;/Group&gt;&lt;/Citation&gt;_x000a_"/>
    <w:docVar w:name="NE.Ref{51423CAD-2654-4CFB-8F78-ACD0BECFDE75}" w:val=" ADDIN NE.Ref.{51423CAD-2654-4CFB-8F78-ACD0BECFDE75}&lt;Citation&gt;&lt;Group&gt;&lt;References&gt;&lt;Item&gt;&lt;ID&gt;2600&lt;/ID&gt;&lt;UID&gt;{D6BBBD93-64B1-4217-9C5F-E9FB073B239A}&lt;/UID&gt;&lt;Title&gt;The stress hyperglycemia ratio, an index of relative hyperglycemia, as a predictor of clinical outcomes after percutaneous coronary intervention&lt;/Title&gt;&lt;Template&gt;Journal Article&lt;/Template&gt;&lt;Star&gt;0&lt;/Star&gt;&lt;Tag&gt;0&lt;/Tag&gt;&lt;Author&gt;Yang, Yeoree; Kim, Tae-Hoon; Yoon, Kun-Ho; Chung, Wook Sung; Ahn, Youngkeun; Jeong, Myung-Ho; Seung, Ki-Bae; Lee, Seung-Hwan; Chang, Kiyuk&lt;/Author&gt;&lt;Year&gt;2017&lt;/Year&gt;&lt;Details&gt;&lt;_accessed&gt;66401361&lt;/_accessed&gt;&lt;_accession_num&gt;28256326&lt;/_accession_num&gt;&lt;_author_adr&gt;Division of Endocrinology and Metabolism, Department of Internal Medicine, Seoul  St. Mary&amp;apos;s Hospital, College of Medicine, The Catholic University of Korea,  Seoul, Republic of Korea.; Division of Cardiology, Department of Internal Medicine, Seoul St. Mary&amp;apos;s  Hospital, College of Medicine, The Catholic University of Korea, Seoul, Republic  of Korea.; Division of Endocrinology and Metabolism, Department of Internal Medicine, Seoul  St. Mary&amp;apos;s Hospital, College of Medicine, The Catholic University of Korea,  Seoul, Republic of Korea.; Division of Cardiology, Department of Internal Medicine, Seoul St. Mary&amp;apos;s  Hospital, College of Medicine, The Catholic University of Korea, Seoul, Republic  of Korea.; Division of Cardiology, Department of Internal Medicine, Chonnam National  University Hospital, Chonnam National University, Gwangju, Republic of Korea.; Division of Cardiology, Department of Internal Medicine, Chonnam National  University Hospital, Chonnam National University, Gwangju, Republic of Korea.; Division of Cardiology, Department of Internal Medicine, Seoul St. Mary&amp;apos;s  Hospital, College of Medicine, The Catholic University of Korea, Seoul, Republic  of Korea.; Division of Endocrinology and Metabolism, Department of Internal Medicine, Seoul  St. Mary&amp;apos;s Hospital, College of Medicine, The Catholic University of Korea,  Seoul, Republic of Korea. Electronic address: hwanx2@catholic.ac.kr.; Division of Cardiology, Department of Internal Medicine, Seoul St. Mary&amp;apos;s  Hospital, College of Medicine, The Catholic University of Korea, Seoul, Republic  of Korea. Electronic address: kiyuk@catholic.ac.kr.&lt;/_author_adr&gt;&lt;_collection_scope&gt;SCIE&lt;/_collection_scope&gt;&lt;_created&gt;66401335&lt;/_created&gt;&lt;_date&gt;2017-08-15&lt;/_date&gt;&lt;_date_display&gt;2017 Aug 15&lt;/_date_display&gt;&lt;_db_updated&gt;CrossRef&lt;/_db_updated&gt;&lt;_doi&gt;10.1016/j.ijcard.2017.02.065&lt;/_doi&gt;&lt;_impact_factor&gt;   3.200&lt;/_impact_factor&gt;&lt;_isbn&gt;01675273&lt;/_isbn&gt;&lt;_journal&gt;International Journal of Cardiology&lt;/_journal&gt;&lt;_keywords&gt;Coronary artery disease; Diabetes; Major adverse cardiovascular and cerebrovascular events; Percutaneous coronary intervention; Stress hyperglycemia ratio&lt;/_keywords&gt;&lt;_language&gt;eng&lt;/_language&gt;&lt;_modified&gt;66401377&lt;/_modified&gt;&lt;_ori_publication&gt;Copyright © 2017 Elsevier B.V. All rights reserved.&lt;/_ori_publication&gt;&lt;_pages&gt;57-63&lt;/_pages&gt;&lt;_social_category&gt;心脏和心血管系统(3)&lt;/_social_category&gt;&lt;_subject_headings&gt;Aged; Blood Glucose/*metabolism; Coronary Artery Disease/*blood/diagnosis/*surgery; Female; Follow-Up Studies; Humans; Hyperglycemia/*blood/diagnosis/*surgery; Male; Middle Aged; Percutaneous Coronary Intervention/*trends; Predictive Value of Tests; Registries; Retrospective Studies; Treatment Outcome&lt;/_subject_headings&gt;&lt;_tertiary_title&gt;International Journal of Cardiology&lt;/_tertiary_title&gt;&lt;_type_work&gt;Journal Article; Multicenter Study; Observational Study&lt;/_type_work&gt;&lt;_url&gt;https://linkinghub.elsevier.com/retrieve/pii/S0167527317305818_x000d__x000a_https://api.elsevier.com/content/article/PII:S0167527317305818?httpAccept=text/xml&lt;/_url&gt;&lt;_volume&gt;241&lt;/_volume&gt;&lt;/Details&gt;&lt;Extra&gt;&lt;DBUID&gt;{0595FEED-06EC-4465-A92A-123F8040CA41}&lt;/DBUID&gt;&lt;/Extra&gt;&lt;/Item&gt;&lt;/References&gt;&lt;/Group&gt;&lt;/Citation&gt;_x000a_"/>
    <w:docVar w:name="NE.Ref{52649603-839F-4E9F-AAB5-033C1B91847C}" w:val=" ADDIN NE.Ref.{52649603-839F-4E9F-AAB5-033C1B91847C}&lt;Citation&gt;&lt;Group&gt;&lt;References&gt;&lt;Item&gt;&lt;ID&gt;2572&lt;/ID&gt;&lt;UID&gt;{B998AB83-78A0-4364-A19E-70A910B5D345}&lt;/UID&gt;&lt;Title&gt;Global burden of 288 causes of death and life expectancy decomposition in 204 countries and territories and 811 subnational locations, 1990-2021: a systematic analysis for the Global Burden of Disease Study 2021&lt;/Title&gt;&lt;Template&gt;Journal Article&lt;/Template&gt;&lt;Star&gt;0&lt;/Star&gt;&lt;Tag&gt;0&lt;/Tag&gt;&lt;Author/&gt;&lt;Year&gt;2024&lt;/Year&gt;&lt;Details&gt;&lt;_accession_num&gt;38582094&lt;/_accession_num&gt;&lt;_date_display&gt;2024 May 18&lt;/_date_display&gt;&lt;_date&gt;65416320&lt;/_date&gt;&lt;_doi&gt;10.1016/S0140-6736(24)00367-2&lt;/_doi&gt;&lt;_isbn&gt;1474-547X (Electronic); 0140-6736 (Print); 0140-6736 (Linking)&lt;/_isbn&gt;&lt;_issue&gt;10440&lt;/_issue&gt;&lt;_journal&gt;Lancet&lt;/_journal&gt;&lt;_language&gt;eng&lt;/_language&gt;&lt;_ori_publication&gt;Copyright (c) 2024 The Author(s). Published by Elsevier Ltd. This is an Open Access _x000d__x000a_      article under the CC BY 4.0 license. Published by Elsevier Ltd.. All rights _x000d__x000a_      reserved.&lt;/_ori_publication&gt;&lt;_pages&gt;2100-2132&lt;/_pages&gt;&lt;_subject_headings&gt;Humans; *Life Expectancy; *Cause of Death/trends; *Global Burden of Disease; Female; *COVID-19/mortality/epidemiology; Male; Aged; Middle Aged; Adult; Child, Preschool; Infant; *Global Health/statistics &amp;amp; numerical data; Adolescent; Young Adult; Child; Aged, 80 and over; SARS-CoV-2; Infant, Newborn; Pandemics&lt;/_subject_headings&gt;&lt;_tertiary_title&gt;Lancet (London, England)&lt;/_tertiary_title&gt;&lt;_type_work&gt;Journal Article; Research Support, N.I.H., Extramural; Research Support, Non-U.S. Gov&amp;apos;t&lt;/_type_work&gt;&lt;_url&gt;http://www.ncbi.nlm.nih.gov/entrez/query.fcgi?cmd=Retrieve&amp;amp;db=pubmed&amp;amp;dopt=Abstract&amp;amp;list_uids=38582094&amp;amp;query_hl=1&lt;/_url&gt;&lt;_volume&gt;403&lt;/_volume&gt;&lt;_created&gt;66401310&lt;/_created&gt;&lt;_modified&gt;66401311&lt;/_modified&gt;&lt;_impact_factor&gt;  98.400&lt;/_impact_factor&gt;&lt;_social_category&gt;医学：内科(1)&lt;/_social_category&gt;&lt;_collection_scope&gt;SCIE&lt;/_collection_scope&gt;&lt;_accessed&gt;66401311&lt;/_accessed&gt;&lt;_db_updated&gt;PubMed&lt;/_db_updated&gt;&lt;/Details&gt;&lt;Extra&gt;&lt;DBUID&gt;{0595FEED-06EC-4465-A92A-123F8040CA41}&lt;/DBUID&gt;&lt;/Extra&gt;&lt;/Item&gt;&lt;/References&gt;&lt;/Group&gt;&lt;Group&gt;&lt;References&gt;&lt;Item&gt;&lt;ID&gt;2573&lt;/ID&gt;&lt;UID&gt;{A589940B-F167-4AE1-B7A3-018BE73B2101}&lt;/UID&gt;&lt;Title&gt;Global, regional and national burden of ischemic heart disease and its  attributable risk factors from 1990 to 2021: a systematic analysis of the Global  Burden of Disease study 2021&lt;/Title&gt;&lt;Template&gt;Journal Article&lt;/Template&gt;&lt;Star&gt;0&lt;/Star&gt;&lt;Tag&gt;0&lt;/Tag&gt;&lt;Author&gt;Yang, Leyuan; Zheng, Bo; Gong, Yanjun&lt;/Author&gt;&lt;Year&gt;2025&lt;/Year&gt;&lt;Details&gt;&lt;_accession_num&gt;40841929&lt;/_accession_num&gt;&lt;_author_adr&gt;Department of Cardiology, Peking University First Hospital, No.8 Xishiku Street,  Xicheng District, Beijing, 100034, China.; Department of Cardiology, Peking University First Hospital, No.8 Xishiku Street,  Xicheng District, Beijing, 100034, China.; Department of Cardiology, Peking University First Hospital, No.8 Xishiku Street,  Xicheng District, Beijing, 100034, China. gongyanjun@bjmu.edu.cn.&lt;/_author_adr&gt;&lt;_date_display&gt;2025 Aug 21&lt;/_date_display&gt;&lt;_date&gt;2025-08-21&lt;/_date&gt;&lt;_doi&gt;10.1186/s12872-025-05022-x&lt;/_doi&gt;&lt;_isbn&gt;1471-2261 (Electronic); 1471-2261 (Linking)&lt;/_isbn&gt;&lt;_issue&gt;1&lt;/_issue&gt;&lt;_journal&gt;BMC Cardiovasc Disord&lt;/_journal&gt;&lt;_keywords&gt;Epidemiology; GBD 2021; Ischemic heart disease; Risk factors&lt;/_keywords&gt;&lt;_language&gt;eng&lt;/_language&gt;&lt;_ori_publication&gt;© 2025. The Author(s).&lt;/_ori_publication&gt;&lt;_pages&gt;625&lt;/_pages&gt;&lt;_subject_headings&gt;Humans; Global Burden of Disease/trends; Male; Prevalence; Female; *Global Health; Middle Aged; *Myocardial Ischemia/mortality/epidemiology/diagnosis; Aged; Risk Assessment; Time Factors; Disability-Adjusted Life Years; Adult; Age Distribution; Sex Distribution; Aged, 80 and over; Age Factors; Young Adult; Sex Factors; Risk Factors; Prognosis; Adolescent&lt;/_subject_headings&gt;&lt;_tertiary_title&gt;BMC cardiovascular disorders&lt;/_tertiary_title&gt;&lt;_type_work&gt;Journal Article&lt;/_type_work&gt;&lt;_url&gt;http://www.ncbi.nlm.nih.gov/entrez/query.fcgi?cmd=Retrieve&amp;amp;db=pubmed&amp;amp;dopt=Abstract&amp;amp;list_uids=40841929&amp;amp;query_hl=1&lt;/_url&gt;&lt;_volume&gt;25&lt;/_volume&gt;&lt;_created&gt;66401311&lt;/_created&gt;&lt;_modified&gt;66401311&lt;/_modified&gt;&lt;_impact_factor&gt;   2.000&lt;/_impact_factor&gt;&lt;_social_category&gt;心脏和心血管系统(4)&lt;/_social_category&gt;&lt;_collection_scope&gt;SCIE&lt;/_collection_scope&gt;&lt;/Details&gt;&lt;Extra&gt;&lt;DBUID&gt;{0595FEED-06EC-4465-A92A-123F8040CA41}&lt;/DBUID&gt;&lt;/Extra&gt;&lt;/Item&gt;&lt;/References&gt;&lt;/Group&gt;&lt;/Citation&gt;_x000a_"/>
    <w:docVar w:name="NE.Ref{56AFBBBD-4FE6-4FDC-8B4C-AB53D5A89041}" w:val=" ADDIN NE.Ref.{56AFBBBD-4FE6-4FDC-8B4C-AB53D5A89041}&lt;Citation&gt;&lt;Group&gt;&lt;References&gt;&lt;Item&gt;&lt;ID&gt;2609&lt;/ID&gt;&lt;UID&gt;{D192E95A-19C7-4121-BFCB-A8712DA52566}&lt;/UID&gt;&lt;Title&gt;Stress-induced hyperglycemia&lt;/Title&gt;&lt;Template&gt;Journal Article&lt;/Template&gt;&lt;Star&gt;0&lt;/Star&gt;&lt;Tag&gt;0&lt;/Tag&gt;&lt;Author&gt;McCowen, K C; Malhotra, A; Bistrian, B R&lt;/Author&gt;&lt;Year&gt;2001&lt;/Year&gt;&lt;Details&gt;&lt;_accession_num&gt;11219223&lt;/_accession_num&gt;&lt;_author_adr&gt;Departments of Medicine, Beth Israel Deaconess Medical Center, Boston,  Massachusetts, USA. KMcCowen@caregroup.harvard.edu&lt;/_author_adr&gt;&lt;_collection_scope&gt;SCIE&lt;/_collection_scope&gt;&lt;_created&gt;66401339&lt;/_created&gt;&lt;_date&gt;2001-01-01&lt;/_date&gt;&lt;_date_display&gt;2001 Jan&lt;/_date_display&gt;&lt;_doi&gt;10.1016/s0749-0704(05)70154-8&lt;/_doi&gt;&lt;_impact_factor&gt;   3.000&lt;/_impact_factor&gt;&lt;_isbn&gt;0749-0704 (Print); 0749-0704 (Linking)&lt;/_isbn&gt;&lt;_issue&gt;1&lt;/_issue&gt;&lt;_journal&gt;Crit Care Clin&lt;/_journal&gt;&lt;_language&gt;eng&lt;/_language&gt;&lt;_modified&gt;66401436&lt;/_modified&gt;&lt;_number&gt;33&lt;/_number&gt;&lt;_pages&gt;107-24&lt;/_pages&gt;&lt;_social_category&gt;危重病医学(4)&lt;/_social_category&gt;&lt;_subject_headings&gt;Glucose/metabolism; Humans; Hyperglycemia/complications/epidemiology/*etiology/physiopathology/prevention &amp;amp; _x000d__x000a_      control; Insulin/therapeutic use; Insulin Resistance; Intensive Care Units; Risk Factors; Stress, Physiological/*complications&lt;/_subject_headings&gt;&lt;_tertiary_title&gt;Critical care clinics&lt;/_tertiary_title&gt;&lt;_type_work&gt;Journal Article; Review&lt;/_type_work&gt;&lt;_url&gt;http://www.ncbi.nlm.nih.gov/entrez/query.fcgi?cmd=Retrieve&amp;amp;db=pubmed&amp;amp;dopt=Abstract&amp;amp;list_uids=11219223&amp;amp;query_hl=1&lt;/_url&gt;&lt;_volume&gt;17&lt;/_volume&gt;&lt;/Details&gt;&lt;Extra&gt;&lt;DBUID&gt;{0595FEED-06EC-4465-A92A-123F8040CA41}&lt;/DBUID&gt;&lt;/Extra&gt;&lt;/Item&gt;&lt;/References&gt;&lt;/Group&gt;&lt;Group&gt;&lt;References&gt;&lt;Item&gt;&lt;ID&gt;2621&lt;/ID&gt;&lt;UID&gt;{1048638D-17BC-4E80-A23E-9C0026E6C5A5}&lt;/UID&gt;&lt;Title&gt;Lactic Acidosis&lt;/Title&gt;&lt;Template&gt;Journal Article&lt;/Template&gt;&lt;Star&gt;0&lt;/Star&gt;&lt;Tag&gt;0&lt;/Tag&gt;&lt;Author&gt;Kraut, Jeffrey A; Madias, Nicolaos E&lt;/Author&gt;&lt;Year&gt;2014&lt;/Year&gt;&lt;Details&gt;&lt;_accessed&gt;66401362&lt;/_accessed&gt;&lt;_accession_num&gt;25494270&lt;/_accession_num&gt;&lt;_collection_scope&gt;SCIE&lt;/_collection_scope&gt;&lt;_created&gt;66401351&lt;/_created&gt;&lt;_date&gt;60454080&lt;/_date&gt;&lt;_date_display&gt;2014 Dec 11&lt;/_date_display&gt;&lt;_db_updated&gt;CrossRef&lt;/_db_updated&gt;&lt;_doi&gt;10.1056/NEJMra1309483&lt;/_doi&gt;&lt;_impact_factor&gt;  96.300&lt;/_impact_factor&gt;&lt;_isbn&gt;0028-4793&lt;/_isbn&gt;&lt;_issue&gt;24&lt;/_issue&gt;&lt;_journal&gt;New England Journal of Medicine&lt;/_journal&gt;&lt;_language&gt;eng&lt;/_language&gt;&lt;_modified&gt;66401436&lt;/_modified&gt;&lt;_number&gt;44&lt;/_number&gt;&lt;_pages&gt;2309-2319&lt;/_pages&gt;&lt;_social_category&gt;医学：内科(1)&lt;/_social_category&gt;&lt;_subject_headings&gt;Acid-Base Equilibrium; *Acidosis, Lactic/diagnosis/etiology/metabolism/therapy; Fluid Therapy; Humans; Hyperlactatemia/metabolism; Lactic Acid/*metabolism; Prognosis; Sodium Bicarbonate/therapeutic use&lt;/_subject_headings&gt;&lt;_tertiary_title&gt;N Engl J Med&lt;/_tertiary_title&gt;&lt;_type_work&gt;Journal Article; Review&lt;/_type_work&gt;&lt;_url&gt;http://www.nejm.org/doi/10.1056/NEJMra1309483_x000d__x000a_http://www.nejm.org/doi/pdf/10.1056/NEJMra1309483&lt;/_url&gt;&lt;_volume&gt;371&lt;/_volume&gt;&lt;/Details&gt;&lt;Extra&gt;&lt;DBUID&gt;{0595FEED-06EC-4465-A92A-123F8040CA41}&lt;/DBUID&gt;&lt;/Extra&gt;&lt;/Item&gt;&lt;/References&gt;&lt;/Group&gt;&lt;/Citation&gt;_x000a_"/>
    <w:docVar w:name="NE.Ref{5A61FC18-B577-499E-9497-A718139FE671}" w:val=" ADDIN NE.Ref.{5A61FC18-B577-499E-9497-A718139FE671}&lt;Citation&gt;&lt;Group&gt;&lt;References&gt;&lt;Item&gt;&lt;ID&gt;2741&lt;/ID&gt;&lt;UID&gt;{02BAFDFC-9651-4894-88FA-E44B7C0C828B}&lt;/UID&gt;&lt;Title&gt;Myocardial ischaemia–reperfusion injury and cardioprotection in perspective&lt;/Title&gt;&lt;Template&gt;Journal Article&lt;/Template&gt;&lt;Star&gt;0&lt;/Star&gt;&lt;Tag&gt;0&lt;/Tag&gt;&lt;Author&gt;Heusch, Gerd&lt;/Author&gt;&lt;Year&gt;2020&lt;/Year&gt;&lt;Details&gt;&lt;_accessed&gt;66402468&lt;/_accessed&gt;&lt;_accession_num&gt;32620851&lt;/_accession_num&gt;&lt;_author_adr&gt;Institute for Pathophysiology, West German Heart and Vascular Center, University  of Duisburg-Essen, Essen, Germany. gerd.heusch@uk-essen.de.&lt;/_author_adr&gt;&lt;_collection_scope&gt;SCIE&lt;/_collection_scope&gt;&lt;_created&gt;66402445&lt;/_created&gt;&lt;_date&gt;63113760&lt;/_date&gt;&lt;_date_display&gt;2020&lt;/_date_display&gt;&lt;_db_updated&gt;PKU Search&lt;/_db_updated&gt;&lt;_doi&gt;10.1038/s41569-020-0403-y&lt;/_doi&gt;&lt;_impact_factor&gt;  41.700&lt;/_impact_factor&gt;&lt;_isbn&gt;1759-5002;1759-5010;&lt;/_isbn&gt;&lt;_issue&gt;12&lt;/_issue&gt;&lt;_journal&gt;Nature reviews cardiology&lt;/_journal&gt;&lt;_keywords&gt;692/308; 692/4019/592/75/2; Cardiac Imaging; Cardiac Surgery; Cardiology; Cardiovascular research; Care and treatment; Cellular signal transduction; Complications and side effects; Development and progression; Heart attack; Heart attacks; Humans; Ischemia; Medicine; Medicine &amp;amp; Public Health; Myocardial ischemia; Myocardial Reperfusion Injury - prevention &amp;amp; control; Non-pharmacological intervention; Pathophysiology; Reperfusion injury; Review Article; Risk factors; Signal transduction; Vasomotor conditioning&lt;/_keywords&gt;&lt;_language&gt;eng&lt;/_language&gt;&lt;_modified&gt;66402468&lt;/_modified&gt;&lt;_number&gt;46&lt;/_number&gt;&lt;_ori_publication&gt;Nature Publishing Group UK&lt;/_ori_publication&gt;&lt;_pages&gt;773-789&lt;/_pages&gt;&lt;_place_published&gt;London&lt;/_place_published&gt;&lt;_social_category&gt;心脏和心血管系统(1)&lt;/_social_category&gt;&lt;_subject_headings&gt;Humans; *Myocardial Reperfusion Injury/prevention &amp;amp; control&lt;/_subject_headings&gt;&lt;_tertiary_title&gt;Nature reviews. Cardiology&lt;/_tertiary_title&gt;&lt;_type_work&gt;Journal Article; Research Support, Non-U.S. Gov&amp;apos;t; Review&lt;/_type_work&gt;&lt;_url&gt;https://go.exlibris.link/tsC8F2vH&lt;/_url&gt;&lt;_volume&gt;17&lt;/_volume&gt;&lt;/Details&gt;&lt;Extra&gt;&lt;DBUID&gt;{0595FEED-06EC-4465-A92A-123F8040CA41}&lt;/DBUID&gt;&lt;/Extra&gt;&lt;/Item&gt;&lt;/References&gt;&lt;/Group&gt;&lt;/Citation&gt;_x000a_"/>
    <w:docVar w:name="NE.Ref{5AB4B36E-69C8-4D55-84C7-B8AC1C07C52F}" w:val=" ADDIN NE.Ref.{5AB4B36E-69C8-4D55-84C7-B8AC1C07C52F}&lt;Citation&gt;&lt;Group&gt;&lt;References&gt;&lt;Item&gt;&lt;ID&gt;2726&lt;/ID&gt;&lt;UID&gt;{D3CD03FE-2081-4F5D-BD87-BD6839646F8B}&lt;/UID&gt;&lt;Title&gt;Stress hyperglycemia ratio predicts outcome in stroke patients without diabetes and builds a nomogram: a multi-center retrospective cohort study in a Chinese population&lt;/Title&gt;&lt;Template&gt;Journal Article&lt;/Template&gt;&lt;Star&gt;0&lt;/Star&gt;&lt;Tag&gt;0&lt;/Tag&gt;&lt;Author&gt;Yao, Manjuan; Hu, Shiyu; Li, Shaoling; Liao, Yuqi; Ren, Lijie&lt;/Author&gt;&lt;Year&gt;2026&lt;/Year&gt;&lt;Details&gt;&lt;_accessed&gt;66402459&lt;/_accessed&gt;&lt;_accession_num&gt;41540480&lt;/_accession_num&gt;&lt;_author_adr&gt;Department of Neurology, Shenzhen University First Affiliated Hospital, Shenzhen  Second People&amp;apos;s Hospital, No. 3002 Sungang West Road, Shenzhen, 518035, China.; Shenzhen University School of Medicine, Shenzhen, China.; Department of Neurology, Shenzhen University First Affiliated Hospital, Shenzhen  Second People&amp;apos;s Hospital, No. 3002 Sungang West Road, Shenzhen, 518035, China.; Department of Neurology, Shenzhen University First Affiliated Hospital, Shenzhen  Second People&amp;apos;s Hospital, No. 3002 Sungang West Road, Shenzhen, 518035, China.; Shenzhen University School of Medicine, Shenzhen, China.; Department of Neurology, Shenzhen University First Affiliated Hospital, Shenzhen  Second People&amp;apos;s Hospital, No. 3002 Sungang West Road, Shenzhen, 518035, China.; Shenzhen University School of Medicine, Shenzhen, China.; Department of Neurology, Shenzhen University First Affiliated Hospital, Shenzhen  Second People&amp;apos;s Hospital, No. 3002 Sungang West Road, Shenzhen, 518035, China.  13631605966@126.com.; Quality Control Center for Nervous System Diseases of Shenzhen, Shenzhen, China.  13631605966@126.com.&lt;/_author_adr&gt;&lt;_collection_scope&gt;SCIE&lt;/_collection_scope&gt;&lt;_created&gt;66401474&lt;/_created&gt;&lt;_date&gt;66290400&lt;/_date&gt;&lt;_date_display&gt;2026 Jan 15&lt;/_date_display&gt;&lt;_db_updated&gt;CrossRef&lt;/_db_updated&gt;&lt;_doi&gt;10.1186/s40001-025-03811-w&lt;/_doi&gt;&lt;_impact_factor&gt;   2.800&lt;/_impact_factor&gt;&lt;_isbn&gt;2047-783X&lt;/_isbn&gt;&lt;_issue&gt;1&lt;/_issue&gt;&lt;_journal&gt;European Journal of Medical Research&lt;/_journal&gt;&lt;_keywords&gt;Acute ischemic stroke; Nomogram; Non-diabetic; Prognosis; Stress hyperglycemia ratio&lt;/_keywords&gt;&lt;_language&gt;eng&lt;/_language&gt;&lt;_modified&gt;66402459&lt;/_modified&gt;&lt;_number&gt;32&lt;/_number&gt;&lt;_ori_publication&gt;© 2026. The Author(s).&lt;/_ori_publication&gt;&lt;_pages&gt;272&lt;/_pages&gt;&lt;_social_category&gt;医学：研究与实验(4)&lt;/_social_category&gt;&lt;_subject_headings&gt;Humans; *Nomograms; Male; Female; *Hyperglycemia/blood/epidemiology/complications; Retrospective Studies; Middle Aged; Aged; Prognosis; Blood Glucose/analysis; China/epidemiology; Glycated Hemoglobin/analysis; *Stroke/blood; Diabetes Mellitus/blood; East Asian People&lt;/_subject_headings&gt;&lt;_tertiary_title&gt;Eur J Med Res&lt;/_tertiary_title&gt;&lt;_type_work&gt;Journal Article; Multicenter Study&lt;/_type_work&gt;&lt;_url&gt;https://link.springer.com/10.1186/s40001-025-03811-w_x000d__x000a_https://link.springer.com/content/pdf/10.1186/s40001-025-03811-w.pdf&lt;/_url&gt;&lt;_volume&gt;31&lt;/_volume&gt;&lt;/Details&gt;&lt;Extra&gt;&lt;DBUID&gt;{0595FEED-06EC-4465-A92A-123F8040CA41}&lt;/DBUID&gt;&lt;/Extra&gt;&lt;/Item&gt;&lt;/References&gt;&lt;/Group&gt;&lt;Group&gt;&lt;References&gt;&lt;Item&gt;&lt;ID&gt;2739&lt;/ID&gt;&lt;UID&gt;{72DCD028-D0A5-41BE-934C-9F2390826C3C}&lt;/UID&gt;&lt;Title&gt;Stress Hyperglycemia and Prognosis of Stroke in Nondiabetic and Diabetic Patients&lt;/Title&gt;&lt;Template&gt;Journal Article&lt;/Template&gt;&lt;Star&gt;0&lt;/Star&gt;&lt;Tag&gt;0&lt;/Tag&gt;&lt;Author&gt;Capes, Sarah E; Hunt, Dereck; Malmberg, Klas; Pathak, Parbeen; Gerstein, Hertzel C&lt;/Author&gt;&lt;Year&gt;2001&lt;/Year&gt;&lt;Details&gt;&lt;_accessed&gt;66402460&lt;/_accessed&gt;&lt;_accession_num&gt;11588337&lt;/_accession_num&gt;&lt;_author_adr&gt;Department of Medicine, McMaster University, Hamilton, Ontario, Canada.  scapes@mcmaster.ca&lt;/_author_adr&gt;&lt;_collection_scope&gt;SCIE&lt;/_collection_scope&gt;&lt;_created&gt;66402444&lt;/_created&gt;&lt;_date&gt;2001-10-01&lt;/_date&gt;&lt;_date_display&gt;2001 Oct&lt;/_date_display&gt;&lt;_db_updated&gt;CrossRef&lt;/_db_updated&gt;&lt;_doi&gt;10.1161/hs1001.096194&lt;/_doi&gt;&lt;_impact_factor&gt;   7.900&lt;/_impact_factor&gt;&lt;_isbn&gt;0039-2499&lt;/_isbn&gt;&lt;_issue&gt;10&lt;/_issue&gt;&lt;_journal&gt;Stroke&lt;/_journal&gt;&lt;_language&gt;eng&lt;/_language&gt;&lt;_modified&gt;66402460&lt;/_modified&gt;&lt;_number&gt;44&lt;/_number&gt;&lt;_pages&gt;2426-2432&lt;/_pages&gt;&lt;_social_category&gt;临床神经病学(1) &amp;amp; 外周血管病(1)&lt;/_social_category&gt;&lt;_subject_headings&gt;Blood Glucose; Diabetes Complications; *Diabetes Mellitus/blood; Hospital Mortality; Humans; Hyperglycemia/blood/*diagnosis/etiology; Predictive Value of Tests; Prognosis; Risk; Risk Assessment; *Stress, Physiological/blood/complications; Stroke/blood/complications/*diagnosis; Survival Rate&lt;/_subject_headings&gt;&lt;_tertiary_title&gt;Stroke&lt;/_tertiary_title&gt;&lt;_type_work&gt;Journal Article; Meta-Analysis; Systematic Review&lt;/_type_work&gt;&lt;_url&gt;https://www.ahajournals.org/doi/10.1161/hs1001.096194_x000d__x000a_https://www.ahajournals.org/doi/full/10.1161/hs1001.096194&lt;/_url&gt;&lt;_volume&gt;32&lt;/_volume&gt;&lt;/Details&gt;&lt;Extra&gt;&lt;DBUID&gt;{0595FEED-06EC-4465-A92A-123F8040CA41}&lt;/DBUID&gt;&lt;/Extra&gt;&lt;/Item&gt;&lt;/References&gt;&lt;/Group&gt;&lt;/Citation&gt;_x000a_"/>
    <w:docVar w:name="NE.Ref{5B423700-1412-475F-AFF6-82D0E87C184A}" w:val=" ADDIN NE.Ref.{5B423700-1412-475F-AFF6-82D0E87C184A}&lt;Citation&gt;&lt;Group&gt;&lt;References&gt;&lt;Item&gt;&lt;ID&gt;2572&lt;/ID&gt;&lt;UID&gt;{B998AB83-78A0-4364-A19E-70A910B5D345}&lt;/UID&gt;&lt;Title&gt;Global burden of 288 causes of death and life expectancy decomposition in 204 countries and territories and 811 subnational locations, 1990–2021: a systematic analysis for the Global Burden of Disease Study 2021&lt;/Title&gt;&lt;Template&gt;Journal Article&lt;/Template&gt;&lt;Star&gt;0&lt;/Star&gt;&lt;Tag&gt;0&lt;/Tag&gt;&lt;Author&gt;Naghavi, Mohsen; Ong, Kanyin Liane; Aali, Amirali; Ababneh, Hazim S; Abate, Yohannes Habtegiorgis; Abbafati, Cristiana; Abbasgholizadeh, Rouzbeh; Abbasian, Mohammadreza; Abbasi-Kangevari, Mohsen; Abbastabar, Hedayat; Abd ElHafeez, Samar; Abdelmasseh, Michael; Abd-Elsalam, Sherief; Abdelwahab, Ahmed; Abdollahi, Mohammad; Abdollahifar, Mohammad-Amin; Abdoun, Meriem; Abdulah, Deldar Morad; Abdullahi, Auwal; Abebe, Mesfin; Abebe, Samrawit Shawel; Abedi, Aidin; Abegaz, Kedir Hussein; Abhilash, E S; Abidi, Hassan; Abiodun, Olumide; Aboagye, Richard Gyan; Abolhassani, Hassan; Abolmaali, Meysam; Abouzid, Mohamed; Aboye, Girma Beressa; Abreu, Lucas Guimarães; Abrha, Woldu Aberhe; Abtahi, Dariush; Abu Rumeileh, Samir; Abualruz, Hasan; Abubakar, Bilyaminu; Abu-Gharbieh, Eman; Abu-Rmeileh, Niveen ME; Aburuz, Salahdein; Abu-Zaid, Ahmed; Accrombessi, Manfred Mario Kokou; Adal, Tadele Girum; Adamu, Abdu A; Addo, Isaac Yeboah; Addolorato, Giovanni; Adebiyi, Akindele Olupelumi; Adekanmbi, Victor; Adepoju, Abiola Victor; Adetunji, Charles Oluwaseun; Adetunji, Juliana Bunmi; Adeyeoluwa, Temitayo Esther; Adeyinka, Daniel Adedayo; Adeyomoye, Olorunsola Israel; Admass, Biruk Adie Adie; Adnani, Qorinah Estiningtyas Sakilah; Adra, Saryia; Afolabi, Aanuoluwapo Adeyimika; Afzal, Muhammad Sohail; Afzal, Saira; Agampodi, Suneth Buddhika; Agasthi, Pradyumna; Aggarwal, Manik; Aghamiri, Shahin; Agide, Feleke Doyore; Agodi, Antonella; Agrawal, Anurag; Agyemang-Duah, Williams; Ahinkorah, Bright Opoku; Ahmad, Aqeel; Ahmad, Danish; Ahmad, Firdos; Ahmad, Muayyad M; Ahmad, Sajjad; Ahmad, Shahzaib; Ahmad, Tauseef; Ahmadi, Keivan; Ahmadzade, Amir Mahmoud; Ahmed, Ali; Ahmed, Ayman; Ahmed, Haroon; Ahmed, Luai A; Ahmed, Mehrunnisha Sharif; Ahmed, Meqdad Saleh; Ahmed, Muktar Beshir; Ahmed, Syed Anees; Ajami, Marjan; Aji, Budi; Akara, Essona Matatom; Akbarialiabad, Hossein; Akinosoglou, Karolina; Akinyemiju, Tomi; Akkaif, Mohammed Ahmed; Akyirem, Samuel; Al Hamad, Hanadi; Al Hasan, Syed Mahfuz; Alahdab, Fares; Alalalmeh, Samer O; Alalwan, Tariq A; Al-Aly, Ziyad; Alam, Khurshid; Alam, Manjurul; Alam, Noore; Al-amer, Rasmieh Mustafa; Alanezi, Fahad Mashhour; Alanzi, Turki M; Al-Azzam, Sayer; Albakri, Almaza; Albashtawy, Mohammed; AlBataineh, Mohammad T; Alcalde-Rabanal, Jacqueline Elizabeth; Aldawsari, Khalifah A; Aldhaleei, Wafa A; Aldridge, Robert W; Alema, Haileselasie Berhane; Alemayohu, Mulubirhan Assefa; Alemi, Sharifullah; Alemu, Yihun Mulugeta; Al-Gheethi, Adel Ali Saeed; Alhabib, Khalid F; Alhalaiqa, Fadwa Alhalaiqa Naji; Al-Hanawi, Mohammed Khaled; Ali, Abid; Ali, Amjad; Ali, Liaqat; Ali, Mohammed Usman; Ali, Rafat; Ali, Shahid; Ali, Syed Shujait Shujait; Alicandro, Gianfranco; Alif, Sheikh Mohammad; Alikhani, Reyhaneh; Alimohamadi, Yousef; Aliyi, Ahmednur Adem; Aljasir, Mohammad A M; Aljunid, Syed Mohamed; Alla, François; Allebeck, Peter; Al-Marwani, Sabah; Al-Maweri, Sadeq Ali Ali; Almazan, Joseph Uy; Al-Mekhlafi, Hesham M; Almidani, Louay; Almidani, Omar; Alomari, Mahmoud A; Al-Omari, Basem; Alonso, Jordi; Alqahtani, Jaber S; Alqalyoobi, Shehabaldin; Alqutaibi, Ahmed Yaseen; Al-Sabah, Salman Khalifah; Altaany, Zaid; Altaf, Awais; Al-Tawfiq, Jaffar A; Altirkawi, Khalid A; Aluh, Deborah Oyine; Alvis-Guzman, Nelson; Alwafi, Hassan; Al-Worafi, Yaser Mohammed; Aly, Hany; Aly, Safwat; Alzoubi, Karem H; Amani, Reza; Amare, Azmeraw T; Amegbor, Prince M; Ameyaw, Edward Kwabena; Amin, Tarek Tawfik; Amindarolzarbi, Alireza; Amiri, Sohrab; Amirzade-Iranaq, Mohammad Hosein; Amu, Hubert; Amugsi, Dickson A; Amusa, Ganiyu Adeniyi; Ancuceanu, Robert; Anderlini, Deanna; Anderson, David B; Andrade, Pedro Prata; Andrei, Catalina Liliana; Andrei, Tudorel; Angus, Colin; Anil, Abhishek; Anil, Sneha; Anoushiravani, Amir; Ansari, Hossein; Ansariadi, Ansariadi; Ansari-Moghaddam, Alireza; Antony, Catherine M; Antriyandarti, Ernoiz; Anvari, Davood; Anvari, Saeid; Anwar, Saleha; Anwar, Sumadi Lukman; Anwer, Razique; Anyasodor, Anayochukwu Edward; Aqeel, Muhammad; Arab, Juan Pablo; Arabloo, Jalal; Arafat, Mosab; Aravkin, Aleksandr Y; Areda, Demelash; Aremu, Abdulfatai; Aremu, Olatunde; Ariffin, Hany; Arkew, Mesay; Armocida, Benedetta; Arndt, Michael Benjamin; Ärnlöv, Johan; Arooj, Mahwish; Artamonov, Anton A; Arulappan, Judie; Aruleba, Raphael Taiwo; Arumugam, Ashokan; Asaad, Malke; Asadi-Lari, Mohsen; Asgedom, Akeza Awealom; Asghariahmadabad, Mona; Asghari-Jafarabadi, Mohammad; Ashraf, Muhammad; Aslani, Armin; Astell-Burt, Thomas; Athar, Mohammad; Athari, Seyyed Shamsadin; Atinafu, Bantalem Tilaye Tilaye; Atlaw, Habtamu Wondmagegn; Atorkey, Prince; Atout, Maha Moh&amp;apos;d Wahbi; Atreya, Alok; Aujayeb, Avinash; Ausloos, Marcel; Avan, Abolfazl; Awedew, Atalel Fentahun; Aweke, Amlaku Mulat; Ayala Quintanilla, Beatriz Paulina; Ayatollahi, Haleh; Ayuso-Mateos, Jose L; Ayyoubzadeh, Seyed Mohammad; Azadnajafabad, Sina; Azevedo, Rui M S; Azzam, Ahmed Y; B, Darshan B; Babu, Abraham Samuel; Badar, Muhammad; Badiye, Ashish D; Baghdadi, Soroush; Bagheri, Nasser; Bagherieh, Sara; Bah, Sulaiman; Bahadorikhalili, Saeed; Bahmanziari, Najmeh; Bai, Ruhai; Baig, Atif Amin; Baker, Jennifer L; Bako, Abdulaziz T; Bakshi, Ravleen Kaur; Balakrishnan, Senthilkumar; Balasubramanian, Madhan; Baltatu, Ovidiu Constantin; Bam, Kiran; Banach, Maciej; Bandyopadhyay, Soham; Banik, Palash Chandra; Bansal, Hansi; Bansal, Kannu; Barbic, Franca; Barchitta, Martina; Bardhan, Mainak; Bardideh, Erfan; Barker-Collo, Suzanne Lyn; Bärnighausen, Till Winfried; Barone-Adesi, Francesco; Barqawi, Hiba Jawdat; Barrero, Lope H; Barrow, Amadou; Barteit, Sandra; Barua, Lingkan; Basharat, Zarrin; Bashiri, Azadeh; Basiru, Afisu; Baskaran, Pritish; Basnyat, Buddha; Bassat, Quique; Basso, João Diogo; Basting, Ann V L; Basu, Sanjay; Batra, Kavita; Baune, Bernhard T; Bayati, Mohsen; Bayileyegn, Nebiyou Simegnew; Beaney, Thomas; Bedi, Neeraj; Beghi, Massimiliano; Behboudi, Emad; Behera, Priyamadhaba; Behnoush, Amir Hossein; Behzadifar, Masoud; Beiranvand, Maryam; Bejarano Ramirez, Diana Fernanda; Béjot, Yannick; Belay, Sefealem Assefa; Belete, Chalie Mulu; Bell, Michelle L; Bello, Muhammad Bashir; Bello, Olorunjuwon Omolaja; Belo, Luis; Beloukas, Apostolos; Bender, Rose Grace; Bensenor, Isabela M; Beran, Azizullah; Berezvai, Zombor; Berhie, Alemshet Yirga; Berice, Betyna N; Bernstein, Robert S; Bertolacci, Gregory J; Bettencourt, Paulo J G; Beyene, Kebede A; Bhagat, Devidas S; Bhagavathula, Akshaya Srikanth; Bhala, Neeraj; Bhalla, Ashish; Bhandari, Dinesh; Bhangdia, Kayleigh; Bhardwaj, Nikha; Bhardwaj, Pankaj; Bhardwaj, Prarthna V; Bhargava, Ashish; Bhaskar, Sonu; Bhat, Vivek; Bhatti, Gurjit Kaur; Bhatti, Jasvinder Singh; Bhatti, Manpreet S; Bhatti, Rajbir; Bhutta, Zulfiqar A; Bikbov, Boris; Bishai, Jessica Devin; Bisignano, Catherine; Bisulli, Francesca; Biswas, Atanu; Biswas, Bijit; Bitaraf, Saeid; Bitew, Bikes Destaw; Bitra, Veera R; Bjørge, Tone; Boachie, Micheal Kofi; Boampong, Mary Sefa; Bobirca, Anca Vasilica; Bodolica, Virginia; Bodunrin, Aadam Olalekan; Bogale, Eyob Ketema; Bogale, Kassawmar Angaw; Bohlouli, Somayeh; Bolarinwa, Obasanjo Afolabi; Boloor, Archith; Bonakdar Hashemi, Milad; Bonny, Aime; Bora, Kaustubh; Bora Basara, Berrak; Borhany, Hamed; Borzutzky, Arturo; Bouaoud, Souad; Boustany, Antoine; Boxe, Christopher; Boyko, Edward J; Brady, Oliver J; Braithwaite, Dejana; Brant, Luisa C; Brauer, Michael; Brazinova, Alexandra; Brazo-Sayavera, Javier; Breitborde, Nicholas J K; Breitner, Susanne; Brenner, Hermann; Briko, Andrey Nikolaevich; Briko, Nikolay Ivanovich; Britton, Gabrielle; Brown, Julie; Brugha, Traolach; Bulamu, Norma B; Bulto, Lemma N; Buonsenso, Danilo; Burns, Richard A; Busse, Reinhard; Bustanji, Yasser; Butt, Nadeem Shafique; Butt, Zahid A; Caetano Dos Santos, Florentino Luciano; Calina, Daniela; Cámera, Luis Alberto; Campos, Luciana Aparecida; Campos-Nonato, Ismael R; Cao, Chao; Cao, Yin; Capodici, Angelo; Cárdenas, Rosario; Carr, Sinclair; Carreras, Giulia; Carrero, Juan J; Carugno, Andrea; Carvalheiro, Cristina G; Carvalho, Felix; Carvalho, Márcia; Castaldelli-Maia, Joao Mauricio; Castañeda-Orjuela, Carlos A; Castelpietra, Giulio; Catalá-López, Ferrán; Catapano, Alberico L; Cattaruzza, Maria Sofia; Cederroth, Christopher R; Cegolon, Luca; Cembranel, Francieli; Cenderadewi, Muthia; Cercy, Kelly M; Cerin, Ester; Cevik, Muge; Chadwick, Joshua; Chahine, Yaacoub; Chakraborty, Chiranjib; Chakraborty, Promit Ananyo; Chan, Jeffrey Shi Kai; Chan, Raymond N C; Chandika, Rama Mohan; Chandrasekar, Eeshwar K; Chang, Chin-Kuo; Chang, Jung-Chen; Chanie, Gashaw Sisay; Charalampous, Periklis; Chattu, Vijay Kumar; Chaturvedi, Pankaj; Chatzimavridou-Grigoriadou, Victoria; Chaurasia, Akhilanand; Chen, Angela W; Chen, An-Tian; Chen, Catherine S; Chen, Haowei; Chen, Meng Xuan; Chen, Simiao; Cheng, Ching-Yu; Cheng, Esther T W; Cherbuin, Nicolas; Cheru, Wondimye Ashenafi; Chien, Ju-Huei; Chimed-Ochir, Odgerel; Chimoriya, Ritesh; Ching, Patrick R; Chirinos-Caceres, Jesus Lorenzo; Chitheer, Abdulaal; Cho, William C S; Chong, Bryan; Chopra, Hitesh; Choudhari, Sonali Gajanan; Chowdhury, Rajiv; Christopher, Devasahayam J; Chukwu, Isaac Sunday; Chung, Eric; Chung, Erin; Chung, Eunice; Chung, Sheng-Chia; Chutiyami, Muhammad; Cindi, Zinhle; Cioffi, Iolanda; Claassens, Mareli M; Claro, Rafael M; Coberly, Kaleb; Cogen, Rebecca M; Columbus, Alyssa; Comfort, Haley; Conde, Joao; Cortese, Samuele; Cortesi, Paolo Angelo; Costa, Vera Marisa; Costanzo, Simona; Cousin, Ewerton; Couto, Rosa A S; Cowden, Richard G; Cramer, Kenneth Michael; Criqui, Michael H; Cruz-Martins, Natália; Cuadra-Hernández, Silvia Magali; Culbreth, Garland T; Cullen, Patricia; Cunningham, Matthew; Curado, Maria Paula; Dadana, Sriharsha; Dadras, Omid; Dai, Siyu; Dai, Xiaochen; Dai, Zhaoli; Dalli, Lachlan L; Damiani, Giovanni; Darega Gela, Jiregna; Das, Jai K; Das, Saswati; Das, Subasish; Dascalu, Ana Maria; Dash, Nihar Ranjan; Dashti, Mohsen; Dastiridou, Anna; Davey, Gail; Dávila-Cervantes, Claudio Alberto; Davis Weaver, Nicole; Davletov, Kairat; De Leo, Diego; de Luca, Katie; Debele, Aklilu Tamire; Debopadhaya, Shayom; Degenhardt, Louisa; Dehghan, Azizallah; Deitesfeld, Lee; Del Bo&amp;apos;, Cristian; Delgado-Enciso, Ivan; Demessa, Berecha Hundessa; Demetriades, Andreas K; Deng, Ke; Deng, Xinlei; Denova-Gutiérrez, Edgar; Deravi, Niloofar; Dereje, Nebiyu; Dervenis, Nikolaos; Dervišević, Emina; Des Jarlais, Don C; Desai, Hardik Dineshbhai; Desai, Rupak; Devanbu, Vinoth Gnana Chellaiyan; Dewan, Syed Masudur Rahman; Dhali, Arkadeep; Dhama, Kuldeep; Dhimal, Meghnath; Dhingra, Sameer; Dhulipala, Vishal R; Dias Da Silva, Diana; Diaz, Daniel; Diaz, Michael J; Dima, Adriana; Ding, Delaney D; Ding, Huanghe; Dinis-Oliveira, Ricardo Jorge; Dirac, M Ashworth; Djalalinia, Shirin; Do, Thao Huynh Phuong; Do Prado, Camila Bruneli; Doaei, Saeid; Dodangeh, Masoud; Dodangeh, Milad; Dohare, Sushil; Dokova, Klara Georgieva; Dolecek, Christiane; Dominguez, Regina-Mae Villanueva; Dong, Wanyue; Dongarwar, Deepa; D&amp;apos;Oria, Mario; Dorostkar, Fariba; Dorsey, E Ray; Dos Santos, Wendel Mombaque; Doshi, Rajkumar; Doshmangir, Leila; Dowou, Robert Kokou; Driscoll, Tim Robert; Dsouza, Haneil Larson; Dsouza, Viola; Du, Mi; Dube, John; Duncan, Bruce B; Duraes, Andre Rodrigues; Duraisamy, Senbagam; Durojaiye, Oyewole Christopher; Dwyer-Lindgren, Laura; Dzianach, Paulina Agnieszka; Dziedzic, Arkadiusz Marian; E&amp;apos;Mar, Abdel Rahman; Eboreime, Ejemai; Ebrahimi, Alireza; Echieh, Chidiebere Peter; Edinur, Hisham Atan; Edvardsson, David; Edvardsson, Kristina; Efendi, Defi; Efendi, Ferry; Effendi, Diyan Ermawan; Eikemo, Terje Andreas; Eini, Ebrahim; Ekholuenetale, Michael; Ekundayo, Temitope Cyrus; El Sayed, Iman; Elbarazi, Iffat; Elema, Teshome Bekele; Elemam, Noha Mousaad; Elgar, Frank J; Elgendy, Islam Y; ElGohary, Ghada Metwally Tawfik; Elhabashy, Hala Rashad; Elhadi, Muhammed; El-Huneidi, Waseem; Elilo, Legesse Tesfaye; Elmeligy, Omar Abdelsadek Abdou; Elmonem, Mohamed A; Elshaer, Mohammed; Elsohaby, Ibrahim; Emeto, Theophilus I; Engelbert Bain, Luchuo; Erkhembayar, Ryenchindorj; Esezobor, Christopher Imokhuede; Eshrati, Babak; Eskandarieh, Sharareh; Espinosa-Montero, Juan; Esubalew, Habtamu; Etaee, Farshid; Fabin, Natalia; Fadaka, Adewale Oluwaseun; Fagbamigbe, Adeniyi Francis; Fahim, Ayesha; Fahimi, Saman; Fakhri-Demeshghieh, Aliasghar; Falzone, Luca; Fareed, Mohammad; Farinha, Carla Sofia E Sá; Faris, MoezAlIslam Ezzat Mahmoud; Faris, Pawan Sirwan; Faro, Andre; Fasanmi, Abidemi Omolara; Fatehizadeh, Ali; Fattahi, Hamed; Fauk, Nelsensius Klau; Fazeli, Pooria; Feigin, Valery L; Feizkhah, Alireza; Fekadu, Ginenus; Feng, Xiaoru; Fereshtehnejad, Seyed-Mohammad; Feroze, Abdullah Hamid; Ferrante, Daniela; Ferrari, Alize J; Ferreira, Nuno; Fetensa, Getahun; Feyisa, Bikila Regassa; Filip, Irina; Fischer, Florian; Flavel, Joanne; Flood, David; Florin, Bobirca Teodor; Foigt, Nataliya A; Folayan, Morenike Oluwatoyin; Fomenkov, Artem Alekseevich; Foroutan, Behzad; Foroutan, Masoud; Forthun, Ingeborg; Fortuna, Daniela; Foschi, Matteo; Fowobaje, Kayode Raphael; Francis, Kate Louise; Franklin, Richard Charles; Freitas, Alberto; Friedman, Joseph; Friedman, Sara D; Fukumoto, Takeshi; Fuller, John E; Fux, Blima; Gaal, Peter Andras; Gadanya, Muktar A; Gaidhane, Abhay Motiramji; Gaihre, Santosh; Gakidou, Emmanuela; Galali, Yaseen; Galles, Natalie C; Gallus, Silvano; Ganbat, Mandukhai; Gandhi, Aravind P; Ganesan, Balasankar; Ganiyani, Mohammad Arfat; Garcia-Gordillo, M A; Gardner, William M; Garg, Jalaj; Garg, Naval; Gautam, Rupesh K; Gbadamosi, Semiu Olatunde; Gebi, Tilaye Gebru; Gebregergis, Miglas W; Gebrehiwot, Mesfin; Gebremeskel, Teferi Gebru; Georgescu, Simona Roxana; Getachew, Tamirat; Gething, Peter W; Getie, Molla; Ghadiri, Keyghobad; Ghahramani, Sulmaz; Ghailan, Khalid Yaser; Ghasemi, Mohammad-Reza; Ghasempour Dabaghi, Ghazal; Ghasemzadeh, Afsaneh; Ghashghaee, Ahmad; Ghassemi, Fariba; Ghazy, Ramy Mohamed; Ghimire, Ajnish; Ghoba, Sama; Gholamalizadeh, Maryam; Gholamian, Asadollah; Gholamrezanezhad, Ali; Gholizadeh, Nasim; Ghorbani, Mahsa; Ghorbani Vajargah, Pooyan; Ghoshal, Aloke Gopal; Gill, Paramjit Singh; Gill, Tiffany K; Gillum, Richard F; Ginindza, Themba G; Girmay, Alem; Glasbey, James C; Gnedovskaya, Elena V; Göbölös, Laszlo; Godinho, Myron Anthony; Goel, Amit; Golchin, Ali; Goldust, Mohamad; Golechha, Mahaveer; Goleij, Pouya; Gomes, Nelson G M; Gona, Philimon N; Gopalani, Sameer Vali; Gorini, Giuseppe; Goudarzi, Houman; Goulart, Alessandra C; Goulart, Bárbara Niegia Garcia; Goyal, Anmol; Grada, Ayman; Graham, Simon Matthew; Grivna, Michal; Grosso, Giuseppe; Guan, Shi-Yang; Guarducci, Giovanni; Gubari, Mohammed Ibrahim Mohialdeen; Gudeta, Mesay Dechasa; Guha, Avirup; Guicciardi, Stefano; Guimarães, Rafael Alves; Gulati, Snigdha; Gunawardane, Damitha Asanga; Gunturu, Sasidhar; Guo, Cui; Gupta, Anish Kumar; Gupta, Bhawna; Gupta, Manoj Kumar; Gupta, Mohak; Gupta, Rajat Das; Gupta, Rajeev; Gupta, Sapna; Gupta, Veer Bala; Gupta, Vijai Kumar; Gupta, Vivek Kumar; Gurmessa, Lami; Gutiérrez, Reyna Alma; Habibzadeh, Farrokh; Habibzadeh, Parham; Haddadi, Rasool; Hadei, Mostafa; Hadi, Najah R; Haep, Nils; Hafezi-Nejad, Nima; Hailu, Alemayehu; Haj-Mirzaian, Arvin; Halboub, Esam S; Hall, Brian J; Haller, Sebastian; Halwani, Rabih; Hamadeh, Randah R; Hameed, Sajid; Hamidi, Samer; Hamilton, Erin B; Han, Chieh; Han, Qiuxia; Hanif, Asif; Hanifi, Nasrin; Hankey, Graeme J; Hanna, Fahad; Hannan, Md Abdul; Haque, Md Nuruzzaman; Harapan, Harapan; Hargono, Arief; Haro, Josep Maria; Hasaballah, Ahmed I; Hasan, Ikramul; Hasan, M Tasdik; Hasani, Hamidreza; Hasanian, Mohammad; Hashi, Abdiwahab; Hasnain, Md Saquib; Hassan, Ikrama; Hassanipour, Soheil; Hassankhani, Hadi; Haubold, Johannes; Havmoeller, Rasmus J; Hay, Simon I; He, Jiawei; Hebert, Jeffrey J; Hegazi, Omar E; Heidari, Golnaz; Heidari, Mohammad; Heidari-Foroozan, Mahsa; Helfer, Bartosz; Hendrie, Delia; Herrera-Serna, Brenda Yuliana; Herteliu, Claudiu; Hesami, Hamed; Hezam, Kamal; Hill, Catherine L; Hiraike, Yuta; Holla, Ramesh; Horita, Nobuyuki; Hossain, Md Mahbub; Hossain, Sahadat; Hosseini, Mohammad-Salar; Hosseinzadeh, Hassan; Hosseinzadeh, Mehdi; Hosseinzadeh Adli, Ahmad; Hostiuc, Mihaela; Hostiuc, Sorin; Hsairi, Mohamed; Hsieh, Vivian Chia-rong; Hsu, Rebecca L; Hu, Chengxi; Huang, Junjie; Hultström, Michael; Humayun, Ayesha; Hundie, Tsegaye Gebreyes; Hussain, Javid; Hussain, M Azhar; Hussein, Nawfal R; Hussien, Foziya Mohammed; Huynh, Hong-Han; Hwang, Bing-Fang; Ibitoye, Segun Emmanuel; Ibrahim, Khalid S; Iftikhar, Pulwasha Maria; Ijo, Desta; Ikiroma, Adalia I; Ikuta, Kevin S; Ikwegbue, Paul Chukwudi; Ilesanmi, Olayinka Stephen; Ilic, Irena M; Ilic, Milena D; Imam, Mohammad Tarique; Immurana, Mustapha; Inamdar, Sumant; Indriasih, Endang; Iqhrammullah, Muhammad; Iradukunda, Arnaud; Iregbu, Kenneth Chukwuemeka; Islam, Md Rabiul; Islam, Sheikh Mohammed Shariful; Islami, Farhad; Ismail, Faisal; Ismail, Nahlah Elkudssiah; Iso, Hiroyasu; Isola, Gaetano; Iwagami, Masao; Iwu, Chidozie C D; Iyamu, Ihoghosa Osamuyi; Iyer, Mahalaxmi; J, Linda Merin; Jaafari, Jalil; Jacob, Louis; Jacobsen, Kathryn H; Jadidi-Niaragh, Farhad; Jafarinia, Morteza; Jafarzadeh, Abdollah; Jaggi, Khushleen; Jahankhani, Kasra; Jahanmehr, Nader; Jahrami, Haitham; Jain, Nityanand; Jairoun, Ammar Abdulrahman; Jaiswal, Abhishek; Jamshidi, Elham; Janko, Mark M; Jatau, Abubakar Ibrahim; Javadov, Sabzali; Javaheri, Tahereh; Jayapal, Sathish Kumar; Jayaram, Shubha; Jebai, Rime; Jee, Sun Ha; Jeganathan, Jayakumar; Jha, Anil K; Jha, Ravi Prakash; Jiang, Heng; Jin, Yingzhao; Johnson, Olatunji; Jokar, Mohammad; Jonas, Jost B; Joo, Tamas; Joseph, Abel; Joseph, Nitin; Joshua, Charity Ehimwenma; Joshy, Grace; Jozwiak, Jacek Jerzy; Jürisson, Mikk; K, Vaishali; Kaambwa, Billingsley; Kabir, Ali; Kabir, Zubair; Kadashetti, Vidya; Kadir, Dler Hussein; Kalani, Rizwan; Kalankesh, Laleh R; Kalankesh, Leila R; Kaliyadan, Feroze; Kalra, Sanjay; Kamal, Vineet Kumar; Kamarajah, Sivesh Kathir; Kamath, Rajesh; Kamiab, Zahra; Kamyari, Naser; Kanagasabai, Thanigaivelan; Kanchan, Tanuj; Kandel, Himal; Kanmanthareddy, Arun R; Kanmiki, Edmund Wedam; Kanmodi, Kehinde Kazeem; Kannan S, Suthanthira; Kansal, Sushil Kumar; Kantar, Rami S; Kapoor, Neeti; Karajizadeh, Mehrdad; Karanth, Shama D; Karasneh, Reema A; Karaye, Ibraheem M; Karch, André; Karim, Asima; Karimi, Salah Eddin; Karimi Behnagh, Arman; Kashoo, Faizan Zaffar; Kasnazani, Qalandar Hussein Abdulkarim; Kasraei, Hengameh; Kassebaum, Nicholas J; Kassel, Molly B; Kauppila, Joonas H; Kaur, Navjot; Kawakami, Norito; Kayode, Gbenga A; Kazemi, Foad; Kazemian, Sina; Kazmi, Tahseen Haider; Kebebew, Getu Mosisa; Kebede, Adera Debella; Kebede, Fassikaw; Keflie, Tibebeselassie S; Keiyoro, Peter Njenga; Keller, Cathleen; Kelly, Jaimon Terence; Kempen, John H; Kerr, Jessica A; Kesse-Guyot, Emmanuelle; Khajuria, Himanshu; Khalaji, Amirmohammad; Khalid, Nauman; Khalil, Anees Ahmed; Khalilian, Alireza; Khamesipour, Faham; Khan, Ajmal; Khan, Asaduzzaman; Khan, Gulfaraz; Khan, Ikramullah; Khan, Imteyaz A; Khan, M Nuruzzaman; Khan, Maseer; Khan, Mohammad Jobair; Khan, Moien AB; Khan, Zeeshan Ali; Khan Suheb, Mahammed Ziauddin; Khanmohammadi, Shaghayegh; Khatab, Khaled; Khatami, Fatemeh; Khatatbeh, Haitham; Khatatbeh, Moawiah Mohammad; Khavandegar, Armin; Khayat Kashani, Hamid Reza; Khidri, Feriha Fatima; Khodadoust, Elaheh; Khorgamphar, Mohammad; Khormali, Moein; Khorrami, Zahra; Khosravi, Ahmad; Khosravi, Mohammad Ali; Kifle, Zemene Demelash; Kim, Grace; Kim, Jihee; Kim, Kwanghyun; Kim, Min Seo; Kim, Yun Jin; Kimokoti, Ruth W; Kinzel, Kasey E; Kisa, Adnan; Kisa, Sezer; Klu, Desmond; Knudsen, Ann Kristin Skrindo; Kocarnik, Jonathan M; Kochhar, Sonali; Kocsis, Timea; Koh, David S Q; Kolahi, Ali-Asghar; Kolves, Kairi; Kompani, Farzad; Koren, Gerbrand; Kosen, Soewarta; Kostev, Karel; Koul, Parvaiz A; Koulmane Laxminarayana, Sindhura Lakshmi; Krishan, Kewal; Krishna, Hare; Krishna, Varun; Krishnamoorthy, Vijay; Krishnamoorthy, Yuvaraj; Krohn, Kris J; Kuate Defo, Barthelemy; Kucuk Bicer, Burcu; Kuddus, Md Abdul; Kuddus, Mohammed; Kuitunen, Ilari; Kulimbet, Mukhtar; Kulkarni, Vishnutheertha; Kumar, Akshay; Kumar, Ashish; Kumar, Harish; Kumar, Manasi; Kumar, Rakesh; Kumari, Madhulata; Kumie, Fantahun Tarekegn; Kundu, Satyajit; Kurmi, Om P; Kusnali, Asep; Kusuma, Dian; Kwarteng, Alexander; Kyriopoulos, Ilias; Kyu, Hmwe Hmwe; La Vecchia, Carlo; Lacey, Ben; Ladan, Muhammad Awwal; Laflamme, Lucie; Lagat, Abraham K; Lager, Anton C J; Lahmar, Abdelilah; Lai, Daphne Teck Ching; Lal, Dharmesh Kumar; Lalloo, Ratilal; Lallukka, Tea; Lam, Hilton; Lám, Judit; Landrum, Kelsey R; Lanfranchi, Francesco; Lang, Justin J; Langguth, Berthold; Lansingh, Van Charles; Laplante-Lévesque, Ariane; Larijani, Bagher; Larsson, Anders O; Lasrado, Savita; Lassi, Zohra S; Latief, Kamaluddin; Latifinaibin, Kaveh; Lauriola, Paolo; Le, Nhi Huu Hanh; Le, Thao Thi Thu; Le, Trang Diep Thanh; Ledda, Caterina; Ledesma, Jorge R; Lee, Munjae; Lee, Paul H; Lee, Seung Won; Lee, Shaun Wen Huey; Lee, Wei-Chen; Lee, Yo Han; LeGrand, Kate E; Leigh, James; Leong, Elvynna; Lerango, Temesgen L; Li, Ming-Chieh; Li, Wei; Li, Xiaopan; Li, Yichong; Li, Zhihui; Ligade, Virendra S; Likaka, Andrew Tiyamike Makhiringa; Lim, Lee-Ling; Lim, Stephen S; Lindstrom, Megan; Linehan, Christine; Liu, Chaojie; Liu, Gang; Liu, Jue; Liu, Runben; Liu, Shiwei; Liu, Xiaofeng; Liu, Xuefeng; Llanaj, Erand; Loftus, Michael J; López-Bueno, Rubén; Lopukhov, Platon D; Loreche, Arianna Maever; Lorkowski, Stefan; Lotufo, Paulo A; Lozano, Rafael; Lubinda, Jailos; Lucchetti, Giancarlo; Lugo, Alessandra; Lunevicius, Raimundas; Ma, Zheng Feei; Maass, Kelsey Lynn; Machairas, Nikolaos; Machoy, Monika; Madadizadeh, Farzan; Madsen, Christian; Madureira-Carvalho, Áurea M; Maghazachi, Azzam A; Maharaj, Sandeep B; Mahjoub, Soleiman; Mahmoud, Mansour Adam; Mahmoudi, Alireza; Mahmoudi, Elham; Mahmoudi, Razzagh; Majeed, Azeem; Makhdoom, Irsa Fatima; Malakan Rad, Elaheh; Maled, Venkatesh; Malekzadeh, Reza; Malhotra, Armaan K; Malhotra, Kashish; Malik, Ahmad Azam; Malik, Iram; Malta, Deborah Carvalho; Mamun, Abdullah A; Mansouri, Pejman; Mansournia, Mohammad Ali; Mantovani, Lorenzo Giovanni; Maqsood, Sajid; Marasini, Bishnu P; Marateb, Hamid Reza; Maravilla, Joemer C; Marconi, Agustina M; Mardi, Parham; Marino, Mirko; Marjani, Abdoljalal; Martinez, Gabriel; Martinez-Guerra, Bernardo Alfonso; Martinez-Piedra, Ramon; Martini, Daniela; Martini, Santi; Martins-Melo, Francisco Rogerlândio; Martorell, Miquel; Marx, Wolfgang; Maryam, Sharmeen; Marzo, Roy Rillera; Masaka, Anthony; Masrie, Awoke; Mathieson, Stephanie; Mathioudakis, Alexander G; Mathur, Manu Raj; Mattumpuram, Jishanth; Matzopoulos, Richard; Maude, Richard James; Maugeri, Andrea; Maulik, Pallab K; Mayeli, Mahsa; Mazaheri, Maryam; Mazidi, Mohsen; McGrath, John J; McKee, Martin; McKowen, Anna Laura W; McLaughlin, Susan A; McPhail, Steven M; Mechili, Enkeleint A; Medina, John Robert Carabeo; Mediratta, Rishi P; Meena, Jitendra Kumar; Mehra, Rahul; Mehrabani-Zeinabad, Kamran; Mehrabi Nasab, Entezar; Mekene Meto, Tesfahun; Meles, Gebrekiros Gebremichael; Mendez-Lopez, Max Alberto Mendez; Mendoza, Walter; Menezes, Ritesh G; Mengist, Belayneh; Mentis, Alexios-Fotios A; Meo, Sultan Ayoub; Meresa, Haftu Asmerom; Meretoja, Atte; Meretoja, Tuomo J; Mersha, Abera M; Mesfin, Bezawit Afework; Mestrovic, Tomislav; Mettananda, Kukulege Chamila Dinushi; Mettananda, Sachith; Meylakhs, Peter; Mhlanga, Adquate; Mhlanga, Laurette; Mi, Tianyue; Miazgowski, Tomasz; Micha, Georgia; Michalek, Irmina Maria; Miller, Ted R; Mills, Edward J; Minh, Le Huu Nhat; Mini, G K; Mir Mohammad Sadeghi, Pouya; Mirica, Andreea; Mirijello, Antonio; Mirrakhimov, Erkin M; Mirutse, Mizan Kiros; Mirzaei, Maryam; Misganaw, Awoke; Mishra, Ashim; Misra, Sanjeev; Mitchell, Philip B; Mithra, Prasanna; Mittal, Chaitanya; Mobayen, Mohammadreza; Moberg, Madeline E; Mohamadkhani, Ashraf; Mohamed, Jama; Mohamed, Mouhand F H; Mohamed, Nouh Saad; Mohammad-Alizadeh-Charandabi, Sakineh; Mohammadi, Soheil; Mohammadian-Hafshejani, Abdollah; Mohammadifard, Noushin; Mohammed, Hassen; Mohammed, Hussen; Mohammed, Mustapha; Mohammed, Salahuddin; Mohammed, Shafiu; Mohan, Viswanathan; Mojiri-Forushani, Hoda; Mokari, Amin; Mokdad, Ali H; Molinaro, Sabrina; Molokhia, Mariam; Momtazmanesh, Sara; Monasta, Lorenzo; Mondello, Stefania; Moni, Mohammad Ali; Moodi Ghalibaf, AmirAli; Moradi, Maryam; Moradi, Yousef; Moradi-Lakeh, Maziar; Moradzadeh, Maliheh; Moraga, Paula; Morawska, Lidia; Moreira, Rafael Silveira; Morovatdar, Negar; Morrison, Shane Douglas; Morze, Jakub; Mosser, Jonathan F; Motappa, Rohith; Mougin, Vincent; Mouodi, Simin; Mousavi, Parsa; Mousavi, Seyed Ehsan; Mousavi Khaneghah, Amin; Mpolya, Emmanuel A; Mrejen, Matías; Mubarik, Sumaira; Muccioli, Lorenzo; Mueller, Ulrich Otto; Mughal, Faraz; Mukherjee, Sumoni; Mulita, Francesk; Munjal, Kavita; Murillo-Zamora, Efrén; Musaigwa, Fungai; Musallam, Khaled M; Mustafa, Ahmad; Mustafa, Ghulam; Muthupandian, Saravanan; Muthusamy, Raman; Muzaffar, Muhammad; Myung, Woojae; Nagarajan, Ahamarshan Jayaraman; Nagel, Gabriele; Naghavi, Pirouz; Naheed, Aliya; Naik, Ganesh R; Naik, Gurudatta; Nainu, Firzan; Nair, Sanjeev; Najmuldeen, Hastyar Hama Rashid; Nakhostin Ansari, Noureddin; Nangia, Vinay; Naqvi, Atta Abbas; Narasimha Swamy, Sreenivas; Narayana, Aparna Ichalangod; Nargus, Shumaila; Nascimento, Bruno Ramos; Nascimento, Gustavo G; Nasehi, Samar; Nashwan, Abdulqadir J; Natto, Zuhair S; Nauman, Javaid; Naveed, Muhammad; Nayak, Biswa Prakash; Nayak, Vinod C; Nazri-Panjaki, Athare; Ndejjo, Rawlance; Nduaguba, Sabina Onyinye; Negash, Hadush; Negoi, Ionut; Negoi, Ruxandra Irina; Negru, Serban Mircea; Nejadghaderi, Seyed Aria; Nejjari, Chakib; Nena, Evangelia; Nepal, Samata; Ng, Marie; Nggada, Haruna Asura; Nguefack-Tsague, Georges; Ngunjiri, Josephine W; Nguyen, Anh Hoang; Nguyen, Dang H; Nguyen, Hau Thi Hien; Nguyen, Phat Tuan; Nguyen, Van Thanh; Niazi, Robina Khan; Nielsen, Katie R; Nigatu, Yeshambel T; Nikolouzakis, Taxiarchis Konstantinos; Nikoobar, Ali; Nikoomanesh, Fatemeh; Nikpoor, Amin Reza; Ningrum, Dina Nur Anggraini; Nnaji, Chukwudi A; Nnyanzi, Lawrence Achilles; Noman, Efaq Ali; Nomura, Shuhei; Noreen, Mamoona; Noroozi, Nafise; Norrving, Bo; Noubiap, Jean Jacques; Novotney, Amanda; Nri-Ezedi, Chisom Adaobi; Ntaios, George; Ntsekhe, Mpiko; Nuñez-Samudio, Virginia; Nurrika, Dieta; Nutor, Jerry John; Oancea, Bogdan; Obamiro, Kehinde O; Oboh, Mary Aigbiremo; Odetokun, Ismail A; Odogwu, Nkechi Martina; O&amp;apos;Donnell, Martin James; Oduro, Michael Safo; Ofakunrin, Akinyemi O D; Ogunkoya, Abiola; Oguntade, Ayodipupo Sikiru; Oh, In-Hwan; Okati-Aliabad, Hassan; Okeke, Sylvester Reuben; Okekunle, Akinkunmi Paul; Okonji, Osaretin Christabel; Olagunju, Andrew T; Olaiya, Muideen Tunbosun; Olatubi, Matthew Idowu; Oliveira, Gláucia Maria Moraes; Olufadewa, Isaac Iyinoluwa; Olusanya, Bolajoko Olubukunola; Olusanya, Jacob Olusegun; Oluwafemi, Yinka Doris; Omar, Hany A; Omar Bali, Ahmed; Omer, Goran Latif; Ondayo, Maureene Auma; Ong, Sokking; Onwujekwe, Obinna E; Onyedibe, Kenneth Ikenna; Ordak, Michal; Orisakwe, Orish Ebere; Orish, Verner N; Ortega-Altamirano, Doris V; Ortiz, Alberto; Osman, Wael M S; Ostroff, Samuel M; Osuagwu, Uchechukwu Levi; Otoiu, Adrian; Otstavnov, Nikita; Otstavnov, Stanislav S; Ouyahia, Amel; Ouyang, Guoqing; Owolabi, Mayowa O; Ozten, Yaz; P A, Mahesh Padukudru; Padron-Monedero, Alicia; Padubidri, Jagadish Rao; Pal, Pramod Kumar; Palicz, Tamás; Palladino, Claudia; Palladino, Raffaele; Palma-Alvarez, Raul Felipe; Pan, Feng; Pan, Hai-Feng; Pana, Adrian; Panda, Paramjot; Panda-Jonas, Songhomitra; Pandi-Perumal, Seithikurippu R; Pangaribuan, Helena Ullyartha; Panos, Georgios D; Panos, Leonidas D; Pantazopoulos, Ioannis; Pantea Stoian, Anca Mihaela; Papadopoulou, Paraskevi; Parikh, Romil R; Park, Seoyeon; Parthasarathi, Ashwaghosha; Pashaei, Ava; Pasovic, Maja; Passera, Roberto; Pasupula, Deepak Kumar; Patel, Hemal M; Patel, Jay; Patel, Sangram Kishor; Patil, Shankargouda; Patoulias, Dimitrios; Patthipati, Venkata Suresh; Paudel, Uttam; Pazoki Toroudi, Hamidreza; Pease, Spencer A; Peden, Amy E; Pedersini, Paolo; Pensato, Umberto; Pepito, Veincent Christian Filipino; Peprah, Emmanuel K; Peprah, Prince; Perdigão, João; Pereira, Marcos; Peres, Mario F P; Perianayagam, Arokiasamy; Perico, Norberto; Pestell, Richard G; Pesudovs, Konrad; Petermann-Rocha, Fanny Emily; Petri, William A; Pham, Hoang Tran; Philip, Anil K; Phillips, Michael R; Pierannunzio, Daniela; Pigeolet, Manon; Pigott, David M; Pilgrim, Thomas; Piracha, Zahra Zahid; Piradov, Michael A; Pirouzpanah, Saeed; Plakkal, Nishad; Plotnikov, Evgenii; Podder, Vivek; Poddighe, Dimitri; Polinder, Suzanne; Polkinghorne, Kevan R; Poluru, Ramesh; Ponkilainen, Ville T; Porru, Fabio; Postma, Maarten J; Poudel, Govinda Raj; Pourshams, Akram; Pourtaheri, Naeimeh; Prada, Sergio I; Pradhan, Pranil Man Singh; Prakasham, Thejeswar N; Prasad, Manya; Prashant, Akila; Prates, Elton Junio Sady; Prieto Alhambra, Daniel; PRISCILLA, TINA; Pritchett, Natalie; Purohit, Bharathi M; Puvvula, Jagadeesh; Qasim, Nameer Hashim; Qattea, Ibrahim; Qazi, Asma Saleem; Qian, Gangzhen; Qiu, Suli; Qureshi, Maryam Faiz; Rabiee Rad, Mehrdad; Radfar, Amir; Radhakrishnan, Raghu Anekal; Radhakrishnan, Venkatraman; Raeisi Shahraki, Hadi; Rafferty, Quinn; Raggi, Alberto; Raghav, Pankaja Raghav; Raheem, Nasiru; Rahim, Fakher; Rahim, Md Jillur; Rahimi-Movaghar, Vafa; Rahman, Md Mosfequr; Rahman, Mohammad Hifz Ur; Rahman, Mosiur; Rahman, Muhammad Aziz; Rahmani, Amir Masoud; Rahmani, Shayan; Rahmanian, Vahid; Rajaa, Sathish; Rajput, Prashant; Rakovac, Ivo; Ramasamy, Shakthi Kumaran; Ramazanu, Sheena; Rana, Kritika; Ranabhat, Chhabi Lal; Rancic, Nemanja; Rane, Amey; Rao, Chythra R; Rao, Indu Ramachandra; Rao, Mithun; Rao, Sowmya J; Rasali, Drona Prakash; Rasella, Davide; Rashedi, Sina; Rashedi, Vahid; Rashidi, Mohammad-Mahdi; Rasouli-Saravani, Ashkan; Rasul, Azad; Rathnaiah Babu, Giridhara; Rauniyar, Santosh Kumar; Ravangard, Ramin; Ravikumar, Nakul; Rawaf, David Laith; Rawaf, Salman; Rawal, Lal; Rawassizadeh, Reza; Rawlley, Bharat; Raza, Rabail Zehra; Razo, Christian; Redwan, Elrashdy Moustafa Mohamed; Rehman, Faizan Ur; Reifels, Lennart; Reiner Jr, Robert C; Remuzzi, Giuseppe; Reyes, Luis Felipe; Rezaei, Maryam; Rezaei, Nazila; Rezaei, Negar; Rezaeian, Mohsen; Rhee, Taeho Gregory; Riaz, Mavra A; Ribeiro, Antonio Luiz P; Rickard, Jennifer; Riva, Hannah R; Robinson-Oden, Hannah Elizabeth; Rodrigues, Célia Fortuna; Rodrigues, Mónica; Roever, Leonardo; Rogowski, Emma Lynn Best; Rohloff, Peter; Romadlon, Debby Syahru; Romero-Rodríguez, Esperanza; Romoli, Michele; Ronfani, Luca; Roshandel, Gholamreza; Roth, Gregory A; Rout, Himanshu Sekhar; Roy, Nitai; Roy, Priyanka; Rubagotti, Enrico; Ruela, Guilherme De Andrade; Rumisha, Susan Fred; Runghien, Tilleye; Rwegerera, Godfrey M; Rynkiewicz, Andrzej; S N, Chandan; Saad, Aly M A; Saadatian, Zahra; Saber, Korosh; Saber-Ayad, Maha Mohamed; SaberiKamarposhti, Morteza; Sabour, Siamak; Sacco, Simona; Sachdev, Perminder S; Sachdeva, Rajesh; Saddik, Basema; Saddler, Adam; Sadee, Bashdar Abuzed; Sadeghi, Ehsan; Sadeghi, Erfan; Sadeghian, Farideh; Saeb, Mohammad Reza; Saeed, Umar; Safaeinejad, Fahimeh; Safi, Sher Zaman; Sagar, Rajesh; Saghazadeh, Amene; Sagoe, Dominic; Saheb Sharif-Askari, Fatemeh; Saheb Sharif-Askari, Narjes; Sahebkar, Amirhossein; Sahoo, Soumya Swaroop; Sahoo, Umakanta; Sahu, Monalisha; Saif, Zahra; Sajid, Mirza Rizwan; Sakshaug, Joseph W; Salam, Nasir; Salamati, Payman; Salami, Afeez Abolarinwa; Salaroli, Luciane B; Saleh, Mohamed A; Salehi, Sana; Salem, Marwa Rashad; Salem, Mohammed Z Y; Salimi, Sohrab; Samadi Kafil, Hossein; Samadzadeh, Sara; Samargandy, Saad; Samodra, Yoseph Leonardo; Samy, Abdallah M; Sanabria, Juan; Sanna, Francesca; Santomauro, Damian Francesco; Santos, Itamar S; Santric-Milicevic, Milena M; Sao Jose, Bruno Piassi; Sarasmita, Made Ary; Saraswathy, Sivan Yegnanarayana Iyer; Saravanan, Aswini; Saravi, Babak; Sarikhani, Yaser; Sarkar, Tanmay; Sarmiento-Suárez, Rodrigo; Sarode, Gargi Sachin; Sarode, Sachin C; Sarveazad, Arash; Sathian, Brijesh; Sathish, Thirunavukkarasu; Satpathy, Maheswar; Sayeed, Abu; Sayeed, Md Abu; Saylan, Mete; Sayyah, Mehdi; Scarmeas, Nikolaos; Schaarschmidt, Benedikt Michael; Schlaich, Markus P; Schlee, Winfried; Schmidt, Maria Inês; Schneider, Ione Jayce Ceola; Schuermans, Art; Schumacher, Austin E; Schutte, Aletta Elisabeth; Schwarzinger, Michaël; Schwebel, David C; Schwendicke, Falk; Šekerija, Mario; Selvaraj, Siddharthan; Senapati, Sabyasachi; Senthilkumaran, Subramanian; Sepanlou, Sadaf G; Serban, Dragos; Sethi, Yashendra; Sha, Feng; Shabany, Maryam; Shafaat, Amir; Shafie, Mahan; Shah, Nilay S; Shah, Pritik A; Shah, Syed Mahboob; Shahabi, Saeed; Shahbandi, Ataollah; Shahid, Izza; Shahid, Samiah; Shahid, Wajeehah; Shahsavari, Hamid R; Shahwan, Moyad Jamal; Shaikh, Ahmed; Shaikh, Masood Ali; Shakeri, Alireza; Shalash, Ali S; Sham, Sunder; Shamim, Muhammad Aaqib; Shams-Beyranvand, Mehran; Shamshad, Hina; Shamsi, Mohammad Anas; Shanawaz, Mohd; Shankar, Abhishek; Sharfaei, Sadaf; Sharifan, Amin; Sharifi-Rad, Javad; Sharma, Rajesh; Sharma, Saurab; Sharma, Ujjawal; Sharma, Vishal; Shastry, Rajesh P; Shavandi, Amin; Shayan, Maryam; Shehabeldine, Amr Mohamed Elsayed; Sheikh, Aziz; Sheikhi, Rahim Ali; Shen, Jiabin; Shetty, Adithi; Shetty, B Suresh Kumar; Shetty, Pavanchand H; Shi, Peilin; Shibuya, Kenji; Shiferaw, Desalegn; Shigematsu, Mika; Shin, Min-Jeong; Shin, Youn Ho; Shiri, Rahman; Shirkoohi, Reza; Shitaye, Nebiyu Aniley; Shittu, Aminu; Shiue, Ivy; Shivakumar, K M; Shivarov, Velizar; Shokraneh, Farhad; Shokri, Azad; Shool, Sina; Shorofi, Seyed Afshin; Shrestha, Sunil; Shuval, Kerem; Siddig, Emmanuel Edwar; Silva, João Pedro; Silva, Luís Manuel Lopes Rodrigues; Silva, Soraia; Simpson, Colin R; Singal, Anjali; Singh, Abhinav; Singh, Balbir Bagicha; Singh, Garima; Singh, Jasbir; Singh, Narinder Pal; Singh, Paramdeep; Singh, Surjit; Sinha, Dhirendra Narain; Sinto, Robert; Siraj, Md Shahjahan; Sirota, Sarah Brooke; Sitas, Freddy; Sivakumar, Shravan; Skryabin, Valentin Yurievich; Skryabina, Anna Aleksandrovna; Sleet, David A; Socea, Bogdan; Sokhan, Anton; Solanki, Ranjan; Solanki, Shipra; Soleimani, Hamidreza; Soliman, Sameh S M; Song, Suhang; Song, Yimeng; Sorensen, Reed J D; Soriano, Joan B; Soyiri, Ireneous N; Spartalis, Michael; Spearman, Sandra; Sreeramareddy, Chandrashekhar T; Srivastava, Vijay Kumar; Stanaway, Jeffrey D; Stanikzai, Muhammad Haroon; Stark, Benjamin A; Starnes, Joseph R; Starodubova, Antonina V; Stein, Caroline; Stein, Dan J; Steinbeis, Fridolin; Steiner, Caitlyn; Steinmetz, Jaimie D; Steiropoulos, Paschalis; Stevanović, Aleksandar; Stockfelt, Leo; Stokes, Mark A; Stortecky, Stefan; Subramaniyan, Vetriselvan; Suleman, Muhammad; Suliankatchi Abdulkader, Rizwan; Sultana, Abida; Sun, Haitong Zhe; Sun, Jing; Sundström, Johan; Sunkersing, David; Sunnerhagen, Katharina S; Swain, Chandan Kumar; Szarpak, Lukasz; Szeto, Mindy D; Szócska, Miklós; Tabaee Damavandi, Payam; Tabarés-Seisdedos, Rafael; Tabatabaei, Seyyed Mohammad; Tabatabaei Malazy, Ozra; Tabatabaeizadeh, Seyed-Amir; Tabatabai, Shima; Tabish, Mohammad; TADAKAMADLA, JYOTHI; Tadakamadla, Santosh Kumar; Taheri Abkenar, Yasaman; Taheri Soodejani, Moslem; Taiba, Jabeen; Takahashi, Ken; Talaat, Iman M; Talukder, Ashis; Tampa, Mircea; Tamuzi, Jacques Lukenze; Tan, Ker-Kan; Tandukar, Sarmila; Tang, Haosu; Tang, Hong K; Tarigan, Ingan Ukur; Tariku, Mengistie Kassahun; Tariqujjaman, Md; Tarkang, Elvis Enowbeyang; Tavakoli Oliaee, Razieh; Tavangar, Seyed Mohammad; Taveira, Nuno; Tefera, Yibekal Manaye; Temsah, Mohamad-Hani; Temsah, Reem Mohamad Hani; Teramoto, Masayuki; Tesler, Riki; Teye-Kwadjo, Enoch; Thakur, Rishu; Thangaraju, Pugazhenthan; Thankappan, Kavumpurathu Raman; Tharwat, Samar; Thayakaran, Rasiah; Thomas, Nihal; Thomas, Nikhil Kenny; Thomson, Azalea M; Thrift, Amanda G; Thum, Chern Choong Chern; Thygesen, Lau Caspar; Tian, Jing; Tichopad, Ales; Ticoalu, Jansje Henny Vera; Tillawi, Tala; Tiruye, Tenaw Yimer; Titova, Mariya Vladimirovna; Tonelli, Marcello; Topor-Madry, Roman; Toriola, Adetunji T; Torre, Anna E; Touvier, Mathilde; Tovani-Palone, Marcos Roberto; Tran, Jasmine T; Tran, Nghia Minh; Trico, Domenico; Tromans, Samuel Joseph; Truyen, Thien Tan Tri Tai; Tsatsakis, Aristidis; Tsegay, Guesh Mebrahtom; Tsermpini, Evangelia Eirini; Tumurkhuu, Munkhtuya; Tung, Kang; Tyrovolas, Stefanos; Uddin, Sayed Mohammad Nazim; Udoakang, Aniefiok John; Udoh, Arit; Ullah, Atta; Ullah, Irfan; Ullah, Saeed; Ullah, Sana; Umakanthan, Srikanth; Umeokonkwo, Chukwuma David; Unim, Brigid; Unnikrishnan, Bhaskaran; Unsworth, Carolyn Anne; Upadhyay, Era; Urso, Daniele; Usman, Jibrin Sammani; Vahabi, Seyed Mohammad; Vaithinathan, Asokan Govindaraj; Valizadeh, Rohollah; Van de Velde, Sarah M; Van den Eynde, Jef; Varga, Orsolya; Vart, Priya; Varthya, Shoban Babu; Vasankari, Tommi Juhani; Vasic, Milena; Vaziri, Siavash; Vellingiri, Balachandar; Venketasubramanian, Narayanaswamy; Verghese, Nicholas Alexander; Verma, Madhur; Veroux, Massimiliano; Verras, Georgios-Ioannis; Vervoort, Dominique; Villafañe, Jorge Hugo; Villanueva, Gabriela Ines; Vinayak, Manish; Violante, Francesco S; Viskadourou, Maria; Vladimirov, Sergey Konstantinovitch; Vlassov, Vasily; Vo, Bay; Vollset, Stein Emil; Vongpradith, Avina; Vos, Theo; Vujcic, Isidora S; Vukovic, Rade; Wafa, Hatem A; Waheed, Yasir; Wamai, Richard G; Wang, Cong; Wang, Ning; Wang, Shu; Wang, Song; Wang, Yanzhong; Wang, Yuan-Pang; Waqas, Muhammad; Ward, Paul; Wassie, Emebet Gashaw; Watson, Stefanie; Watson, Stephanie Louise Watson; Weerakoon, Kosala Gayan; Wei, Melissa Y; Weintraub, Robert G; Weiss, Daniel J; Westerman, Ronny; Whisnant, Joanna L; Wiangkham, Taweewat; Wickramasinghe, Dakshitha Praneeth; Wickramasinghe, Nuwan Darshana; Wilandika, Angga; Wilkerson, Caroline; Willeit, Peter; Wilson, Shadrach; Wojewodzic, Marcin W; Woldegebreal, Demewoz H; Wolf, Axel Walter; Wolfe, Charles D A; Wondimagegene, Yohannes Addisu; Wong, Yen Jun; Wongsin, Utoomporn; Wu, Ai-Min; Wu, Chenkai; Wu, Felicia; Wu, Xinsheng; Wu, Zenghong; Xia, Juan; Xiao, Hong; Xie, Yang; Xu, Suowen; Xu, Wang-Dong; Xu, Xiaoyue; Xu, Yvonne Yiru; Yadollahpour, Ali; Yamagishi, Kazumasa; Yang, Danting; Yang, Lin; Yano, Yuichiro; Yao, Yao; Yaribeygi, Habib; Ye, Pengpeng; Yehualashet, Sisay Shewasinad; Yesiltepe, Metin; Yesuf, Subah Abderehim; Yezli, Saber; Yi, Siyan; Yigezu, Amanuel; Yiğit, Arzu; Yiğit, Vahit; Yip, Paul; Yismaw, Malede Berihun; Yismaw, Yazachew; Yon, Dong Keon; Yonemoto, Naohiro; Yoon, Seok-Jun; You, Yuyi; Younis, Mustafa Z; Yousefi, Zabihollah; Yu, Chuanhua; Yu, Yong; Yuh, Faith H; Zadey, Siddhesh; Zadnik, Vesna; Zafari, Nima; Zakham, Fathiah; Zaki, Nazar; Zaman, Sojib Bin; Zamora, Nelson; Zand, Ramin; Zangiabadian, Moein; Zar, Heather J; Zare, Iman; Zarrintan, Armin; Zeariya, Mohammed G M; Zeinali, Zahra; Zhang, Haijun; Zhang, Jianrong; Zhang, Jingya; Zhang, Liqun; Zhang, Yunquan; Zhang, Zhi-Jiang; Zhao, Hanqing; Zhong, Chenwen; Zhou, Juexiao; Zhu, Bin; Zhu, Lei; Ziafati, Makan; Zielińska, Magdalena; Zitoun, Osama A; Zoladl, Mohammad; Zou, Zhiyong; Zuhlke, Liesl J; Zumla, Alimuddin; Zweck, Elric; Zyoud, Samer H; Wool, Eve E; Murray, Christopher J L&lt;/Author&gt;&lt;Year&gt;2024&lt;/Year&gt;&lt;Details&gt;&lt;_accessed&gt;66401384&lt;/_accessed&gt;&lt;_accession_num&gt;38582094&lt;/_accession_num&gt;&lt;_collection_scope&gt;SCIE&lt;/_collection_scope&gt;&lt;_created&gt;66401310&lt;/_created&gt;&lt;_custom1&gt;1&lt;/_custom1&gt;&lt;_date&gt;65217600&lt;/_date&gt;&lt;_date_display&gt;2024&lt;/_date_display&gt;&lt;_db_updated&gt;CrossRef&lt;/_db_updated&gt;&lt;_doi&gt;10.1016/S0140-6736(24)00367-2&lt;/_doi&gt;&lt;_impact_factor&gt;  98.400&lt;/_impact_factor&gt;&lt;_isbn&gt;01406736&lt;/_isbn&gt;&lt;_issue&gt;10440&lt;/_issue&gt;&lt;_journal&gt;The Lancet&lt;/_journal&gt;&lt;_keywords&gt;80 and over; Adolescent; Adult; Age; Age groups; Aged; Aged, 80 and over; algorithm; Arbetsmedicin och miljömedicin; Autopsies; Autopsy; Cardiovascular diseases; Cause of Death; Cause of Death - trends; cerebrovascular accident; Charities; Child; Child, Preschool; chronic obstructive lung disease; Chronic obstructive pulmonary disease; Coefficient of variation; Computer Science; coronavirus disease 2019; COVID-19; COVID-19 - epidemiology; COVID-19 - mortality; Death; Decision making; Decomposition; Disease; Epidemiology; Estimates; eye cancer; Fatalities; Female; Folkhälsovetenskap, global hälsa och socialmedicin; Global Burden of Disease; global disease burden; Global Health; Global Health - statistics &amp;amp; numerical data; Health promotion; Health Sciences; Heart diseases; hepatoblastoma; HIV; human; Human immunodeficiency virus; Humans; Hälsovetenskap; Infant; Infant, Newborn; Injuries; Injury analysis; intestine infection; Ischemia; ischemic heart disease; Life Expectancy; Life span; Lung diseases; Lymphoma; Malaria; Male; malignant neoplasm; maternal disease; Mathematical models; Measles; Medical and Health Sciences; Medicin och hälsovetenskap; Middle Aged; Modeling and Simulation; Mortality; mortality rate; Neonates; Newborn; newborn death; non-Hodgkin lymphoma; Occupational Health and Environmental Health; pandemic; Pandemics; paratyphoid fever; Permutations; Pertussis; population; Populations; Predation; Preschool; preschool child; Public health; Public Health, Global Health and Social Medicine; pulmonary hypertension; Regions; respiratory tract infection; retinoblastoma; Risk factors; SARS-CoV-2; Severe acute respiratory syndrome coronavirus 2; Sex; Sexually transmitted diseases; social hierarchy; Statistical analysis; Statistical models; STD; Surveillance systems; Trends; tuberculosis; Variation; Vector-borne diseases; very elderly; Young Adult&lt;/_keywords&gt;&lt;_language&gt;eng&lt;/_language&gt;&lt;_modified&gt;66401385&lt;/_modified&gt;&lt;_number&gt;1&lt;/_number&gt;&lt;_ori_publication&gt;Elsevier Ltd&lt;/_ori_publication&gt;&lt;_pages&gt;2100-2132&lt;/_pages&gt;&lt;_place_published&gt;England&lt;/_place_published&gt;&lt;_social_category&gt;医学：内科(1)&lt;/_social_category&gt;&lt;_subject_headings&gt;Humans; *Life Expectancy; *Cause of Death/trends; *Global Burden of Disease; Female; *COVID-19/mortality/epidemiology; Male; Aged; Middle Aged; Adult; Child, Preschool; Infant; *Global Health/statistics &amp;amp; numerical data; Adolescent; Young Adult; Child; Aged, 80 and over; SARS-CoV-2; Infant, Newborn; Pandemics&lt;/_subject_headings&gt;&lt;_tertiary_title&gt;The Lancet&lt;/_tertiary_title&gt;&lt;_type_work&gt;Journal Article; Research Support, N.I.H., Extramural; Research Support, Non-U.S. Gov&amp;apos;t&lt;/_type_work&gt;&lt;_url&gt;https://linkinghub.elsevier.com/retrieve/pii/S0140673624003672_x000d__x000a_https://api.elsevier.com/content/article/PII:S0140673624003672?httpAccept=text/xml&lt;/_url&gt;&lt;_volume&gt;403&lt;/_volume&gt;&lt;/Details&gt;&lt;Extra&gt;&lt;DBUID&gt;{0595FEED-06EC-4465-A92A-123F8040CA41}&lt;/DBUID&gt;&lt;/Extra&gt;&lt;/Item&gt;&lt;/References&gt;&lt;/Group&gt;&lt;Group&gt;&lt;References&gt;&lt;Item&gt;&lt;ID&gt;2573&lt;/ID&gt;&lt;UID&gt;{A589940B-F167-4AE1-B7A3-018BE73B2101}&lt;/UID&gt;&lt;Title&gt;Global, regional and national burden of ischemic heart disease and its attributable risk factors from 1990 to 2021: a systematic analysis of the Global Burden of Disease study 2021&lt;/Title&gt;&lt;Template&gt;Journal Article&lt;/Template&gt;&lt;Star&gt;0&lt;/Star&gt;&lt;Tag&gt;0&lt;/Tag&gt;&lt;Author&gt;Yang, Leyuan; Zheng, Bo; Gong, Yanjun&lt;/Author&gt;&lt;Year&gt;2025&lt;/Year&gt;&lt;Details&gt;&lt;_accessed&gt;66401418&lt;/_accessed&gt;&lt;_accession_num&gt;40841929&lt;/_accession_num&gt;&lt;_author_adr&gt;Department of Cardiology, Peking University First Hospital, No.8 Xishiku Street,  Xicheng District, Beijing, 100034, China.; Department of Cardiology, Peking University First Hospital, No.8 Xishiku Street,  Xicheng District, Beijing, 100034, China.; Department of Cardiology, Peking University First Hospital, No.8 Xishiku Street,  Xicheng District, Beijing, 100034, China. gongyanjun@bjmu.edu.cn.&lt;/_author_adr&gt;&lt;_collection_scope&gt;SCIE&lt;/_collection_scope&gt;&lt;_created&gt;66401311&lt;/_created&gt;&lt;_date&gt;66078720&lt;/_date&gt;&lt;_date_display&gt;2025 Aug 21&lt;/_date_display&gt;&lt;_db_updated&gt;CrossRef&lt;/_db_updated&gt;&lt;_doi&gt;10.1186/s12872-025-05022-x&lt;/_doi&gt;&lt;_impact_factor&gt;   2.000&lt;/_impact_factor&gt;&lt;_isbn&gt;1471-2261&lt;/_isbn&gt;&lt;_issue&gt;1&lt;/_issue&gt;&lt;_journal&gt;BMC Cardiovascular Disorders&lt;/_journal&gt;&lt;_keywords&gt;Epidemiology; GBD 2021; Ischemic heart disease; Risk factors&lt;/_keywords&gt;&lt;_language&gt;eng&lt;/_language&gt;&lt;_modified&gt;66401418&lt;/_modified&gt;&lt;_number&gt;2&lt;/_number&gt;&lt;_ori_publication&gt;© 2025. The Author(s).&lt;/_ori_publication&gt;&lt;_pages&gt;625&lt;/_pages&gt;&lt;_social_category&gt;心脏和心血管系统(4)&lt;/_social_category&gt;&lt;_subject_headings&gt;Humans; Global Burden of Disease/trends; Male; Prevalence; Female; *Global Health; Middle Aged; *Myocardial Ischemia/mortality/epidemiology/diagnosis; Aged; Risk Assessment; Time Factors; Disability-Adjusted Life Years; Adult; Age Distribution; Sex Distribution; Aged, 80 and over; Age Factors; Young Adult; Sex Factors; Risk Factors; Prognosis; Adolescent&lt;/_subject_headings&gt;&lt;_tertiary_title&gt;BMC Cardiovasc Disord&lt;/_tertiary_title&gt;&lt;_type_work&gt;Journal Article&lt;/_type_work&gt;&lt;_url&gt;https://bmccardiovascdisord.biomedcentral.com/articles/10.1186/s12872-025-05022-x_x000d__x000a_https://link.springer.com/content/pdf/10.1186/s12872-025-05022-x.pdf&lt;/_url&gt;&lt;_volume&gt;25&lt;/_volume&gt;&lt;/Details&gt;&lt;Extra&gt;&lt;DBUID&gt;{0595FEED-06EC-4465-A92A-123F8040CA41}&lt;/DBUID&gt;&lt;/Extra&gt;&lt;/Item&gt;&lt;/References&gt;&lt;/Group&gt;&lt;/Citation&gt;_x000a_"/>
    <w:docVar w:name="NE.Ref{5C353782-323B-4571-8A75-1A80A1CA0FA6}" w:val=" ADDIN NE.Ref.{5C353782-323B-4571-8A75-1A80A1CA0FA6}&lt;Citation&gt;&lt;Group&gt;&lt;References&gt;&lt;Item&gt;&lt;ID&gt;2585&lt;/ID&gt;&lt;UID&gt;{B9AFB889-51B5-45E9-ACC6-FB4A039CFBD3}&lt;/UID&gt;&lt;Title&gt;Relative Hyperglycemia, a Marker of Critical Illness: Introducing the Stress Hyperglycemia Ratio&lt;/Title&gt;&lt;Template&gt;Journal Article&lt;/Template&gt;&lt;Star&gt;0&lt;/Star&gt;&lt;Tag&gt;0&lt;/Tag&gt;&lt;Author&gt;Roberts, Gregory W; Quinn, Stephen J; Valentine, Nyoli; Alhawassi, Tariq; O&amp;apos;Dea, Hazel; Stranks, Stephen N; Burt, Morton G; Doogue, Matthew P&lt;/Author&gt;&lt;Year&gt;2015&lt;/Year&gt;&lt;Details&gt;&lt;_accessed&gt;66401398&lt;/_accessed&gt;&lt;_accession_num&gt;26485219&lt;/_accession_num&gt;&lt;_author_adr&gt;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lt;/_author_adr&gt;&lt;_collection_scope&gt;SCIE&lt;/_collection_scope&gt;&lt;_created&gt;66401320&lt;/_created&gt;&lt;_date&gt;60965280&lt;/_date&gt;&lt;_date_display&gt;2015 Dec&lt;/_date_display&gt;&lt;_db_updated&gt;CrossRef&lt;/_db_updated&gt;&lt;_doi&gt;10.1210/jc.2015-2660&lt;/_doi&gt;&lt;_impact_factor&gt;   5.000&lt;/_impact_factor&gt;&lt;_isbn&gt;0021-972X&lt;/_isbn&gt;&lt;_issue&gt;12&lt;/_issue&gt;&lt;_journal&gt;The Journal of Clinical Endocrinology &amp;amp; Metabolism&lt;/_journal&gt;&lt;_language&gt;eng&lt;/_language&gt;&lt;_modified&gt;66401434&lt;/_modified&gt;&lt;_number&gt;14&lt;/_number&gt;&lt;_pages&gt;4490-4497&lt;/_pages&gt;&lt;_social_category&gt;内分泌学与代谢(2)&lt;/_social_category&gt;&lt;_subject_headings&gt;Adult; Australia/epidemiology; Biomarkers/*blood; Blood Glucose/metabolism; Cohort Studies; Critical Care; Critical Illness/*mortality; Female; Glycated Hemoglobin/analysis; Hospital Mortality; Hospitalization; Humans; Hyperglycemia/*blood; Male; Middle Aged; *Stress, Physiological&lt;/_subject_headings&gt;&lt;_tertiary_title&gt;The Journal of clinical endocrinology and metabolism&lt;/_tertiary_title&gt;&lt;_type_work&gt;Journal Article; Observational Study; Research Support, Non-U.S. Gov&amp;apos;t&lt;/_type_work&gt;&lt;_url&gt;https://academic.oup.com/jcem/article/100/12/4490/2536331_x000d__x000a_http://academic.oup.com/jcem/article-pdf/100/12/4490/10421980/jcem4490.pdf&lt;/_url&gt;&lt;_volume&gt;100&lt;/_volume&gt;&lt;/Details&gt;&lt;Extra&gt;&lt;DBUID&gt;{0595FEED-06EC-4465-A92A-123F8040CA41}&lt;/DBUID&gt;&lt;/Extra&gt;&lt;/Item&gt;&lt;/References&gt;&lt;/Group&gt;&lt;/Citation&gt;_x000a_"/>
    <w:docVar w:name="NE.Ref{5CB4895D-FA8F-468A-9B29-9B1273435C5F}" w:val=" ADDIN NE.Ref.{5CB4895D-FA8F-468A-9B29-9B1273435C5F}&lt;Citation&gt;&lt;Group&gt;&lt;References&gt;&lt;Item&gt;&lt;ID&gt;2731&lt;/ID&gt;&lt;UID&gt;{57D843FF-A283-4031-B0BD-30D9D0E6243F}&lt;/UID&gt;&lt;Title&gt;Stress hyperglycemia ratio linked to all-cause mortality in critically ill patients with ischemic heart disease&lt;/Title&gt;&lt;Template&gt;Journal Article&lt;/Template&gt;&lt;Star&gt;0&lt;/Star&gt;&lt;Tag&gt;0&lt;/Tag&gt;&lt;Author&gt;Liu, Tao; Wang, Lili; Zhang, Hao; Dai, Qiming&lt;/Author&gt;&lt;Year&gt;2025&lt;/Year&gt;&lt;Details&gt;&lt;_accessed&gt;66402459&lt;/_accessed&gt;&lt;_accession_num&gt;40389863&lt;/_accession_num&gt;&lt;_author_adr&gt;Department of Cardiology, Zhongda Hospital, School of Medicine, Southeast  University, Nanjing, China.; Department of Cardiology, The Second Affiliated Hospital of Xuzhou Medical  University, Xuzhou, China.; Department of Cardiology, Zhongda Hospital, School of Medicine, Southeast  University, Nanjing, China.; Department of Cardiology, Zhongda Hospital, School of Medicine, Southeast  University, Nanjing, China. 1174893841@qq.com.&lt;/_author_adr&gt;&lt;_collection_scope&gt;SCIE&lt;/_collection_scope&gt;&lt;_created&gt;66402443&lt;/_created&gt;&lt;_date&gt;65943360&lt;/_date&gt;&lt;_date_display&gt;2025 May 19&lt;/_date_display&gt;&lt;_db_updated&gt;CrossRef&lt;/_db_updated&gt;&lt;_doi&gt;10.1186/s12872-025-04831-4&lt;/_doi&gt;&lt;_impact_factor&gt;   2.000&lt;/_impact_factor&gt;&lt;_isbn&gt;1471-2261&lt;/_isbn&gt;&lt;_issue&gt;1&lt;/_issue&gt;&lt;_journal&gt;BMC Cardiovascular Disorders&lt;/_journal&gt;&lt;_keywords&gt;Ischemic heart disease; MIMIC-III database; Mortality; Stress hyperglycemia ratio&lt;/_keywords&gt;&lt;_language&gt;eng&lt;/_language&gt;&lt;_modified&gt;66402459&lt;/_modified&gt;&lt;_number&gt;36&lt;/_number&gt;&lt;_ori_publication&gt;© 2025. The Author(s).&lt;/_ori_publication&gt;&lt;_pages&gt;374&lt;/_pages&gt;&lt;_social_category&gt;心脏和心血管系统(4)&lt;/_social_category&gt;&lt;_subject_headings&gt;Humans; Male; Retrospective Studies; *Hyperglycemia/mortality/blood/diagnosis; Female; Hospital Mortality; Aged; Middle Aged; Critical Illness; *Blood Glucose/metabolism; *Myocardial Ischemia/mortality/diagnosis/blood/therapy; Risk Factors; Time Factors; Biomarkers/blood; Risk Assessment; Prognosis; Databases, Factual; *Stress, Physiological; Intensive Care Units; Cause of Death; Predictive Value of Tests&lt;/_subject_headings&gt;&lt;_tertiary_title&gt;BMC Cardiovasc Disord&lt;/_tertiary_title&gt;&lt;_type_work&gt;Journal Article&lt;/_type_work&gt;&lt;_url&gt;https://bmccardiovascdisord.biomedcentral.com/articles/10.1186/s12872-025-04831-4_x000d__x000a_https://link.springer.com/content/pdf/10.1186/s12872-025-04831-4.pdf&lt;/_url&gt;&lt;_volume&gt;25&lt;/_volume&gt;&lt;/Details&gt;&lt;Extra&gt;&lt;DBUID&gt;{0595FEED-06EC-4465-A92A-123F8040CA41}&lt;/DBUID&gt;&lt;/Extra&gt;&lt;/Item&gt;&lt;/References&gt;&lt;/Group&gt;&lt;/Citation&gt;_x000a_"/>
    <w:docVar w:name="NE.Ref{5E58BF67-931A-4738-9D98-039C832D8816}" w:val=" ADDIN NE.Ref.{5E58BF67-931A-4738-9D98-039C832D8816}&lt;Citation&gt;&lt;Group&gt;&lt;References&gt;&lt;Item&gt;&lt;ID&gt;2691&lt;/ID&gt;&lt;UID&gt;{097295E6-84F4-4A18-A52F-03B69764BCF3}&lt;/UID&gt;&lt;Title&gt;2019 ESC Guidelines for the diagnosis and management of chronic coronary syndromes&lt;/Title&gt;&lt;Template&gt;Journal Article&lt;/Template&gt;&lt;Star&gt;0&lt;/Star&gt;&lt;Tag&gt;0&lt;/Tag&gt;&lt;Author&gt;Knuuti, Juhani; Wijns, William; Saraste, Antti; Capodanno, Davide; Barbato, Emanuele; Funck-Brentano, Christian; Prescott, Eva; Storey, Robert F; Deaton, Christi; Cuisset, Thomas; Agewall, Stefan; Dickstein, Kenneth; Edvardsen, Thor; Escaned, Javier; Gersh, Bernard J; Svitil, Pavel; Gilard, Martine; Hasdai, David; Hatala, Robert; Mahfoud, Felix; Masip, Josep; Muneretto, Claudio; Valgimigli, Marco; Achenbach, Stephan; Bax, Jeroen J; Neumann, Franz-Josef; Sechtem, Udo; Banning, Adrian Paul; Bonaros, Nikolaos; Bueno, Héctor; Bugiardini, Raffaele; Chieffo, Alaide; Crea, Filippo; Czerny, Martin; Delgado, Victoria; Dendale, Paul; Flachskampf, Frank Arnold; Gohlke, Helmut; Grove, Erik Lerkevang; James, Stefan; Katritsis, Demosthenes; Landmesser, Ulf; Lettino, Maddalena; Matter, Christian M; Nathoe, Hendrik; Niessner, Alexander; Patrono, Carlo; Petronio, Anna Sonia; Pettersen, Steffen E; Piccolo, Raffaele; Piepoli, Massimo Francesco; Popescu, Bogdan A; Räber, Lorenz; Richter, Dimitrios J; Roffi, Marco; Roithinger, Franz X; Shlyakhto, Evgeny; Sibbing, Dirk; Silber, Sigmund; Simpson, Iain A; Sousa-Uva, Miguel; Vardas, Panos; Witkowski, Adam; Zamorano, Jose Luis; Achenbach, Stephan; Agewall, Stefan; Barbato, Emanuele; Bax, Jeroen J; Capodanno, Davide; Cuisset, Thomas; Deaton, Christi; Dickstein, Kenneth; Edvardsen, Thor; Escaned, Javier; Funck-Brentano, Christian; Gersh, Bernard J; Gilard, Martine; Hasdai, David; Hatala, Robert; Mahfoud, Felix; Masip, Josep; Muneretto, Claudio; Prescott, Eva; Saraste, Antti; Storey, Robert F; Svitil, Pavel; Valgimigli, Marco; Windecker, Stephan; Aboyans, Victor; Baigent, Colin; Collet, Jean-Philippe; Dean, Veronica; Delgado, Victoria; Fitzsimons, Donna; Gale, Christopher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Benkhedda, Salim; Metzler, Bernhard; Sujayeva, Volha; Cosyns, Bernard; Kusljugic, Zumreta; Velchev, Vasil; Panayi, Georgios; Kala, Petr; Haahr-Pedersen, Sune Ammentorp; Kabil, Hamza; Ainla, Tiia; Kaukonen, Tomi; Cayla, Guillaume; Pagava, Zurab; Woehrle, Jochen; Kanakakis, John; Tóth, Kálmán; Gudnason, Thorarinn; Peace, Aaron; Aronson, Doron; Riccio, Carmine; Elezi, Shpend; Mirrakhimov, Erkin; Hansone, Silvija; Sarkis, Antoine; Babarskiene, Ruta; Beissel, Jean; Maempel, Andrew J Cassar; Revenco, Valeriu; de Grooth, G J; Pejkov, Hristo; Juliebø, Vibeke; Lipiec, Piotr; Santos, José; Chioncel, Ovidiu; Duplyakov, Dmitry; Bertelli, Luca; Dikic, Ana Djordjevic; Studenčan, Martin; Bunc, Matjaz; Alfonso, Fernando; Bäck, Magnus; Zellweger, Michael; Addad, Faouzi; Yildirir, Aylin; Sirenko, Yuriy; Clapp, Brian&lt;/Author&gt;&lt;Year&gt;2020&lt;/Year&gt;&lt;Details&gt;&lt;_accessed&gt;66402457&lt;/_accessed&gt;&lt;_accession_num&gt;31504439&lt;/_accession_num&gt;&lt;_collection_scope&gt;SCIE&lt;/_collection_scope&gt;&lt;_created&gt;66401449&lt;/_created&gt;&lt;_date&gt;63132480&lt;/_date&gt;&lt;_date_display&gt;2020 Jan 14&lt;/_date_display&gt;&lt;_db_updated&gt;CrossRef&lt;/_db_updated&gt;&lt;_doi&gt;10.1093/eurheartj/ehz425&lt;/_doi&gt;&lt;_impact_factor&gt;  38.100&lt;/_impact_factor&gt;&lt;_isbn&gt;0195-668X&lt;/_isbn&gt;&lt;_issue&gt;3&lt;/_issue&gt;&lt;_journal&gt;European Heart Journal&lt;/_journal&gt;&lt;_keywords&gt;Guidelines; angina pectoris; anti-ischaemic drugs; antithrombotic therapy; chronic coronary syndromes; coronary artery disease; diagnostic testing; imaging; lifestyle modifications; lipid-lowering drugs; microvascular angina; myocardial ischaemia; myocardial revascularization; risk assessment; screening; vasospastic angina&lt;/_keywords&gt;&lt;_language&gt;eng&lt;/_language&gt;&lt;_modified&gt;66402457&lt;/_modified&gt;&lt;_number&gt;4&lt;/_number&gt;&lt;_pages&gt;407-477&lt;/_pages&gt;&lt;_social_category&gt;心脏和心血管系统(1)&lt;/_social_category&gt;&lt;_subject_headings&gt;*Cardiology; Chronic Disease; Coronary Artery Disease/*diagnosis/therapy; *Diagnostic Techniques, Cardiovascular; *Disease Management; Europe; Humans; *Societies, Medical; Syndrome&lt;/_subject_headings&gt;&lt;_tertiary_title&gt;European heart journal&lt;/_tertiary_title&gt;&lt;_type_work&gt;Journal Article; Practice Guideline&lt;/_type_work&gt;&lt;_url&gt;https://academic.oup.com/eurheartj/article/41/3/407/5556137_x000d__x000a_http://academic.oup.com/eurheartj/article-pdf/41/3/407/32651471/ehz425.pdf&lt;/_url&gt;&lt;_volume&gt;41&lt;/_volume&gt;&lt;/Details&gt;&lt;Extra&gt;&lt;DBUID&gt;{0595FEED-06EC-4465-A92A-123F8040CA41}&lt;/DBUID&gt;&lt;/Extra&gt;&lt;/Item&gt;&lt;/References&gt;&lt;/Group&gt;&lt;Group&gt;&lt;References&gt;&lt;Item&gt;&lt;ID&gt;2693&lt;/ID&gt;&lt;UID&gt;{B19EC09A-3616-4252-A7F7-FAFE5D6B4115}&lt;/UID&gt;&lt;Title&gt;2012 ACCF/AHA/ACP/AATS/PCNA/SCAI/STS Guideline for the Diagnosis and Management of Patients With Stable Ischemic Heart Disease&lt;/Title&gt;&lt;Template&gt;Journal Article&lt;/Template&gt;&lt;Star&gt;0&lt;/Star&gt;&lt;Tag&gt;0&lt;/Tag&gt;&lt;Author&gt;Fihn, Stephan D; Gardin, Julius M; Abrams, Jonathan; Berra, Kathleen; Blankenship, James C; Dallas, Apostolos P; Douglas, Pamela S; Foody, JoAnne M; Gerber, Thomas C; Hinderliter, Alan L; King, Spencer B; Kligfield, Paul D; Krumholz, Harlan M; Kwong, Raymond Y K; Lim, Michael J; Linderbaum, Jane A; Mack, Michael J; Munger, Mark A; Prager, Richard L; Sabik, Joseph F; Shaw, Leslee J; Sikkema, Joanna D; Smith, Craig R; Smith, Sidney C; Spertus, John A; Williams, Sankey V&lt;/Author&gt;&lt;Year&gt;2012&lt;/Year&gt;&lt;Details&gt;&lt;_accessed&gt;66402457&lt;/_accessed&gt;&lt;_accession_num&gt;23166211&lt;/_accession_num&gt;&lt;_collection_scope&gt;SCIE&lt;/_collection_scope&gt;&lt;_created&gt;66401449&lt;/_created&gt;&lt;_date&gt;59412960&lt;/_date&gt;&lt;_date_display&gt;2012 Dec 18&lt;/_date_display&gt;&lt;_db_updated&gt;CrossRef&lt;/_db_updated&gt;&lt;_doi&gt;10.1161/CIR.0b013e318277d6a0&lt;/_doi&gt;&lt;_impact_factor&gt;  35.600&lt;/_impact_factor&gt;&lt;_isbn&gt;0009-7322&lt;/_isbn&gt;&lt;_issue&gt;25&lt;/_issue&gt;&lt;_journal&gt;Circulation&lt;/_journal&gt;&lt;_language&gt;eng&lt;/_language&gt;&lt;_modified&gt;66402457&lt;/_modified&gt;&lt;_number&gt;5&lt;/_number&gt;&lt;_pages&gt;e354-471&lt;/_pages&gt;&lt;_social_category&gt;心脏和心血管系统(1) &amp;amp; 外周血管病(1)&lt;/_social_category&gt;&lt;_subject_headings&gt;Coronary Angiography; Coronary Artery Bypass; Echocardiography; Exercise Test; Humans; Myocardial Ischemia/*diagnosis/*therapy; Myocardial Revascularization; Patient Education as Topic; Risk Assessment&lt;/_subject_headings&gt;&lt;_tertiary_title&gt;Circulation&lt;/_tertiary_title&gt;&lt;_type_work&gt;Journal Article; Practice Guideline&lt;/_type_work&gt;&lt;_url&gt;https://www.ahajournals.org/doi/10.1161/CIR.0b013e318277d6a0_x000d__x000a_https://www.ahajournals.org/doi/full/10.1161/CIR.0b013e318277d6a0&lt;/_url&gt;&lt;_volume&gt;126&lt;/_volume&gt;&lt;/Details&gt;&lt;Extra&gt;&lt;DBUID&gt;{0595FEED-06EC-4465-A92A-123F8040CA41}&lt;/DBUID&gt;&lt;/Extra&gt;&lt;/Item&gt;&lt;/References&gt;&lt;/Group&gt;&lt;/Citation&gt;_x000a_"/>
    <w:docVar w:name="NE.Ref{61255360-3E50-4EDF-999D-7573DF06A98B}" w:val=" ADDIN NE.Ref.{61255360-3E50-4EDF-999D-7573DF06A98B}&lt;Citation&gt;&lt;Group&gt;&lt;References&gt;&lt;Item&gt;&lt;ID&gt;2599&lt;/ID&gt;&lt;UID&gt;{F63546CC-57BC-480F-9D82-352E2AB56D5E}&lt;/UID&gt;&lt;Title&gt;Relative Hyperglycemia, a Marker of Critical Illness: Introducing the Stress Hyperglycemia Ratio&lt;/Title&gt;&lt;Template&gt;Journal Article&lt;/Template&gt;&lt;Star&gt;0&lt;/Star&gt;&lt;Tag&gt;0&lt;/Tag&gt;&lt;Author&gt;Roberts, Gregory W; Quinn, Stephen J; Valentine, Nyoli; Alhawassi, Tariq; O&amp;apos;Dea, Hazel; Stranks, Stephen N; Burt, Morton G; Doogue, Matthew P&lt;/Author&gt;&lt;Year&gt;2015&lt;/Year&gt;&lt;Details&gt;&lt;_accessed&gt;66401361&lt;/_accessed&gt;&lt;_accession_num&gt;26485219&lt;/_accession_num&gt;&lt;_author_adr&gt;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lt;/_author_adr&gt;&lt;_collection_scope&gt;SCIE&lt;/_collection_scope&gt;&lt;_created&gt;66401335&lt;/_created&gt;&lt;_date&gt;60965280&lt;/_date&gt;&lt;_date_display&gt;2015 Dec&lt;/_date_display&gt;&lt;_db_updated&gt;CrossRef&lt;/_db_updated&gt;&lt;_doi&gt;10.1210/jc.2015-2660&lt;/_doi&gt;&lt;_impact_factor&gt;   5.000&lt;/_impact_factor&gt;&lt;_isbn&gt;0021-972X&lt;/_isbn&gt;&lt;_issue&gt;12&lt;/_issue&gt;&lt;_journal&gt;The Journal of Clinical Endocrinology &amp;amp; Metabolism&lt;/_journal&gt;&lt;_language&gt;eng&lt;/_language&gt;&lt;_modified&gt;66401377&lt;/_modified&gt;&lt;_pages&gt;4490-4497&lt;/_pages&gt;&lt;_social_category&gt;内分泌学与代谢(2)&lt;/_social_category&gt;&lt;_subject_headings&gt;Adult; Australia/epidemiology; Biomarkers/*blood; Blood Glucose/metabolism; Cohort Studies; Critical Care; Critical Illness/*mortality; Female; Glycated Hemoglobin/analysis; Hospital Mortality; Hospitalization; Humans; Hyperglycemia/*blood; Male; Middle Aged; *Stress, Physiological&lt;/_subject_headings&gt;&lt;_tertiary_title&gt;The Journal of clinical endocrinology and metabolism&lt;/_tertiary_title&gt;&lt;_type_work&gt;Journal Article; Observational Study; Research Support, Non-U.S. Gov&amp;apos;t&lt;/_type_work&gt;&lt;_url&gt;https://academic.oup.com/jcem/article/100/12/4490/2536331_x000d__x000a_http://academic.oup.com/jcem/article-pdf/100/12/4490/10421980/jcem4490.pdf&lt;/_url&gt;&lt;_volume&gt;100&lt;/_volume&gt;&lt;/Details&gt;&lt;Extra&gt;&lt;DBUID&gt;{0595FEED-06EC-4465-A92A-123F8040CA41}&lt;/DBUID&gt;&lt;/Extra&gt;&lt;/Item&gt;&lt;/References&gt;&lt;/Group&gt;&lt;Group&gt;&lt;References&gt;&lt;Item&gt;&lt;ID&gt;2608&lt;/ID&gt;&lt;UID&gt;{F0CA2B14-18C2-42EE-BCCA-ED9F464F3550}&lt;/UID&gt;&lt;Title&gt;Stress hyperglycaemia&lt;/Title&gt;&lt;Template&gt;Journal Article&lt;/Template&gt;&lt;Star&gt;0&lt;/Star&gt;&lt;Tag&gt;0&lt;/Tag&gt;&lt;Author&gt;Dungan, Kathleen M; Braithwaite, Susan S; Preiser, Jean-Charles&lt;/Author&gt;&lt;Year&gt;2009&lt;/Year&gt;&lt;Details&gt;&lt;_accessed&gt;66401361&lt;/_accessed&gt;&lt;_accession_num&gt;19465235&lt;/_accession_num&gt;&lt;_author_adr&gt;The Ohio State University, Columbus, OH 43210-1296, USA.  kathleen.dungan@osumc.edu&lt;/_author_adr&gt;&lt;_collection_scope&gt;SCIE&lt;/_collection_scope&gt;&lt;_created&gt;66401339&lt;/_created&gt;&lt;_date&gt;2009-05-23&lt;/_date&gt;&lt;_date_display&gt;2009 May 23&lt;/_date_display&gt;&lt;_db_updated&gt;CrossRef&lt;/_db_updated&gt;&lt;_doi&gt;10.1016/S0140-6736(09)60553-5&lt;/_doi&gt;&lt;_impact_factor&gt;  98.400&lt;/_impact_factor&gt;&lt;_isbn&gt;01406736&lt;/_isbn&gt;&lt;_issue&gt;9677&lt;/_issue&gt;&lt;_journal&gt;The Lancet&lt;/_journal&gt;&lt;_language&gt;eng&lt;/_language&gt;&lt;_modified&gt;66401377&lt;/_modified&gt;&lt;_pages&gt;1798-1807&lt;/_pages&gt;&lt;_social_category&gt;医学：内科(1)&lt;/_social_category&gt;&lt;_subject_headings&gt;Acute Disease; Blood Glucose/metabolism; Cardiovascular Diseases/complications; *Critical Illness; Early Diagnosis; Glucose Tolerance Test; Humans; *Hyperglycemia/diagnosis/epidemiology/etiology/prevention &amp;amp; control; Monitoring, Physiologic; Prediabetic State/complications; Prevalence; Research Design; Risk Factors; Risk Reduction Behavior; Severity of Illness Index; *Stress, Physiological/physiology; Stroke/complications; Surgical Procedures, Operative/adverse effects; Treatment Outcome&lt;/_subject_headings&gt;&lt;_tertiary_title&gt;The Lancet&lt;/_tertiary_title&gt;&lt;_type_work&gt;Journal Article; Review&lt;/_type_work&gt;&lt;_url&gt;https://linkinghub.elsevier.com/retrieve/pii/S0140673609605535_x000d__x000a_https://api.elsevier.com/content/article/PII:S0140673609605535?httpAccept=text/xml&lt;/_url&gt;&lt;_volume&gt;373&lt;/_volume&gt;&lt;/Details&gt;&lt;Extra&gt;&lt;DBUID&gt;{0595FEED-06EC-4465-A92A-123F8040CA41}&lt;/DBUID&gt;&lt;/Extra&gt;&lt;/Item&gt;&lt;/References&gt;&lt;/Group&gt;&lt;/Citation&gt;_x000a_"/>
    <w:docVar w:name="NE.Ref{61D135C9-CE95-4E46-AF85-C0A9E355ED8F}" w:val=" ADDIN NE.Ref.{61D135C9-CE95-4E46-AF85-C0A9E355ED8F}&lt;Citation&gt;&lt;Group&gt;&lt;References&gt;&lt;Item&gt;&lt;ID&gt;2713&lt;/ID&gt;&lt;UID&gt;{11E8AAEF-278A-4C03-B41C-EDC6514DC313}&lt;/UID&gt;&lt;Title&gt;Relationship between stress hyperglycemia ratio and allcause mortality in critically ill patients: Results from the MIMIC-IV database&lt;/Title&gt;&lt;Template&gt;Journal Article&lt;/Template&gt;&lt;Star&gt;0&lt;/Star&gt;&lt;Tag&gt;0&lt;/Tag&gt;&lt;Author&gt;Zhang, Chong; Shen, He-Chen; Liang, Wei-Ru; Ning, Meng; Wang, Zi-Xuan; Chen, Yi; Su, Wei; Guo, Ting-Ting; Hu, Kun; Liu, Ying-Wu&lt;/Author&gt;&lt;Year&gt;2023&lt;/Year&gt;&lt;Details&gt;&lt;_accessed&gt;66402459&lt;/_accessed&gt;&lt;_accession_num&gt;37077351&lt;/_accession_num&gt;&lt;_author_adr&gt;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State Key Laboratory of Experimental Hematology, National Clinical Research  Center for Blood Diseases, Haihe Laboratory of Cell Ecosystem, Institute of  Hematology &amp;amp; Blood Diseases Hospital, Chinese Academy of Medical Sciences &amp;amp;  Peking Union Medical College,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 The Third Central Clinical College of Tianjin Medical University, Tianjin, China.; Tianjin Key Laboratory of Extracorporeal Life Support for Critical Diseases, The  Third Central Hospital of Tianjin, Tianjin, China.; Artificial Cell Engineering Technology Research Center, The Third Central  Hospital of Tianjin, Tianjin, China.; Tianjin Institute of Hepatobiliary Disease, The Third Central Hospital of  Tianjin, Tianjin, China.; Department of Heart Center, The Third Central Hospital of Tianjin, Tianjin,  China.&lt;/_author_adr&gt;&lt;_collection_scope&gt;SCIE&lt;/_collection_scope&gt;&lt;_created&gt;66401458&lt;/_created&gt;&lt;_date&gt;64824480&lt;/_date&gt;&lt;_date_display&gt;2023&lt;/_date_display&gt;&lt;_db_updated&gt;CrossRef&lt;/_db_updated&gt;&lt;_doi&gt;10.3389/fendo.2023.1111026&lt;/_doi&gt;&lt;_impact_factor&gt;   3.900&lt;/_impact_factor&gt;&lt;_isbn&gt;1664-2392&lt;/_isbn&gt;&lt;_journal&gt;Frontiers in Endocrinology&lt;/_journal&gt;&lt;_keywords&gt;all-cause mortality; critically ill patients; intensive care unit; mortality; stress hyperglycemia ratio&lt;/_keywords&gt;&lt;_language&gt;eng&lt;/_language&gt;&lt;_modified&gt;66402459&lt;/_modified&gt;&lt;_number&gt;22&lt;/_number&gt;&lt;_ori_publication&gt;Copyright © 2023 Zhang, Shen, Liang, Ning, Wang, Chen, Su, Guo, Hu and Liu.&lt;/_ori_publication&gt;&lt;_pages&gt;1111026&lt;/_pages&gt;&lt;_social_category&gt;内分泌学与代谢(3)&lt;/_social_category&gt;&lt;_subject_headings&gt;Humans; Retrospective Studies; Critical Illness; Intensive Care Units; *Hyperglycemia; *Diabetes Mellitus&lt;/_subject_headings&gt;&lt;_tertiary_title&gt;Front. Endocrinol.&lt;/_tertiary_title&gt;&lt;_type_work&gt;Journal Article; Research Support, Non-U.S. Gov&amp;apos;t&lt;/_type_work&gt;&lt;_url&gt;https://www.frontiersin.org/articles/10.3389/fendo.2023.1111026/full_x000d__x000a_https://www.frontiersin.org/articles/10.3389/fendo.2023.1111026/full&lt;/_url&gt;&lt;_volume&gt;14&lt;/_volume&gt;&lt;/Details&gt;&lt;Extra&gt;&lt;DBUID&gt;{0595FEED-06EC-4465-A92A-123F8040CA41}&lt;/DBUID&gt;&lt;/Extra&gt;&lt;/Item&gt;&lt;/References&gt;&lt;/Group&gt;&lt;/Citation&gt;_x000a_"/>
    <w:docVar w:name="NE.Ref{65C46BE6-60EA-4946-88EA-BA6EEE525D8C}" w:val=" ADDIN NE.Ref.{65C46BE6-60EA-4946-88EA-BA6EEE525D8C}&lt;Citation&gt;&lt;Group&gt;&lt;References&gt;&lt;Item&gt;&lt;ID&gt;2583&lt;/ID&gt;&lt;UID&gt;{F800294F-7C68-44BA-AE29-9C83FF8AF260}&lt;/UID&gt;&lt;Title&gt;Usefulness of Glycemic Gap to Predict ICU Mortality in Critically Ill Patients With Diabetes&lt;/Title&gt;&lt;Template&gt;Journal Article&lt;/Template&gt;&lt;Star&gt;0&lt;/Star&gt;&lt;Tag&gt;0&lt;/Tag&gt;&lt;Author&gt;Liao, Wen-I.; Wang, Jen-Chun; Chang, Wei-Chou; Hsu, Chin-Wang; Chu, Chi-Ming; Tsai, Shih-Hung&lt;/Author&gt;&lt;Year&gt;2015&lt;/Year&gt;&lt;Details&gt;&lt;_accessed&gt;66401360&lt;/_accessed&gt;&lt;_accession_num&gt;26356728&lt;/_accession_num&gt;&lt;_author_adr&gt;From Department of Emergency Medicine, Tri-Service General Hospital, National  Defense Medical Center, Taipei, Taiwan (W-IL, J-CW, S-HT); Department of  Radiology, Tri-Service General Hospital, National Defense Medical Center, Taipei,  Taiwan (W-CC); Department of Emergency and Critical Care Medicine, Taipei Medical  University-Wan Fang Hospital, Taipei, Taiwan (C-WH); and School of Public Health,  National Defense Medical Center, Taipei, Taiwan (C-MC).&lt;/_author_adr&gt;&lt;_collection_scope&gt;SCIE&lt;/_collection_scope&gt;&lt;_created&gt;66401319&lt;/_created&gt;&lt;_date&gt;2015-09-01&lt;/_date&gt;&lt;_date_display&gt;2015 Sep&lt;/_date_display&gt;&lt;_db_updated&gt;CrossRef&lt;/_db_updated&gt;&lt;_doi&gt;10.1097/MD.0000000000001525&lt;/_doi&gt;&lt;_impact_factor&gt;   1.400&lt;/_impact_factor&gt;&lt;_isbn&gt;0025-7974&lt;/_isbn&gt;&lt;_issue&gt;36&lt;/_issue&gt;&lt;_journal&gt;Medicine&lt;/_journal&gt;&lt;_language&gt;eng&lt;/_language&gt;&lt;_modified&gt;66401434&lt;/_modified&gt;&lt;_number&gt;12&lt;/_number&gt;&lt;_pages&gt;e1525&lt;/_pages&gt;&lt;_social_category&gt;医学：内科(4)&lt;/_social_category&gt;&lt;_subject_headings&gt;APACHE; Aged; Aged, 80 and over; Blood Glucose/*analysis; Critical Illness/mortality; *Diabetes Mellitus/blood/diagnosis; Female; Glycated Hemoglobin/analysis; Hospital Mortality; Humans; *Hyperglycemia/blood/diagnosis/etiology; Intensive Care Units/statistics &amp;amp; numerical data; Male; Middle Aged; Outcome Assessment, Health Care; Predictive Value of Tests; Prognosis; Retrospective Studies; Severity of Illness Index; *Stress, Physiological; Taiwan/epidemiology&lt;/_subject_headings&gt;&lt;_tertiary_title&gt;Medicine&lt;/_tertiary_title&gt;&lt;_type_work&gt;Journal Article; Observational Study; Research Support, Non-U.S. Gov&amp;apos;t&lt;/_type_work&gt;&lt;_url&gt;https://journals.lww.com/00005792-201509020-00043_x000d__x000a_https://journals.lww.com/10.1097/MD.0000000000001525&lt;/_url&gt;&lt;_volume&gt;94&lt;/_volume&gt;&lt;/Details&gt;&lt;Extra&gt;&lt;DBUID&gt;{0595FEED-06EC-4465-A92A-123F8040CA41}&lt;/DBUID&gt;&lt;/Extra&gt;&lt;/Item&gt;&lt;/References&gt;&lt;/Group&gt;&lt;Group&gt;&lt;References&gt;&lt;Item&gt;&lt;ID&gt;2584&lt;/ID&gt;&lt;UID&gt;{EEA9B5FF-59C1-42A7-B092-BF38A3E039A3}&lt;/UID&gt;&lt;Title&gt;An Elevated Glycemic Gap is Associated with Adverse Outcomes in Diabetic Patients with Acute Myocardial Infarction&lt;/Title&gt;&lt;Template&gt;Journal Article&lt;/Template&gt;&lt;Star&gt;0&lt;/Star&gt;&lt;Tag&gt;0&lt;/Tag&gt;&lt;Author&gt;Liao, Wen-I; Lin, Chin-Sheng; Lee, Chien-Hsing; Wu, Ya-Chieh; Chang, Wei-Chou; Hsu, Chin-Wang; Wang, Jen-Chun; Tsai, Shih-Hung&lt;/Author&gt;&lt;Year&gt;2016&lt;/Year&gt;&lt;Details&gt;&lt;_accessed&gt;66401360&lt;/_accessed&gt;&lt;_accession_num&gt;27291987&lt;/_accession_num&gt;&lt;_author_adr&gt;Department of Emergency Medicine, Tri-Service General Hospital, National Defense  Medical Center, Taipei, Taiwan.; Division of Cardiology, Department of Internal Medicine, Tri-Service General  Hospital, National Defense Medical Center, Taipei, Taiwan.; Division of Endocrinology and Metabolism, Department of Internal Medicine,  Tri-Service General Hospital, National Defense Medical Center, Taipei, Taiwan.; Graduate Institute of Aerospace and Undersea Medicine, National Defense Medical  Center, Taipei, Taiwan.; Department of Radiology, Tri-Service General Hospital, National Defense Medical  Center, Taipei, Taiwan.; Department of Emergency Medicine, School of Medicine, College of Medicine, Taipei  Medical University, Taipei, Taiwan.; Department of Emergency and Critical Medicine, Wan Fang Hospital, Taipei Medical  University, Taipei, Taiwan.; Department of Emergency Medicine, Tri-Service General Hospital, National Defense  Medical Center, Taipei, Taiwan.; Department of Emergency Medicine, Tri-Service General Hospital, National Defense  Medical Center, Taipei, Taiwan.&lt;/_author_adr&gt;&lt;_collection_scope&gt;SCIE&lt;/_collection_scope&gt;&lt;_created&gt;66401319&lt;/_created&gt;&lt;_date&gt;61246080&lt;/_date&gt;&lt;_date_display&gt;2016 Jun 13&lt;/_date_display&gt;&lt;_db_updated&gt;CrossRef&lt;/_db_updated&gt;&lt;_doi&gt;10.1038/srep27770&lt;/_doi&gt;&lt;_impact_factor&gt;   3.800&lt;/_impact_factor&gt;&lt;_isbn&gt;2045-2322&lt;/_isbn&gt;&lt;_issue&gt;1&lt;/_issue&gt;&lt;_journal&gt;Scientific Reports&lt;/_journal&gt;&lt;_language&gt;eng&lt;/_language&gt;&lt;_modified&gt;66401434&lt;/_modified&gt;&lt;_number&gt;13&lt;/_number&gt;&lt;_pages&gt;27770&lt;/_pages&gt;&lt;_social_category&gt;综合性期刊(3)&lt;/_social_category&gt;&lt;_subject_headings&gt;Aged; Aged, 80 and over; Blood Glucose/*analysis; Diabetes Mellitus/*blood; Female; Glycated Hemoglobin/metabolism; Humans; Hyperglycemia/blood/*diagnosis; Male; Middle Aged; Myocardial Infarction/blood/*mortality; Retrospective Studies&lt;/_subject_headings&gt;&lt;_tertiary_title&gt;Sci Rep&lt;/_tertiary_title&gt;&lt;_type_work&gt;Journal Article; Observational Study; Research Support, Non-U.S. Gov&amp;apos;t&lt;/_type_work&gt;&lt;_url&gt;https://www.nature.com/articles/srep27770_x000d__x000a_https://www.nature.com/articles/srep27770.pdf&lt;/_url&gt;&lt;_volume&gt;6&lt;/_volume&gt;&lt;/Details&gt;&lt;Extra&gt;&lt;DBUID&gt;{0595FEED-06EC-4465-A92A-123F8040CA41}&lt;/DBUID&gt;&lt;/Extra&gt;&lt;/Item&gt;&lt;/References&gt;&lt;/Group&gt;&lt;/Citation&gt;_x000a_"/>
    <w:docVar w:name="NE.Ref{677BCBD7-5AB7-4AA9-A7B4-EA886F9C9155}" w:val=" ADDIN NE.Ref.{677BCBD7-5AB7-4AA9-A7B4-EA886F9C9155}&lt;Citation&gt;&lt;Group&gt;&lt;References&gt;&lt;Item&gt;&lt;ID&gt;2575&lt;/ID&gt;&lt;UID&gt;{CC306890-9661-401F-90A5-8F620DF868D9}&lt;/UID&gt;&lt;Title&gt;2019 ESC Guidelines for the diagnosis and management of chronic coronary syndromes&lt;/Title&gt;&lt;Template&gt;Journal Article&lt;/Template&gt;&lt;Star&gt;0&lt;/Star&gt;&lt;Tag&gt;0&lt;/Tag&gt;&lt;Author&gt;Knuuti, Juhani; Wijns, William; Saraste, Antti; Capodanno, Davide; Barbato, Emanuele; Funck-Brentano, Christian; Prescott, Eva; Storey, Robert F; Deaton, Christi; Cuisset, Thomas; Agewall, Stefan; Dickstein, Kenneth; Edvardsen, Thor; Escaned, Javier; Gersh, Bernard J; Svitil, Pavel; Gilard, Martine; Hasdai, David; Hatala, Robert; Mahfoud, Felix; Masip, Josep; Muneretto, Claudio; Valgimigli, Marco; Achenbach, Stephan; Bax, Jeroen J; Neumann, Franz-Josef; Sechtem, Udo; Banning, Adrian Paul; Bonaros, Nikolaos; Bueno, Héctor; Bugiardini, Raffaele; Chieffo, Alaide; Crea, Filippo; Czerny, Martin; Delgado, Victoria; Dendale, Paul; Flachskampf, Frank Arnold; Gohlke, Helmut; Grove, Erik Lerkevang; James, Stefan; Katritsis, Demosthenes; Landmesser, Ulf; Lettino, Maddalena; Matter, Christian M; Nathoe, Hendrik; Niessner, Alexander; Patrono, Carlo; Petronio, Anna Sonia; Pettersen, Steffen E; Piccolo, Raffaele; Piepoli, Massimo Francesco; Popescu, Bogdan A; Räber, Lorenz; Richter, Dimitrios J; Roffi, Marco; Roithinger, Franz X; Shlyakhto, Evgeny; Sibbing, Dirk; Silber, Sigmund; Simpson, Iain A; Sousa-Uva, Miguel; Vardas, Panos; Witkowski, Adam; Zamorano, Jose Luis; Achenbach, Stephan; Agewall, Stefan; Barbato, Emanuele; Bax, Jeroen J; Capodanno, Davide; Cuisset, Thomas; Deaton, Christi; Dickstein, Kenneth; Edvardsen, Thor; Escaned, Javier; Funck-Brentano, Christian; Gersh, Bernard J; Gilard, Martine; Hasdai, David; Hatala, Robert; Mahfoud, Felix; Masip, Josep; Muneretto, Claudio; Prescott, Eva; Saraste, Antti; Storey, Robert F; Svitil, Pavel; Valgimigli, Marco; Windecker, Stephan; Aboyans, Victor; Baigent, Colin; Collet, Jean-Philippe; Dean, Veronica; Delgado, Victoria; Fitzsimons, Donna; Gale, Christopher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Benkhedda, Salim; Metzler, Bernhard; Sujayeva, Volha; Cosyns, Bernard; Kusljugic, Zumreta; Velchev, Vasil; Panayi, Georgios; Kala, Petr; Haahr-Pedersen, Sune Ammentorp; Kabil, Hamza; Ainla, Tiia; Kaukonen, Tomi; Cayla, Guillaume; Pagava, Zurab; Woehrle, Jochen; Kanakakis, John; Tóth, Kálmán; Gudnason, Thorarinn; Peace, Aaron; Aronson, Doron; Riccio, Carmine; Elezi, Shpend; Mirrakhimov, Erkin; Hansone, Silvija; Sarkis, Antoine; Babarskiene, Ruta; Beissel, Jean; Maempel, Andrew J Cassar; Revenco, Valeriu; de Grooth, G J; Pejkov, Hristo; Juliebø, Vibeke; Lipiec, Piotr; Santos, José; Chioncel, Ovidiu; Duplyakov, Dmitry; Bertelli, Luca; Dikic, Ana Djordjevic; Studenčan, Martin; Bunc, Matjaz; Alfonso, Fernando; Bäck, Magnus; Zellweger, Michael; Addad, Faouzi; Yildirir, Aylin; Sirenko, Yuriy; Clapp, Brian&lt;/Author&gt;&lt;Year&gt;2020&lt;/Year&gt;&lt;Details&gt;&lt;_accessed&gt;66401430&lt;/_accessed&gt;&lt;_accession_num&gt;31504439&lt;/_accession_num&gt;&lt;_collection_scope&gt;SCIE&lt;/_collection_scope&gt;&lt;_created&gt;66401315&lt;/_created&gt;&lt;_date&gt;63132480&lt;/_date&gt;&lt;_date_display&gt;2020 Jan 14&lt;/_date_display&gt;&lt;_db_updated&gt;CrossRef&lt;/_db_updated&gt;&lt;_doi&gt;10.1093/eurheartj/ehz425&lt;/_doi&gt;&lt;_impact_factor&gt;  38.100&lt;/_impact_factor&gt;&lt;_isbn&gt;0195-668X&lt;/_isbn&gt;&lt;_issue&gt;3&lt;/_issue&gt;&lt;_journal&gt;European Heart Journal&lt;/_journal&gt;&lt;_keywords&gt;Guidelines; angina pectoris; anti-ischaemic drugs; antithrombotic therapy; chronic coronary syndromes; coronary artery disease; diagnostic testing; imaging; lifestyle modifications; lipid-lowering drugs; microvascular angina; myocardial ischaemia; myocardial revascularization; risk assessment; screening; vasospastic angina&lt;/_keywords&gt;&lt;_language&gt;eng&lt;/_language&gt;&lt;_modified&gt;66401431&lt;/_modified&gt;&lt;_number&gt;4&lt;/_number&gt;&lt;_pages&gt;407-477&lt;/_pages&gt;&lt;_social_category&gt;心脏和心血管系统(1)&lt;/_social_category&gt;&lt;_subject_headings&gt;*Cardiology; Chronic Disease; Coronary Artery Disease/*diagnosis/therapy; *Diagnostic Techniques, Cardiovascular; *Disease Management; Europe; Humans; *Societies, Medical; Syndrome&lt;/_subject_headings&gt;&lt;_tertiary_title&gt;European heart journal&lt;/_tertiary_title&gt;&lt;_type_work&gt;Journal Article; Practice Guideline&lt;/_type_work&gt;&lt;_url&gt;https://academic.oup.com/eurheartj/article/41/3/407/5556137_x000d__x000a_http://academic.oup.com/eurheartj/article-pdf/41/3/407/32651471/ehz425.pdf&lt;/_url&gt;&lt;_volume&gt;41&lt;/_volume&gt;&lt;/Details&gt;&lt;Extra&gt;&lt;DBUID&gt;{0595FEED-06EC-4465-A92A-123F8040CA41}&lt;/DBUID&gt;&lt;/Extra&gt;&lt;/Item&gt;&lt;/References&gt;&lt;/Group&gt;&lt;Group&gt;&lt;References&gt;&lt;Item&gt;&lt;ID&gt;2576&lt;/ID&gt;&lt;UID&gt;{C7065FEB-CF0F-4EAF-8C5E-A3C5BAE99ABE}&lt;/UID&gt;&lt;Title&gt;2012 ACCF/AHA/ACP/AATS/PCNA/SCAI/STS Guideline for the Diagnosis and Management of Patients With Stable Ischemic Heart Disease&lt;/Title&gt;&lt;Template&gt;Journal Article&lt;/Template&gt;&lt;Star&gt;0&lt;/Star&gt;&lt;Tag&gt;0&lt;/Tag&gt;&lt;Author&gt;Fihn, Stephan D; Gardin, Julius M; Abrams, Jonathan; Berra, Kathleen; Blankenship, James C; Dallas, Apostolos P; Douglas, Pamela S; Foody, JoAnne M; Gerber, Thomas C; Hinderliter, Alan L; King, Spencer B; Kligfield, Paul D; Krumholz, Harlan M; Kwong, Raymond Y K; Lim, Michael J; Linderbaum, Jane A; Mack, Michael J; Munger, Mark A; Prager, Richard L; Sabik, Joseph F; Shaw, Leslee J; Sikkema, Joanna D; Smith, Craig R; Smith, Sidney C; Spertus, John A; Williams, Sankey V&lt;/Author&gt;&lt;Year&gt;2012&lt;/Year&gt;&lt;Details&gt;&lt;_accessed&gt;66401431&lt;/_accessed&gt;&lt;_accession_num&gt;23166211&lt;/_accession_num&gt;&lt;_collection_scope&gt;SCIE&lt;/_collection_scope&gt;&lt;_created&gt;66401315&lt;/_created&gt;&lt;_date&gt;59412960&lt;/_date&gt;&lt;_date_display&gt;2012 Dec 18&lt;/_date_display&gt;&lt;_db_updated&gt;CrossRef&lt;/_db_updated&gt;&lt;_doi&gt;10.1161/CIR.0b013e318277d6a0&lt;/_doi&gt;&lt;_impact_factor&gt;  35.600&lt;/_impact_factor&gt;&lt;_isbn&gt;0009-7322&lt;/_isbn&gt;&lt;_issue&gt;25&lt;/_issue&gt;&lt;_journal&gt;Circulation&lt;/_journal&gt;&lt;_language&gt;eng&lt;/_language&gt;&lt;_modified&gt;66401431&lt;/_modified&gt;&lt;_number&gt;5&lt;/_number&gt;&lt;_pages&gt;e354-471&lt;/_pages&gt;&lt;_social_category&gt;心脏和心血管系统(1) &amp;amp; 外周血管病(1)&lt;/_social_category&gt;&lt;_subject_headings&gt;Coronary Angiography; Coronary Artery Bypass; Echocardiography; Exercise Test; Humans; Myocardial Ischemia/*diagnosis/*therapy; Myocardial Revascularization; Patient Education as Topic; Risk Assessment&lt;/_subject_headings&gt;&lt;_tertiary_title&gt;Circulation&lt;/_tertiary_title&gt;&lt;_type_work&gt;Journal Article; Practice Guideline&lt;/_type_work&gt;&lt;_url&gt;https://www.ahajournals.org/doi/10.1161/CIR.0b013e318277d6a0_x000d__x000a_https://www.ahajournals.org/doi/full/10.1161/CIR.0b013e318277d6a0&lt;/_url&gt;&lt;_volume&gt;126&lt;/_volume&gt;&lt;/Details&gt;&lt;Extra&gt;&lt;DBUID&gt;{0595FEED-06EC-4465-A92A-123F8040CA41}&lt;/DBUID&gt;&lt;/Extra&gt;&lt;/Item&gt;&lt;/References&gt;&lt;/Group&gt;&lt;/Citation&gt;_x000a_"/>
    <w:docVar w:name="NE.Ref{690157C1-669C-4F5D-86D9-9A4D888160B0}" w:val=" ADDIN NE.Ref.{690157C1-669C-4F5D-86D9-9A4D888160B0}&lt;Citation&gt;&lt;Group&gt;&lt;References&gt;&lt;Item&gt;&lt;ID&gt;2705&lt;/ID&gt;&lt;UID&gt;{FAC6AB9F-CDB0-4751-92E4-B2ED6A2DFAA5}&lt;/UID&gt;&lt;Title&gt;Relative Hyperglycemia, a Marker of Critical Illness: Introducing the Stress Hyperglycemia Ratio&lt;/Title&gt;&lt;Template&gt;Journal Article&lt;/Template&gt;&lt;Star&gt;0&lt;/Star&gt;&lt;Tag&gt;0&lt;/Tag&gt;&lt;Author&gt;Roberts, Gregory W; Quinn, Stephen J; Valentine, Nyoli; Alhawassi, Tariq; O&amp;apos;Dea, Hazel; Stranks, Stephen N; Burt, Morton G; Doogue, Matthew P&lt;/Author&gt;&lt;Year&gt;2015&lt;/Year&gt;&lt;Details&gt;&lt;_accessed&gt;66402458&lt;/_accessed&gt;&lt;_accession_num&gt;26485219&lt;/_accession_num&gt;&lt;_author_adr&gt;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lt;/_author_adr&gt;&lt;_collection_scope&gt;SCIE&lt;/_collection_scope&gt;&lt;_created&gt;66401455&lt;/_created&gt;&lt;_date&gt;60965280&lt;/_date&gt;&lt;_date_display&gt;2015 Dec&lt;/_date_display&gt;&lt;_db_updated&gt;CrossRef&lt;/_db_updated&gt;&lt;_doi&gt;10.1210/jc.2015-2660&lt;/_doi&gt;&lt;_impact_factor&gt;   5.000&lt;/_impact_factor&gt;&lt;_isbn&gt;0021-972X&lt;/_isbn&gt;&lt;_issue&gt;12&lt;/_issue&gt;&lt;_journal&gt;The Journal of Clinical Endocrinology &amp;amp; Metabolism&lt;/_journal&gt;&lt;_language&gt;eng&lt;/_language&gt;&lt;_modified&gt;66402458&lt;/_modified&gt;&lt;_number&gt;14&lt;/_number&gt;&lt;_pages&gt;4490-4497&lt;/_pages&gt;&lt;_social_category&gt;内分泌学与代谢(2)&lt;/_social_category&gt;&lt;_subject_headings&gt;Adult; Australia/epidemiology; Biomarkers/*blood; Blood Glucose/metabolism; Cohort Studies; Critical Care; Critical Illness/*mortality; Female; Glycated Hemoglobin/analysis; Hospital Mortality; Hospitalization; Humans; Hyperglycemia/*blood; Male; Middle Aged; *Stress, Physiological&lt;/_subject_headings&gt;&lt;_tertiary_title&gt;The Journal of clinical endocrinology and metabolism&lt;/_tertiary_title&gt;&lt;_type_work&gt;Journal Article; Observational Study; Research Support, Non-U.S. Gov&amp;apos;t&lt;/_type_work&gt;&lt;_url&gt;https://academic.oup.com/jcem/article/100/12/4490/2536331_x000d__x000a_http://academic.oup.com/jcem/article-pdf/100/12/4490/10421980/jcem4490.pdf&lt;/_url&gt;&lt;_volume&gt;100&lt;/_volume&gt;&lt;/Details&gt;&lt;Extra&gt;&lt;DBUID&gt;{0595FEED-06EC-4465-A92A-123F8040CA41}&lt;/DBUID&gt;&lt;/Extra&gt;&lt;/Item&gt;&lt;/References&gt;&lt;/Group&gt;&lt;/Citation&gt;_x000a_"/>
    <w:docVar w:name="NE.Ref{6B88F672-E45D-4F84-840F-665A24481945}" w:val=" ADDIN NE.Ref.{6B88F672-E45D-4F84-840F-665A24481945}&lt;Citation&gt;&lt;Group&gt;&lt;References&gt;&lt;Item&gt;&lt;ID&gt;2597&lt;/ID&gt;&lt;UID&gt;{60C972C2-480E-40F6-9329-86D580465125}&lt;/UID&gt;&lt;Title&gt;MIMIC-IV, a freely accessible electronic health record dataset&lt;/Title&gt;&lt;Template&gt;Journal Article&lt;/Template&gt;&lt;Star&gt;0&lt;/Star&gt;&lt;Tag&gt;0&lt;/Tag&gt;&lt;Author&gt;Johnson, Alistair E W; Bulgarelli, Lucas; Shen, Lu; Gayles, Alvin; Shammout, Ayad; Horng, Steven; Pollard, Tom J; Hao, Sicheng; Moody, Benjamin; Gow, Brian; Lehman, Li-wei H; Celi, Leo A; Mark, Roger G&lt;/Author&gt;&lt;Year&gt;2023&lt;/Year&gt;&lt;Details&gt;&lt;_accessed&gt;66401361&lt;/_accessed&gt;&lt;_accession_num&gt;36596836&lt;/_accession_num&gt;&lt;_author_adr&gt;Massachusetts Institute of Technology, Cambridge, MA, USA. aewj@mit.edu.; The Hospital for Sick Children, Toronto, ON, Canada. aewj@mit.edu.; Massachusetts Institute of Technology, Cambridge, MA, USA.; Beth Israel Deaconess Medical Center, Boston, MA, USA.; Beth Israel Deaconess Medical Center, Boston, MA, USA.; Beth Israel Deaconess Medical Center, Boston, MA, USA.; Beth Israel Deaconess Medical Center, Boston, MA, USA.; Massachusetts Institute of Technology, Cambridge, MA, USA.; Massachusetts Institute of Technology, Cambridge, MA, USA.; Massachusetts Institute of Technology, Cambridge, MA, USA.; Massachusetts Institute of Technology, Cambridge, MA, USA.; Massachusetts Institute of Technology, Cambridge, MA, USA.; Massachusetts Institute of Technology, Cambridge, MA, USA.; Beth Israel Deaconess Medical Center, Boston, MA, USA.; Massachusetts Institute of Technology, Cambridge, MA, USA.&lt;/_author_adr&gt;&lt;_collection_scope&gt;SCIE&lt;/_collection_scope&gt;&lt;_created&gt;66401333&lt;/_created&gt;&lt;_date&gt;64694880&lt;/_date&gt;&lt;_date_display&gt;2023 Jan 3&lt;/_date_display&gt;&lt;_db_updated&gt;CrossRef&lt;/_db_updated&gt;&lt;_doi&gt;10.1038/s41597-022-01899-x&lt;/_doi&gt;&lt;_impact_factor&gt;   5.800&lt;/_impact_factor&gt;&lt;_isbn&gt;2052-4463&lt;/_isbn&gt;&lt;_issue&gt;1&lt;/_issue&gt;&lt;_journal&gt;Scientific Data&lt;/_journal&gt;&lt;_language&gt;eng&lt;/_language&gt;&lt;_modified&gt;66401436&lt;/_modified&gt;&lt;_number&gt;26&lt;/_number&gt;&lt;_ori_publication&gt;© 2023. The Author(s).&lt;/_ori_publication&gt;&lt;_pages&gt;1&lt;/_pages&gt;&lt;_social_category&gt;综合性期刊(2)&lt;/_social_category&gt;&lt;_subject_headings&gt;Humans; Databases, Factual; *Electronic Health Records; Hospitals&lt;/_subject_headings&gt;&lt;_tertiary_title&gt;Sci Data&lt;/_tertiary_title&gt;&lt;_type_work&gt;Dataset; Journal Article&lt;/_type_work&gt;&lt;_url&gt;https://www.nature.com/articles/s41597-022-01899-x_x000d__x000a_https://www.nature.com/articles/s41597-022-01899-x.pdf&lt;/_url&gt;&lt;_volume&gt;10&lt;/_volume&gt;&lt;/Details&gt;&lt;Extra&gt;&lt;DBUID&gt;{0595FEED-06EC-4465-A92A-123F8040CA41}&lt;/DBUID&gt;&lt;/Extra&gt;&lt;/Item&gt;&lt;/References&gt;&lt;/Group&gt;&lt;/Citation&gt;_x000a_"/>
    <w:docVar w:name="NE.Ref{6DB7981B-9001-46A3-9454-4A350B2656F7}" w:val=" ADDIN NE.Ref.{6DB7981B-9001-46A3-9454-4A350B2656F7}&lt;Citation&gt;&lt;Group&gt;&lt;References&gt;&lt;Item&gt;&lt;ID&gt;2703&lt;/ID&gt;&lt;UID&gt;{4CA09295-A50E-497E-850B-0AF0DAB93718}&lt;/UID&gt;&lt;Title&gt;Usefulness of Glycemic Gap to Predict ICU Mortality in Critically Ill Patients With Diabetes&lt;/Title&gt;&lt;Template&gt;Journal Article&lt;/Template&gt;&lt;Star&gt;0&lt;/Star&gt;&lt;Tag&gt;0&lt;/Tag&gt;&lt;Author&gt;Liao, Wen-I.; Wang, Jen-Chun; Chang, Wei-Chou; Hsu, Chin-Wang; Chu, Chi-Ming; Tsai, Shih-Hung&lt;/Author&gt;&lt;Year&gt;2015&lt;/Year&gt;&lt;Details&gt;&lt;_accessed&gt;66402458&lt;/_accessed&gt;&lt;_accession_num&gt;26356728&lt;/_accession_num&gt;&lt;_author_adr&gt;From Department of Emergency Medicine, Tri-Service General Hospital, National  Defense Medical Center, Taipei, Taiwan (W-IL, J-CW, S-HT); Department of  Radiology, Tri-Service General Hospital, National Defense Medical Center, Taipei,  Taiwan (W-CC); Department of Emergency and Critical Care Medicine, Taipei Medical  University-Wan Fang Hospital, Taipei, Taiwan (C-WH); and School of Public Health,  National Defense Medical Center, Taipei, Taiwan (C-MC).&lt;/_author_adr&gt;&lt;_collection_scope&gt;SCIE&lt;/_collection_scope&gt;&lt;_created&gt;66401454&lt;/_created&gt;&lt;_date&gt;2015-09-01&lt;/_date&gt;&lt;_date_display&gt;2015 Sep&lt;/_date_display&gt;&lt;_db_updated&gt;CrossRef&lt;/_db_updated&gt;&lt;_doi&gt;10.1097/MD.0000000000001525&lt;/_doi&gt;&lt;_impact_factor&gt;   1.400&lt;/_impact_factor&gt;&lt;_isbn&gt;0025-7974&lt;/_isbn&gt;&lt;_issue&gt;36&lt;/_issue&gt;&lt;_journal&gt;Medicine&lt;/_journal&gt;&lt;_language&gt;eng&lt;/_language&gt;&lt;_modified&gt;66402458&lt;/_modified&gt;&lt;_number&gt;12&lt;/_number&gt;&lt;_pages&gt;e1525&lt;/_pages&gt;&lt;_social_category&gt;医学：内科(4)&lt;/_social_category&gt;&lt;_subject_headings&gt;APACHE; Aged; Aged, 80 and over; Blood Glucose/*analysis; Critical Illness/mortality; *Diabetes Mellitus/blood/diagnosis; Female; Glycated Hemoglobin/analysis; Hospital Mortality; Humans; *Hyperglycemia/blood/diagnosis/etiology; Intensive Care Units/statistics &amp;amp; numerical data; Male; Middle Aged; Outcome Assessment, Health Care; Predictive Value of Tests; Prognosis; Retrospective Studies; Severity of Illness Index; *Stress, Physiological; Taiwan/epidemiology&lt;/_subject_headings&gt;&lt;_tertiary_title&gt;Medicine&lt;/_tertiary_title&gt;&lt;_type_work&gt;Journal Article; Observational Study; Research Support, Non-U.S. Gov&amp;apos;t&lt;/_type_work&gt;&lt;_url&gt;https://journals.lww.com/00005792-201509020-00043_x000d__x000a_https://journals.lww.com/10.1097/MD.0000000000001525&lt;/_url&gt;&lt;_volume&gt;94&lt;/_volume&gt;&lt;/Details&gt;&lt;Extra&gt;&lt;DBUID&gt;{0595FEED-06EC-4465-A92A-123F8040CA41}&lt;/DBUID&gt;&lt;/Extra&gt;&lt;/Item&gt;&lt;/References&gt;&lt;/Group&gt;&lt;Group&gt;&lt;References&gt;&lt;Item&gt;&lt;ID&gt;2704&lt;/ID&gt;&lt;UID&gt;{8F130F3B-5938-4B62-BB64-D680E68DE379}&lt;/UID&gt;&lt;Title&gt;An Elevated Glycemic Gap is Associated with Adverse Outcomes in Diabetic Patients with Acute Myocardial Infarction&lt;/Title&gt;&lt;Template&gt;Journal Article&lt;/Template&gt;&lt;Star&gt;0&lt;/Star&gt;&lt;Tag&gt;0&lt;/Tag&gt;&lt;Author&gt;Liao, Wen-I; Lin, Chin-Sheng; Lee, Chien-Hsing; Wu, Ya-Chieh; Chang, Wei-Chou; Hsu, Chin-Wang; Wang, Jen-Chun; Tsai, Shih-Hung&lt;/Author&gt;&lt;Year&gt;2016&lt;/Year&gt;&lt;Details&gt;&lt;_accessed&gt;66402458&lt;/_accessed&gt;&lt;_accession_num&gt;27291987&lt;/_accession_num&gt;&lt;_author_adr&gt;Department of Emergency Medicine, Tri-Service General Hospital, National Defense  Medical Center, Taipei, Taiwan.; Division of Cardiology, Department of Internal Medicine, Tri-Service General  Hospital, National Defense Medical Center, Taipei, Taiwan.; Division of Endocrinology and Metabolism, Department of Internal Medicine,  Tri-Service General Hospital, National Defense Medical Center, Taipei, Taiwan.; Graduate Institute of Aerospace and Undersea Medicine, National Defense Medical  Center, Taipei, Taiwan.; Department of Radiology, Tri-Service General Hospital, National Defense Medical  Center, Taipei, Taiwan.; Department of Emergency Medicine, School of Medicine, College of Medicine, Taipei  Medical University, Taipei, Taiwan.; Department of Emergency and Critical Medicine, Wan Fang Hospital, Taipei Medical  University, Taipei, Taiwan.; Department of Emergency Medicine, Tri-Service General Hospital, National Defense  Medical Center, Taipei, Taiwan.; Department of Emergency Medicine, Tri-Service General Hospital, National Defense  Medical Center, Taipei, Taiwan.&lt;/_author_adr&gt;&lt;_collection_scope&gt;SCIE&lt;/_collection_scope&gt;&lt;_created&gt;66401455&lt;/_created&gt;&lt;_date&gt;61246080&lt;/_date&gt;&lt;_date_display&gt;2016 Jun 13&lt;/_date_display&gt;&lt;_db_updated&gt;CrossRef&lt;/_db_updated&gt;&lt;_doi&gt;10.1038/srep27770&lt;/_doi&gt;&lt;_impact_factor&gt;   3.800&lt;/_impact_factor&gt;&lt;_isbn&gt;2045-2322&lt;/_isbn&gt;&lt;_issue&gt;1&lt;/_issue&gt;&lt;_journal&gt;Scientific Reports&lt;/_journal&gt;&lt;_language&gt;eng&lt;/_language&gt;&lt;_modified&gt;66402458&lt;/_modified&gt;&lt;_number&gt;13&lt;/_number&gt;&lt;_pages&gt;27770&lt;/_pages&gt;&lt;_social_category&gt;综合性期刊(3)&lt;/_social_category&gt;&lt;_subject_headings&gt;Aged; Aged, 80 and over; Blood Glucose/*analysis; Diabetes Mellitus/*blood; Female; Glycated Hemoglobin/metabolism; Humans; Hyperglycemia/blood/*diagnosis; Male; Middle Aged; Myocardial Infarction/blood/*mortality; Retrospective Studies&lt;/_subject_headings&gt;&lt;_tertiary_title&gt;Sci Rep&lt;/_tertiary_title&gt;&lt;_type_work&gt;Journal Article; Observational Study; Research Support, Non-U.S. Gov&amp;apos;t&lt;/_type_work&gt;&lt;_url&gt;https://www.nature.com/articles/srep27770_x000d__x000a_https://www.nature.com/articles/srep27770.pdf&lt;/_url&gt;&lt;_volume&gt;6&lt;/_volume&gt;&lt;/Details&gt;&lt;Extra&gt;&lt;DBUID&gt;{0595FEED-06EC-4465-A92A-123F8040CA41}&lt;/DBUID&gt;&lt;/Extra&gt;&lt;/Item&gt;&lt;/References&gt;&lt;/Group&gt;&lt;/Citation&gt;_x000a_"/>
    <w:docVar w:name="NE.Ref{7016A072-650D-41CE-A65B-59595003214A}" w:val=" ADDIN NE.Ref.{7016A072-650D-41CE-A65B-59595003214A}&lt;Citation&gt;&lt;Group&gt;&lt;References&gt;&lt;Item&gt;&lt;ID&gt;2598&lt;/ID&gt;&lt;UID&gt;{3D293FB5-26CB-4DF4-8F64-21BEF4489EB9}&lt;/UID&gt;&lt;Title&gt;Addressing Missing Data in Clinical Studies of Kidney Diseases&lt;/Title&gt;&lt;Template&gt;Journal Article&lt;/Template&gt;&lt;Star&gt;0&lt;/Star&gt;&lt;Tag&gt;0&lt;/Tag&gt;&lt;Author&gt;Montez-Rath, Maria E; Winkelmayer, Wolfgang C; Desai, Manisha&lt;/Author&gt;&lt;Year&gt;2014&lt;/Year&gt;&lt;Details&gt;&lt;_accessed&gt;66401361&lt;/_accessed&gt;&lt;_accession_num&gt;24509298&lt;/_accession_num&gt;&lt;_author_adr&gt;Division of Nephrology and mmrath@stanford.edu.; Division of Nephrology and.; Quantitative Sciences Unit, Department of Medicine, Stanford University School of  Medicine, Palo Alto, California.&lt;/_author_adr&gt;&lt;_collection_scope&gt;SCIE&lt;/_collection_scope&gt;&lt;_created&gt;66401333&lt;/_created&gt;&lt;_date&gt;2014-07-01&lt;/_date&gt;&lt;_date_display&gt;2014 Jul&lt;/_date_display&gt;&lt;_db_updated&gt;CrossRef&lt;/_db_updated&gt;&lt;_doi&gt;10.2215/CJN.10141013&lt;/_doi&gt;&lt;_impact_factor&gt;   8.500&lt;/_impact_factor&gt;&lt;_isbn&gt;1555-9041&lt;/_isbn&gt;&lt;_issue&gt;7&lt;/_issue&gt;&lt;_journal&gt;Clinical Journal of the American Society of Nephrology&lt;/_journal&gt;&lt;_keywords&gt;biostatistics; epidemiology and outcomes; outcomes&lt;/_keywords&gt;&lt;_language&gt;eng&lt;/_language&gt;&lt;_modified&gt;66401436&lt;/_modified&gt;&lt;_number&gt;27&lt;/_number&gt;&lt;_ori_publication&gt;Copyright © 2014 by the American Society of Nephrology.&lt;/_ori_publication&gt;&lt;_pages&gt;1328-1335&lt;/_pages&gt;&lt;_social_category&gt;泌尿学与肾脏学(1)&lt;/_social_category&gt;&lt;_subject_headings&gt;Biomedical Research/*statistics &amp;amp; numerical data; Data Interpretation, Statistical; Humans; *Kidney Diseases/diagnosis/physiopathology/therapy; Models, Statistical; Nephrology/*statistics &amp;amp; numerical data; Reproducibility of Results; Research Design/*statistics &amp;amp; numerical data; Software&lt;/_subject_headings&gt;&lt;_tertiary_title&gt;Clinical journal of the American Society of Nephrology : CJASN&lt;/_tertiary_title&gt;&lt;_type_work&gt;Journal Article; Research Support, Non-U.S. Gov&amp;apos;t&lt;/_type_work&gt;&lt;_url&gt;https://journals.lww.com/01277230-201407000-00024_x000d__x000a_https://journals.lww.com/01277230-201407000-00024&lt;/_url&gt;&lt;_volume&gt;9&lt;/_volume&gt;&lt;/Details&gt;&lt;Extra&gt;&lt;DBUID&gt;{0595FEED-06EC-4465-A92A-123F8040CA41}&lt;/DBUID&gt;&lt;/Extra&gt;&lt;/Item&gt;&lt;/References&gt;&lt;/Group&gt;&lt;/Citation&gt;_x000a_"/>
    <w:docVar w:name="NE.Ref{7259ABC7-5491-4776-A983-617D503877E2}" w:val=" ADDIN NE.Ref.{7259ABC7-5491-4776-A983-617D503877E2}&lt;Citation&gt;&lt;Group&gt;&lt;References&gt;&lt;Item&gt;&lt;ID&gt;2620&lt;/ID&gt;&lt;UID&gt;{241B9D86-17A7-4E37-86A4-3833488A75F7}&lt;/UID&gt;&lt;Title&gt;Clinical use of lactate monitoring in critically ill patients&lt;/Title&gt;&lt;Template&gt;Journal Article&lt;/Template&gt;&lt;Star&gt;0&lt;/Star&gt;&lt;Tag&gt;0&lt;/Tag&gt;&lt;Author&gt;Bakker, Jan; Nijsten, Maarten WN; Jansen, Tim C&lt;/Author&gt;&lt;Year&gt;2013&lt;/Year&gt;&lt;Details&gt;&lt;_accessed&gt;66401368&lt;/_accessed&gt;&lt;_accession_num&gt;23663301&lt;/_accession_num&gt;&lt;_author_adr&gt;Department of Intensive Care Adults, Erasmus MC University Medical Center, PO Box  2040, Room H625, Rotterdam, CA 3000, Netherlands. jan.bakker@erasmusmc.nl.&lt;/_author_adr&gt;&lt;_collection_scope&gt;SCIE&lt;/_collection_scope&gt;&lt;_created&gt;66401351&lt;/_created&gt;&lt;_date&gt;2013-05-10&lt;/_date&gt;&lt;_date_display&gt;2013 May 10&lt;/_date_display&gt;&lt;_db_updated&gt;CrossRef&lt;/_db_updated&gt;&lt;_doi&gt;10.1186/2110-5820-3-12&lt;/_doi&gt;&lt;_impact_factor&gt;   5.700&lt;/_impact_factor&gt;&lt;_isbn&gt;2110-5820&lt;/_isbn&gt;&lt;_issue&gt;1&lt;/_issue&gt;&lt;_journal&gt;Annals of Intensive Care&lt;/_journal&gt;&lt;_language&gt;eng&lt;/_language&gt;&lt;_modified&gt;66401436&lt;/_modified&gt;&lt;_number&gt;43&lt;/_number&gt;&lt;_pages&gt;12&lt;/_pages&gt;&lt;_social_category&gt;危重病医学(2)&lt;/_social_category&gt;&lt;_tertiary_title&gt;Ann Intensive Care&lt;/_tertiary_title&gt;&lt;_type_work&gt;Journal Article&lt;/_type_work&gt;&lt;_url&gt;http://annalsofintensivecare.springeropen.com/articles/10.1186/2110-5820-3-12&lt;/_url&gt;&lt;_volume&gt;3&lt;/_volume&gt;&lt;/Details&gt;&lt;Extra&gt;&lt;DBUID&gt;{0595FEED-06EC-4465-A92A-123F8040CA41}&lt;/DBUID&gt;&lt;/Extra&gt;&lt;/Item&gt;&lt;/References&gt;&lt;/Group&gt;&lt;/Citation&gt;_x000a_"/>
    <w:docVar w:name="NE.Ref{74716D2D-92E5-4982-B729-F91298EA4617}" w:val="NE.Data.1{74716D2D-92E5-4982-B729-F91298EA4617}=NE.Data.2{74716D2D-92E5-4982-B729-F91298EA4617}=NE.Data.3{74716D2D-92E5-4982-B729-F91298EA4617}=NE.Data.4{74716D2D-92E5-4982-B729-F91298EA4617}"/>
    <w:docVar w:name="NE.Ref{77439727-13CD-4C83-9D3F-D598132048D1}" w:val=" ADDIN NE.Ref.{77439727-13CD-4C83-9D3F-D598132048D1}&lt;Citation&gt;&lt;Group&gt;&lt;References&gt;&lt;Item&gt;&lt;ID&gt;2695&lt;/ID&gt;&lt;UID&gt;{023CAAF1-6C08-46DC-8C19-33A574E9D500}&lt;/UID&gt;&lt;Title&gt;Stress hyperglycaemia&lt;/Title&gt;&lt;Template&gt;Journal Article&lt;/Template&gt;&lt;Star&gt;1&lt;/Star&gt;&lt;Tag&gt;0&lt;/Tag&gt;&lt;Author&gt;Dungan, Kathleen M; Braithwaite, Susan S; Preiser, Jean-Charles&lt;/Author&gt;&lt;Year&gt;2009&lt;/Year&gt;&lt;Details&gt;&lt;_accessed&gt;66402458&lt;/_accessed&gt;&lt;_accession_num&gt;19465235&lt;/_accession_num&gt;&lt;_author_adr&gt;The Ohio State University, Columbus, OH 43210-1296, USA.  kathleen.dungan@osumc.edu&lt;/_author_adr&gt;&lt;_collection_scope&gt;SCIE&lt;/_collection_scope&gt;&lt;_created&gt;66401452&lt;/_created&gt;&lt;_date&gt;2009-05-23&lt;/_date&gt;&lt;_date_display&gt;2009 May 23&lt;/_date_display&gt;&lt;_db_updated&gt;CrossRef&lt;/_db_updated&gt;&lt;_doi&gt;10.1016/S0140-6736(09)60553-5&lt;/_doi&gt;&lt;_impact_factor&gt;  98.400&lt;/_impact_factor&gt;&lt;_isbn&gt;01406736&lt;/_isbn&gt;&lt;_issue&gt;9677&lt;/_issue&gt;&lt;_journal&gt;The Lancet&lt;/_journal&gt;&lt;_language&gt;eng&lt;/_language&gt;&lt;_modified&gt;66402638&lt;/_modified&gt;&lt;_number&gt;7&lt;/_number&gt;&lt;_pages&gt;1798-1807&lt;/_pages&gt;&lt;_social_category&gt;医学：内科(1)&lt;/_social_category&gt;&lt;_subject_headings&gt;Acute Disease; Blood Glucose/metabolism; Cardiovascular Diseases/complications; *Critical Illness; Early Diagnosis; Glucose Tolerance Test; Humans; *Hyperglycemia/diagnosis/epidemiology/etiology/prevention &amp;amp; control; Monitoring, Physiologic; Prediabetic State/complications; Prevalence; Research Design; Risk Factors; Risk Reduction Behavior; Severity of Illness Index; *Stress, Physiological/physiology; Stroke/complications; Surgical Procedures, Operative/adverse effects; Treatment Outcome&lt;/_subject_headings&gt;&lt;_tertiary_title&gt;The Lancet&lt;/_tertiary_title&gt;&lt;_type_work&gt;Journal Article; Review&lt;/_type_work&gt;&lt;_url&gt;https://linkinghub.elsevier.com/retrieve/pii/S0140673609605535_x000d__x000a_https://api.elsevier.com/content/article/PII:S0140673609605535?httpAccept=text/xml&lt;/_url&gt;&lt;_volume&gt;373&lt;/_volume&gt;&lt;/Details&gt;&lt;Extra&gt;&lt;DBUID&gt;{0595FEED-06EC-4465-A92A-123F8040CA41}&lt;/DBUID&gt;&lt;/Extra&gt;&lt;/Item&gt;&lt;/References&gt;&lt;/Group&gt;&lt;Group&gt;&lt;References&gt;&lt;Item&gt;&lt;ID&gt;2697&lt;/ID&gt;&lt;UID&gt;{C3586AAB-DD68-4821-A89A-4F0B070189E2}&lt;/UID&gt;&lt;Title&gt;Stress hyperglycemia: an essential survival response!&lt;/Title&gt;&lt;Template&gt;Journal Article&lt;/Template&gt;&lt;Star&gt;0&lt;/Star&gt;&lt;Tag&gt;0&lt;/Tag&gt;&lt;Author&gt;Marik, Paul E; Bellomo, Rinaldo&lt;/Author&gt;&lt;Year&gt;2013&lt;/Year&gt;&lt;Details&gt;&lt;_accessed&gt;66402458&lt;/_accessed&gt;&lt;_accession_num&gt;23470218&lt;/_accession_num&gt;&lt;_collection_scope&gt;SCIE&lt;/_collection_scope&gt;&lt;_created&gt;66401453&lt;/_created&gt;&lt;_date&gt;2013-03-06&lt;/_date&gt;&lt;_date_display&gt;2013 Mar 6&lt;/_date_display&gt;&lt;_db_updated&gt;CrossRef&lt;/_db_updated&gt;&lt;_doi&gt;10.1186/cc12514&lt;/_doi&gt;&lt;_impact_factor&gt;   8.800&lt;/_impact_factor&gt;&lt;_isbn&gt;1364-8535&lt;/_isbn&gt;&lt;_issue&gt;2&lt;/_issue&gt;&lt;_journal&gt;Critical Care&lt;/_journal&gt;&lt;_language&gt;eng&lt;/_language&gt;&lt;_modified&gt;66402458&lt;/_modified&gt;&lt;_number&gt;8&lt;/_number&gt;&lt;_pages&gt;305&lt;/_pages&gt;&lt;_social_category&gt;危重病医学(2)&lt;/_social_category&gt;&lt;_subject_headings&gt;Animals; Blood Glucose/*metabolism; Critical Care/trends; Critical Illness/mortality/therapy; Glycemic Index/physiology; Humans; Hyperglycemia/*blood/diagnosis; Stress, Physiological/*physiology; Survival/physiology&lt;/_subject_headings&gt;&lt;_tertiary_title&gt;Crit Care&lt;/_tertiary_title&gt;&lt;_type_work&gt;Journal Article; Review&lt;/_type_work&gt;&lt;_url&gt;http://ccforum.biomedcentral.com/articles/10.1186/cc12514&lt;/_url&gt;&lt;_volume&gt;17&lt;/_volume&gt;&lt;/Details&gt;&lt;Extra&gt;&lt;DBUID&gt;{0595FEED-06EC-4465-A92A-123F8040CA41}&lt;/DBUID&gt;&lt;/Extra&gt;&lt;/Item&gt;&lt;/References&gt;&lt;/Group&gt;&lt;/Citation&gt;_x000a_"/>
    <w:docVar w:name="NE.Ref{7C78867D-A0ED-4FBA-8B72-B4B5B5529615}" w:val=" ADDIN NE.Ref.{7C78867D-A0ED-4FBA-8B72-B4B5B5529615}&lt;Citation&gt;&lt;Group&gt;&lt;References&gt;&lt;Item&gt;&lt;ID&gt;2618&lt;/ID&gt;&lt;UID&gt;{59382426-AA28-4C2C-A1C1-2A7AF6C695D4}&lt;/UID&gt;&lt;Title&gt;Intensive versus Conventional Glucose Control in Critically Ill Patients&lt;/Title&gt;&lt;Template&gt;Journal Article&lt;/Template&gt;&lt;Star&gt;0&lt;/Star&gt;&lt;Tag&gt;0&lt;/Tag&gt;&lt;Author&gt;Finfer, Simon; Chittock, Dean R; Su, Steve Yu-Shuo; Blair, Deborah; Foster, Denise; Dhingra, Vinay; Bellomo, Rinaldo; Cook, Deborah; Dodek, Peter; Henderson, William R; Hébert, Paul C; Heritier, Stephane; Heyland, Daren K; McArthur, Colin; McDonald, Ellen; Mitchell, Imogen; Myburgh, John A; Norton, Robyn; Potter, Julie; Robinson, Bruce G; Ronco, Juan J&lt;/Author&gt;&lt;Year&gt;2009&lt;/Year&gt;&lt;Details&gt;&lt;_accessed&gt;66401362&lt;/_accessed&gt;&lt;_accession_num&gt;19318384&lt;/_accession_num&gt;&lt;_collection_scope&gt;SCIE&lt;/_collection_scope&gt;&lt;_created&gt;66401350&lt;/_created&gt;&lt;_date&gt;57450240&lt;/_date&gt;&lt;_date_display&gt;2009 Mar 26&lt;/_date_display&gt;&lt;_db_updated&gt;CrossRef&lt;/_db_updated&gt;&lt;_doi&gt;10.1056/NEJMoa0810625&lt;/_doi&gt;&lt;_impact_factor&gt;  96.300&lt;/_impact_factor&gt;&lt;_isbn&gt;0028-4793&lt;/_isbn&gt;&lt;_issue&gt;13&lt;/_issue&gt;&lt;_journal&gt;New England Journal of Medicine&lt;/_journal&gt;&lt;_language&gt;eng&lt;/_language&gt;&lt;_modified&gt;66401436&lt;/_modified&gt;&lt;_number&gt;41&lt;/_number&gt;&lt;_ori_publication&gt;2009 Massachusetts Medical Society&lt;/_ori_publication&gt;&lt;_pages&gt;1283-1297&lt;/_pages&gt;&lt;_social_category&gt;医学：内科(1)&lt;/_social_category&gt;&lt;_subject_headings&gt;Adrenal Cortex Hormones/therapeutic use; *Blood Glucose/analysis; Critical Care/*methods; Critical Illness/mortality/*therapy; Female; Humans; Hyperglycemia/*drug therapy; Hypoglycemia/chemically induced; Hypoglycemic Agents/adverse effects/*therapeutic use; Insulin/adverse effects/*therapeutic use; Intensive Care Units; Kaplan-Meier Estimate; Length of Stay; Male; Middle Aged&lt;/_subject_headings&gt;&lt;_tertiary_title&gt;N Engl J Med&lt;/_tertiary_title&gt;&lt;_type_work&gt;Comparative Study; Journal Article; Randomized Controlled Trial; Research Support, Non-U.S. Gov&amp;apos;t&lt;/_type_work&gt;&lt;_url&gt;http://www.nejm.org/doi/abs/10.1056/NEJMoa0810625_x000d__x000a_http://www.nejm.org/doi/pdf/10.1056/NEJMoa0810625&lt;/_url&gt;&lt;_volume&gt;360&lt;/_volume&gt;&lt;/Details&gt;&lt;Extra&gt;&lt;DBUID&gt;{0595FEED-06EC-4465-A92A-123F8040CA41}&lt;/DBUID&gt;&lt;/Extra&gt;&lt;/Item&gt;&lt;/References&gt;&lt;/Group&gt;&lt;/Citation&gt;_x000a_"/>
    <w:docVar w:name="NE.Ref{7E86ECB5-7884-4996-9D98-8B224E3553D2}" w:val=" ADDIN NE.Ref.{7E86ECB5-7884-4996-9D98-8B224E3553D2}&lt;Citation&gt;&lt;Group&gt;&lt;References&gt;&lt;Item&gt;&lt;ID&gt;2608&lt;/ID&gt;&lt;UID&gt;{F0CA2B14-18C2-42EE-BCCA-ED9F464F3550}&lt;/UID&gt;&lt;Title&gt;Stress hyperglycaemia&lt;/Title&gt;&lt;Template&gt;Journal Article&lt;/Template&gt;&lt;Star&gt;0&lt;/Star&gt;&lt;Tag&gt;0&lt;/Tag&gt;&lt;Author&gt;Dungan, Kathleen M; Braithwaite, Susan S; Preiser, Jean-Charles&lt;/Author&gt;&lt;Year&gt;2009&lt;/Year&gt;&lt;Details&gt;&lt;_accessed&gt;66401361&lt;/_accessed&gt;&lt;_accession_num&gt;19465235&lt;/_accession_num&gt;&lt;_author_adr&gt;The Ohio State University, Columbus, OH 43210-1296, USA.  kathleen.dungan@osumc.edu&lt;/_author_adr&gt;&lt;_collection_scope&gt;SCIE&lt;/_collection_scope&gt;&lt;_created&gt;66401339&lt;/_created&gt;&lt;_date&gt;2009-05-23&lt;/_date&gt;&lt;_date_display&gt;2009 May 23&lt;/_date_display&gt;&lt;_db_updated&gt;CrossRef&lt;/_db_updated&gt;&lt;_doi&gt;10.1016/S0140-6736(09)60553-5&lt;/_doi&gt;&lt;_impact_factor&gt;  98.400&lt;/_impact_factor&gt;&lt;_isbn&gt;01406736&lt;/_isbn&gt;&lt;_issue&gt;9677&lt;/_issue&gt;&lt;_journal&gt;The Lancet&lt;/_journal&gt;&lt;_language&gt;eng&lt;/_language&gt;&lt;_modified&gt;66401377&lt;/_modified&gt;&lt;_pages&gt;1798-1807&lt;/_pages&gt;&lt;_social_category&gt;医学：内科(1)&lt;/_social_category&gt;&lt;_subject_headings&gt;Acute Disease; Blood Glucose/metabolism; Cardiovascular Diseases/complications; *Critical Illness; Early Diagnosis; Glucose Tolerance Test; Humans; *Hyperglycemia/diagnosis/epidemiology/etiology/prevention &amp;amp; control; Monitoring, Physiologic; Prediabetic State/complications; Prevalence; Research Design; Risk Factors; Risk Reduction Behavior; Severity of Illness Index; *Stress, Physiological/physiology; Stroke/complications; Surgical Procedures, Operative/adverse effects; Treatment Outcome&lt;/_subject_headings&gt;&lt;_tertiary_title&gt;The Lancet&lt;/_tertiary_title&gt;&lt;_type_work&gt;Journal Article; Review&lt;/_type_work&gt;&lt;_url&gt;https://linkinghub.elsevier.com/retrieve/pii/S0140673609605535_x000d__x000a_https://api.elsevier.com/content/article/PII:S0140673609605535?httpAccept=text/xml&lt;/_url&gt;&lt;_volume&gt;373&lt;/_volume&gt;&lt;/Details&gt;&lt;Extra&gt;&lt;DBUID&gt;{0595FEED-06EC-4465-A92A-123F8040CA41}&lt;/DBUID&gt;&lt;/Extra&gt;&lt;/Item&gt;&lt;/References&gt;&lt;/Group&gt;&lt;Group&gt;&lt;References&gt;&lt;Item&gt;&lt;ID&gt;2609&lt;/ID&gt;&lt;UID&gt;{D192E95A-19C7-4121-BFCB-A8712DA52566}&lt;/UID&gt;&lt;Title&gt;Stress-induced hyperglycemia&lt;/Title&gt;&lt;Template&gt;Journal Article&lt;/Template&gt;&lt;Star&gt;0&lt;/Star&gt;&lt;Tag&gt;0&lt;/Tag&gt;&lt;Author&gt;McCowen, K C; Malhotra, A; Bistrian, B R&lt;/Author&gt;&lt;Year&gt;2001&lt;/Year&gt;&lt;Details&gt;&lt;_accession_num&gt;11219223&lt;/_accession_num&gt;&lt;_author_adr&gt;Departments of Medicine, Beth Israel Deaconess Medical Center, Boston,  Massachusetts, USA. KMcCowen@caregroup.harvard.edu&lt;/_author_adr&gt;&lt;_collection_scope&gt;SCIE&lt;/_collection_scope&gt;&lt;_created&gt;66401339&lt;/_created&gt;&lt;_date&gt;2001-01-01&lt;/_date&gt;&lt;_date_display&gt;2001 Jan&lt;/_date_display&gt;&lt;_doi&gt;10.1016/s0749-0704(05)70154-8&lt;/_doi&gt;&lt;_impact_factor&gt;   3.000&lt;/_impact_factor&gt;&lt;_isbn&gt;0749-0704 (Print); 0749-0704 (Linking)&lt;/_isbn&gt;&lt;_issue&gt;1&lt;/_issue&gt;&lt;_journal&gt;Crit Care Clin&lt;/_journal&gt;&lt;_language&gt;eng&lt;/_language&gt;&lt;_modified&gt;66401436&lt;/_modified&gt;&lt;_number&gt;33&lt;/_number&gt;&lt;_pages&gt;107-24&lt;/_pages&gt;&lt;_social_category&gt;危重病医学(4)&lt;/_social_category&gt;&lt;_subject_headings&gt;Glucose/metabolism; Humans; Hyperglycemia/complications/epidemiology/*etiology/physiopathology/prevention &amp;amp; _x000d__x000a_      control; Insulin/therapeutic use; Insulin Resistance; Intensive Care Units; Risk Factors; Stress, Physiological/*complications&lt;/_subject_headings&gt;&lt;_tertiary_title&gt;Critical care clinics&lt;/_tertiary_title&gt;&lt;_type_work&gt;Journal Article; Review&lt;/_type_work&gt;&lt;_url&gt;http://www.ncbi.nlm.nih.gov/entrez/query.fcgi?cmd=Retrieve&amp;amp;db=pubmed&amp;amp;dopt=Abstract&amp;amp;list_uids=11219223&amp;amp;query_hl=1&lt;/_url&gt;&lt;_volume&gt;17&lt;/_volume&gt;&lt;/Details&gt;&lt;Extra&gt;&lt;DBUID&gt;{0595FEED-06EC-4465-A92A-123F8040CA41}&lt;/DBUID&gt;&lt;/Extra&gt;&lt;/Item&gt;&lt;/References&gt;&lt;/Group&gt;&lt;/Citation&gt;_x000a_"/>
    <w:docVar w:name="NE.Ref{8520C3E5-9663-4A80-8639-0E047CEF6E82}" w:val=" ADDIN NE.Ref.{8520C3E5-9663-4A80-8639-0E047CEF6E82}&lt;Citation&gt;&lt;Group&gt;&lt;References&gt;&lt;Item&gt;&lt;ID&gt;2719&lt;/ID&gt;&lt;UID&gt;{1D02BDFC-3C9F-4761-B4FB-348CD6D339EB}&lt;/UID&gt;&lt;Title&gt;MIMIC-IV, a freely accessible electronic health record dataset&lt;/Title&gt;&lt;Template&gt;Journal Article&lt;/Template&gt;&lt;Star&gt;0&lt;/Star&gt;&lt;Tag&gt;0&lt;/Tag&gt;&lt;Author&gt;Johnson, Alistair E W; Bulgarelli, Lucas; Shen, Lu; Gayles, Alvin; Shammout, Ayad; Horng, Steven; Pollard, Tom J; Hao, Sicheng; Moody, Benjamin; Gow, Brian; Lehman, Li-wei H; Celi, Leo A; Mark, Roger G&lt;/Author&gt;&lt;Year&gt;2023&lt;/Year&gt;&lt;Details&gt;&lt;_accessed&gt;66402459&lt;/_accessed&gt;&lt;_accession_num&gt;36596836&lt;/_accession_num&gt;&lt;_author_adr&gt;Massachusetts Institute of Technology, Cambridge, MA, USA. aewj@mit.edu.; The Hospital for Sick Children, Toronto, ON, Canada. aewj@mit.edu.; Massachusetts Institute of Technology, Cambridge, MA, USA.; Beth Israel Deaconess Medical Center, Boston, MA, USA.; Beth Israel Deaconess Medical Center, Boston, MA, USA.; Beth Israel Deaconess Medical Center, Boston, MA, USA.; Beth Israel Deaconess Medical Center, Boston, MA, USA.; Massachusetts Institute of Technology, Cambridge, MA, USA.; Massachusetts Institute of Technology, Cambridge, MA, USA.; Massachusetts Institute of Technology, Cambridge, MA, USA.; Massachusetts Institute of Technology, Cambridge, MA, USA.; Massachusetts Institute of Technology, Cambridge, MA, USA.; Massachusetts Institute of Technology, Cambridge, MA, USA.; Beth Israel Deaconess Medical Center, Boston, MA, USA.; Massachusetts Institute of Technology, Cambridge, MA, USA.&lt;/_author_adr&gt;&lt;_collection_scope&gt;SCIE&lt;/_collection_scope&gt;&lt;_created&gt;66401459&lt;/_created&gt;&lt;_date&gt;64694880&lt;/_date&gt;&lt;_date_display&gt;2023 Jan 3&lt;/_date_display&gt;&lt;_db_updated&gt;CrossRef&lt;/_db_updated&gt;&lt;_doi&gt;10.1038/s41597-022-01899-x&lt;/_doi&gt;&lt;_impact_factor&gt;   5.800&lt;/_impact_factor&gt;&lt;_isbn&gt;2052-4463&lt;/_isbn&gt;&lt;_issue&gt;1&lt;/_issue&gt;&lt;_journal&gt;Scientific Data&lt;/_journal&gt;&lt;_language&gt;eng&lt;/_language&gt;&lt;_modified&gt;66402459&lt;/_modified&gt;&lt;_number&gt;26&lt;/_number&gt;&lt;_ori_publication&gt;© 2023. The Author(s).&lt;/_ori_publication&gt;&lt;_pages&gt;1&lt;/_pages&gt;&lt;_social_category&gt;综合性期刊(2)&lt;/_social_category&gt;&lt;_subject_headings&gt;Humans; Databases, Factual; *Electronic Health Records; Hospitals&lt;/_subject_headings&gt;&lt;_tertiary_title&gt;Sci Data&lt;/_tertiary_title&gt;&lt;_type_work&gt;Dataset; Journal Article&lt;/_type_work&gt;&lt;_url&gt;https://www.nature.com/articles/s41597-022-01899-x_x000d__x000a_https://www.nature.com/articles/s41597-022-01899-x.pdf&lt;/_url&gt;&lt;_volume&gt;10&lt;/_volume&gt;&lt;/Details&gt;&lt;Extra&gt;&lt;DBUID&gt;{0595FEED-06EC-4465-A92A-123F8040CA41}&lt;/DBUID&gt;&lt;/Extra&gt;&lt;/Item&gt;&lt;/References&gt;&lt;/Group&gt;&lt;/Citation&gt;_x000a_"/>
    <w:docVar w:name="NE.Ref{864D461E-6BB7-437E-85E5-110A2E2EC912}" w:val=" ADDIN NE.Ref.{864D461E-6BB7-437E-85E5-110A2E2EC912}&lt;Citation&gt;&lt;Group&gt;&lt;References&gt;&lt;Item&gt;&lt;ID&gt;2629&lt;/ID&gt;&lt;UID&gt;{0DFDF480-7E43-4A0E-B47C-F7484294F859}&lt;/UID&gt;&lt;Title&gt;Pitfalls in Hemoglobin A1c Measurement: When Results may be Misleading&lt;/Title&gt;&lt;Template&gt;Journal Article&lt;/Template&gt;&lt;Star&gt;0&lt;/Star&gt;&lt;Tag&gt;0&lt;/Tag&gt;&lt;Author&gt;Radin, Michael S&lt;/Author&gt;&lt;Year&gt;2014&lt;/Year&gt;&lt;Details&gt;&lt;_accessed&gt;66401362&lt;/_accessed&gt;&lt;_accession_num&gt;24002631&lt;/_accession_num&gt;&lt;_author_adr&gt;Division of Endocrinology, Diabetes, and Metabolism, Winthrop-University  Hospital, Mineola, NY, USA, mradin@winthrop.org.&lt;/_author_adr&gt;&lt;_collection_scope&gt;SCIE&lt;/_collection_scope&gt;&lt;_created&gt;66401356&lt;/_created&gt;&lt;_date&gt;2014-02-01&lt;/_date&gt;&lt;_date_display&gt;2014 Feb&lt;/_date_display&gt;&lt;_db_updated&gt;CrossRef&lt;/_db_updated&gt;&lt;_doi&gt;10.1007/s11606-013-2595-x&lt;/_doi&gt;&lt;_impact_factor&gt;   4.300&lt;/_impact_factor&gt;&lt;_isbn&gt;0884-8734&lt;/_isbn&gt;&lt;_issue&gt;2&lt;/_issue&gt;&lt;_journal&gt;Journal of General Internal Medicine&lt;/_journal&gt;&lt;_language&gt;eng&lt;/_language&gt;&lt;_modified&gt;66401436&lt;/_modified&gt;&lt;_number&gt;49&lt;/_number&gt;&lt;_pages&gt;388-394&lt;/_pages&gt;&lt;_social_category&gt;医学：内科(2) &amp;amp; 卫生保健与服务(3)&lt;/_social_category&gt;&lt;_subject_headings&gt;Biomarkers/blood; Blood Glucose/*metabolism; Diabetes Mellitus, Type 2/*blood/*diagnosis; Female; Glycated Hemoglobin/*metabolism; Humans; Middle Aged&lt;/_subject_headings&gt;&lt;_tertiary_title&gt;J GEN INTERN MED&lt;/_tertiary_title&gt;&lt;_type_work&gt;Case Reports; Journal Article; Review&lt;/_type_work&gt;&lt;_url&gt;http://link.springer.com/10.1007/s11606-013-2595-x_x000d__x000a_http://link.springer.com/content/pdf/10.1007/s11606-013-2595-x&lt;/_url&gt;&lt;_volume&gt;29&lt;/_volume&gt;&lt;/Details&gt;&lt;Extra&gt;&lt;DBUID&gt;{0595FEED-06EC-4465-A92A-123F8040CA41}&lt;/DBUID&gt;&lt;/Extra&gt;&lt;/Item&gt;&lt;/References&gt;&lt;/Group&gt;&lt;/Citation&gt;_x000a_"/>
    <w:docVar w:name="NE.Ref{89602C1C-1848-486E-B276-57684348EB42}" w:val=" ADDIN NE.Ref.{89602C1C-1848-486E-B276-57684348EB42}&lt;Citation&gt;&lt;Group&gt;&lt;References&gt;&lt;Item&gt;&lt;ID&gt;2586&lt;/ID&gt;&lt;UID&gt;{D0900E88-5FF2-4D9C-8ACF-2D31D520AC04}&lt;/UID&gt;&lt;Title&gt;Translating the A1C Assay Into Estimated Average Glucose Values&lt;/Title&gt;&lt;Template&gt;Journal Article&lt;/Template&gt;&lt;Star&gt;0&lt;/Star&gt;&lt;Tag&gt;0&lt;/Tag&gt;&lt;Author&gt;Nathan, David M; Kuenen, Judith; Borg, Rikke; Zheng, Hui; Schoenfeld, David; Heine, Robert J&lt;/Author&gt;&lt;Year&gt;2008&lt;/Year&gt;&lt;Details&gt;&lt;_accessed&gt;66401360&lt;/_accessed&gt;&lt;_accession_num&gt;18540046&lt;/_accession_num&gt;&lt;_author_adr&gt;Diabetes Center, Massachusetts General Hospital and Harvard Medical School,  Boston, MA, USA. dnathan@partners.org&lt;/_author_adr&gt;&lt;_collection_scope&gt;SCIE&lt;/_collection_scope&gt;&lt;_created&gt;66401320&lt;/_created&gt;&lt;_date&gt;57108960&lt;/_date&gt;&lt;_date_display&gt;2008 Aug&lt;/_date_display&gt;&lt;_db_updated&gt;CrossRef&lt;/_db_updated&gt;&lt;_doi&gt;10.2337/dc08-0545&lt;/_doi&gt;&lt;_impact_factor&gt;  14.800&lt;/_impact_factor&gt;&lt;_isbn&gt;0149-5992&lt;/_isbn&gt;&lt;_issue&gt;8&lt;/_issue&gt;&lt;_journal&gt;Diabetes Care&lt;/_journal&gt;&lt;_language&gt;eng&lt;/_language&gt;&lt;_modified&gt;66401434&lt;/_modified&gt;&lt;_number&gt;15&lt;/_number&gt;&lt;_pages&gt;1473-1478&lt;/_pages&gt;&lt;_social_category&gt;内分泌学与代谢(1)&lt;/_social_category&gt;&lt;_subject_headings&gt;Adult; Aged; Blood Glucose/*metabolism; Diabetes Mellitus, Type 1/*blood; Diabetes Mellitus, Type 2/*blood; Female; Glycated Hemoglobin/*metabolism; Humans; Male; Middle Aged; Models, Theoretical; Monitoring, Ambulatory; Reference Values; Regression Analysis&lt;/_subject_headings&gt;&lt;_tertiary_title&gt;Diabetes care&lt;/_tertiary_title&gt;&lt;_type_work&gt;Journal Article; Multicenter Study; Research Support, Non-U.S. Gov&amp;apos;t&lt;/_type_work&gt;&lt;_url&gt;https://diabetesjournals.org/care/article/31/8/1473/28589/Translating-the-A1C-Assay-Into-Estimated-Average_x000d__x000a_https://diabetesjournals.org/care/article-pdf/31/8/1473/599712/zdc00808001473.pdf&lt;/_url&gt;&lt;_volume&gt;31&lt;/_volume&gt;&lt;/Details&gt;&lt;Extra&gt;&lt;DBUID&gt;{0595FEED-06EC-4465-A92A-123F8040CA41}&lt;/DBUID&gt;&lt;/Extra&gt;&lt;/Item&gt;&lt;/References&gt;&lt;/Group&gt;&lt;/Citation&gt;_x000a_"/>
    <w:docVar w:name="NE.Ref{8B1A5AC6-6D97-402C-A83E-056ADCBA74B8}" w:val=" ADDIN NE.Ref.{8B1A5AC6-6D97-402C-A83E-056ADCBA74B8}&lt;Citation&gt;&lt;Group&gt;&lt;References&gt;&lt;Item&gt;&lt;ID&gt;2730&lt;/ID&gt;&lt;UID&gt;{8EAF9D9A-16CA-4688-88E6-84F86ED90533}&lt;/UID&gt;&lt;Title&gt;The association between the stress hyperglycaemia ratio and mortality in cardiovascular disease: a meta-analysis and systematic review&lt;/Title&gt;&lt;Template&gt;Journal Article&lt;/Template&gt;&lt;Star&gt;0&lt;/Star&gt;&lt;Tag&gt;0&lt;/Tag&gt;&lt;Author&gt;Esdaile, Harriet; Khan, Shaila; Mayet, Jamil; Oliver, Nick; Reddy, Monika; Shah, Anoop S V&lt;/Author&gt;&lt;Year&gt;2024&lt;/Year&gt;&lt;Details&gt;&lt;_accessed&gt;66402459&lt;/_accessed&gt;&lt;_accession_num&gt;39550575&lt;/_accession_num&gt;&lt;_author_adr&gt;Faculty of Medicine, Department of Metabolism, Digestion and Reproduction,  Imperial Centre for Translational and Experimental Medicine, Imperial College  London, London, UK. h.esdaile@imperial.ac.uk.; Faculty of Medicine, Department of Metabolism, Digestion and Reproduction,  Imperial Centre for Translational and Experimental Medicine, Imperial College  London, London, UK.; Faculty of Medicine, National Heart and Lung Institute, Imperial College London,  London, UK.; Faculty of Medicine, Department of Metabolism, Digestion and Reproduction,  Imperial Centre for Translational and Experimental Medicine, Imperial College  London, London, UK.; Faculty of Medicine, Department of Metabolism, Digestion and Reproduction,  Imperial Centre for Translational and Experimental Medicine, Imperial College  London, London, UK.; Department of Cardiology, Imperial College Healthcare NHS Trust, London, UK.; Department of Non Communicable Disease Epidemiology, London School of Hygiene and  Tropical Medicine, London, UK.&lt;/_author_adr&gt;&lt;_collection_scope&gt;SCIE&lt;/_collection_scope&gt;&lt;_created&gt;66402442&lt;/_created&gt;&lt;_date&gt;65678400&lt;/_date&gt;&lt;_date_display&gt;2024 Nov 16&lt;/_date_display&gt;&lt;_db_updated&gt;CrossRef&lt;/_db_updated&gt;&lt;_doi&gt;10.1186/s12933-024-02454-1&lt;/_doi&gt;&lt;_impact_factor&gt;   8.500&lt;/_impact_factor&gt;&lt;_isbn&gt;1475-2840&lt;/_isbn&gt;&lt;_issue&gt;1&lt;/_issue&gt;&lt;_journal&gt;Cardiovascular Diabetology&lt;/_journal&gt;&lt;_keywords&gt;Cardiodiabetology; Hyperglycaemia; Inpatient Management; Mortality; Stress hormones&lt;/_keywords&gt;&lt;_language&gt;eng&lt;/_language&gt;&lt;_modified&gt;66402459&lt;/_modified&gt;&lt;_number&gt;35&lt;/_number&gt;&lt;_ori_publication&gt;© 2024. The Author(s).&lt;/_ori_publication&gt;&lt;_pages&gt;412&lt;/_pages&gt;&lt;_social_category&gt;内分泌学与代谢(1) &amp;amp; 心脏和心血管系统(2)&lt;/_social_category&gt;&lt;_subject_headings&gt;Humans; *Hyperglycemia/mortality/blood/diagnosis; Risk Assessment; Risk Factors; *Blood Glucose/metabolism; *Biomarkers/blood; Aged; *Cause of Death; Middle Aged; Male; Prognosis; Female; Time Factors; Cardiovascular Diseases/mortality/diagnosis/blood; Ischemic Stroke/mortality/blood/diagnosis; Aged, 80 and over; Adult; Myocardial Infarction/mortality/blood/diagnosis; Heart Failure/mortality/diagnosis/blood&lt;/_subject_headings&gt;&lt;_tertiary_title&gt;Cardiovasc Diabetol&lt;/_tertiary_title&gt;&lt;_type_work&gt;Journal Article; Meta-Analysis; Systematic Review&lt;/_type_work&gt;&lt;_url&gt;https://cardiab.biomedcentral.com/articles/10.1186/s12933-024-02454-1_x000d__x000a_https://link.springer.com/content/pdf/10.1186/s12933-024-02454-1.pdf&lt;/_url&gt;&lt;_volume&gt;23&lt;/_volume&gt;&lt;/Details&gt;&lt;Extra&gt;&lt;DBUID&gt;{0595FEED-06EC-4465-A92A-123F8040CA41}&lt;/DBUID&gt;&lt;/Extra&gt;&lt;/Item&gt;&lt;/References&gt;&lt;/Group&gt;&lt;/Citation&gt;_x000a_"/>
    <w:docVar w:name="NE.Ref{8B78D383-FEC6-4CD1-9E27-A3250DC512D9}" w:val=" ADDIN NE.Ref.{8B78D383-FEC6-4CD1-9E27-A3250DC512D9}&lt;Citation&gt;&lt;Group&gt;&lt;References&gt;&lt;Item&gt;&lt;ID&gt;2628&lt;/ID&gt;&lt;UID&gt;{4712502B-9009-4C94-AA80-4745172A9CEE}&lt;/UID&gt;&lt;Title&gt;Percentage of Time in Range 70 to 139 mg/dL Is Associated With Reduced Mortality Among Critically Ill Patients Receiving IV Insulin Infusion&lt;/Title&gt;&lt;Template&gt;Journal Article&lt;/Template&gt;&lt;Star&gt;0&lt;/Star&gt;&lt;Tag&gt;0&lt;/Tag&gt;&lt;Author&gt;Lanspa, Michael J; Krinsley, James S; Hersh, Andrew M; Wilson, Emily L; Holmen, John R; Orme, James F; Morris, Alan H; Hirshberg, Eliotte L&lt;/Author&gt;&lt;Year&gt;2019&lt;/Year&gt;&lt;Details&gt;&lt;_accessed&gt;66401362&lt;/_accessed&gt;&lt;_accession_num&gt;31201784&lt;/_accession_num&gt;&lt;_author_adr&gt;Division of Pulmonary and Critical Care, Intermountain Medical Center, Murray,  UT; Division of Pulmonary and Critical Care Medicine, University of Utah, Salt  Lake City, UT. Electronic address: michael.lanspa@imail.org.; Division of Critical Care, Department of Medicine, Stamford Hospital, Columbia  Vagelos University College of Physicians and Surgeons, New York, NY.; Department of Pulmonary and Critical Care Medicine, San Antonio Military Medical  Center, San Antonio, TX.; Division of Pulmonary and Critical Care, Intermountain Medical Center, Murray,  UT.; Homer Warner Center, Intermountain Healthcare, Murray, UT.; Division of Pulmonary and Critical Care, Intermountain Medical Center, Murray,  UT; Division of Pulmonary and Critical Care Medicine, University of Utah, Salt  Lake City, UT.; Division of Pulmonary and Critical Care, Intermountain Medical Center, Murray,  UT; Division of Pulmonary and Critical Care Medicine, University of Utah, Salt  Lake City, UT.; Division of Pulmonary and Critical Care, Intermountain Medical Center, Murray,  UT; Division of Pulmonary and Critical Care Medicine, University of Utah, Salt  Lake City, UT; Division of Pediatric Critical Care, Department of Pediatrics,  University of Utah, Salt Lake City, UT.&lt;/_author_adr&gt;&lt;_collection_scope&gt;SCIE&lt;/_collection_scope&gt;&lt;_created&gt;66401356&lt;/_created&gt;&lt;_date&gt;2019-11-01&lt;/_date&gt;&lt;_date_display&gt;2019 Nov&lt;/_date_display&gt;&lt;_db_updated&gt;CrossRef&lt;/_db_updated&gt;&lt;_doi&gt;10.1016/j.chest.2019.05.016&lt;/_doi&gt;&lt;_impact_factor&gt;   9.500&lt;/_impact_factor&gt;&lt;_isbn&gt;00123692&lt;/_isbn&gt;&lt;_issue&gt;5&lt;/_issue&gt;&lt;_journal&gt;Chest&lt;/_journal&gt;&lt;_keywords&gt;diabetes; dysglycemia; glucose; glucose variation; intensive insulin therapy&lt;/_keywords&gt;&lt;_language&gt;eng&lt;/_language&gt;&lt;_modified&gt;66401436&lt;/_modified&gt;&lt;_number&gt;51&lt;/_number&gt;&lt;_ori_publication&gt;Copyright © 2019 The Authors. Published by Elsevier Inc. All rights reserved.&lt;/_ori_publication&gt;&lt;_pages&gt;878-886&lt;/_pages&gt;&lt;_social_category&gt;呼吸系统(1) &amp;amp; 危重病医学(2)&lt;/_social_category&gt;&lt;_subject_headings&gt;Aged; Blood Glucose/metabolism; Critical Illness/*mortality; Diabetes Mellitus/blood/*drug therapy/mortality; Female; Follow-Up Studies; Glycated Hemoglobin/metabolism; Humans; Hypoglycemic Agents/administration &amp;amp; dosage; Infusions, Intravenous; Insulin/*administration &amp;amp; dosage; Male; Middle Aged; Prognosis; Retrospective Studies; Risk Assessment/*methods; Risk Factors; Time Factors; United States/epidemiology&lt;/_subject_headings&gt;&lt;_tertiary_title&gt;Chest&lt;/_tertiary_title&gt;&lt;_type_work&gt;Journal Article; Multicenter Study&lt;/_type_work&gt;&lt;_url&gt;https://linkinghub.elsevier.com/retrieve/pii/S0012369219311870_x000d__x000a_https://api.elsevier.com/content/article/PII:S0012369219311870?httpAccept=text/xml&lt;/_url&gt;&lt;_volume&gt;156&lt;/_volume&gt;&lt;/Details&gt;&lt;Extra&gt;&lt;DBUID&gt;{0595FEED-06EC-4465-A92A-123F8040CA41}&lt;/DBUID&gt;&lt;/Extra&gt;&lt;/Item&gt;&lt;/References&gt;&lt;/Group&gt;&lt;/Citation&gt;_x000a_"/>
    <w:docVar w:name="NE.Ref{9622CD39-3180-47EB-BE82-16F1235C3F37}" w:val=" ADDIN NE.Ref.{9622CD39-3180-47EB-BE82-16F1235C3F37}&lt;Citation&gt;&lt;Group&gt;&lt;References&gt;&lt;Item&gt;&lt;ID&gt;2612&lt;/ID&gt;&lt;UID&gt;{4AF5E989-F1AC-4A30-B7DC-3C9EE05A49F4}&lt;/UID&gt;&lt;Title&gt;Prediction of risk of death and myocardial infarction in the six months after presentation with acute coronary syndrome: prospective multinational observational study (GRACE)&lt;/Title&gt;&lt;Template&gt;Journal Article&lt;/Template&gt;&lt;Star&gt;0&lt;/Star&gt;&lt;Tag&gt;0&lt;/Tag&gt;&lt;Author&gt;Fox, Keith A A; Dabbous, Omar H; Goldberg, Robert J; Pieper, Karen S; Eagle, Kim A; Van de Werf, Frans; Avezum, Álvaro; Goodman, Shaun G; Flather, Marcus D; Anderson, Frederick A; Granger, Christopher B&lt;/Author&gt;&lt;Year&gt;2006&lt;/Year&gt;&lt;Details&gt;&lt;_accessed&gt;66401361&lt;/_accessed&gt;&lt;_accession_num&gt;17032691&lt;/_accession_num&gt;&lt;_author_adr&gt;Royal Infirmary of Edinburgh, University of Edinburgh, Edinburgh EH16 4SB.  k.a.a.fox@ed.ac.uk&lt;/_author_adr&gt;&lt;_collection_scope&gt;SCIE&lt;/_collection_scope&gt;&lt;_created&gt;66401340&lt;/_created&gt;&lt;_date&gt;56223360&lt;/_date&gt;&lt;_date_display&gt;2006 Nov 25&lt;/_date_display&gt;&lt;_db_updated&gt;CrossRef&lt;/_db_updated&gt;&lt;_doi&gt;10.1136/bmj.38985.646481.55&lt;/_doi&gt;&lt;_impact_factor&gt;  93.700&lt;/_impact_factor&gt;&lt;_isbn&gt;0959-8138&lt;/_isbn&gt;&lt;_issue&gt;7578&lt;/_issue&gt;&lt;_journal&gt;BMJ&lt;/_journal&gt;&lt;_language&gt;eng&lt;/_language&gt;&lt;_modified&gt;66401436&lt;/_modified&gt;&lt;_number&gt;36&lt;/_number&gt;&lt;_pages&gt;1091&lt;/_pages&gt;&lt;_social_category&gt;医学：内科(1)&lt;/_social_category&gt;&lt;_subject_headings&gt;Epidemiologic Methods; Female; Humans; Male; Myocardial Infarction/mortality; Myocardial Ischemia/diagnosis/*mortality; Prognosis; Severity of Illness Index; Syndrome; Triage/methods&lt;/_subject_headings&gt;&lt;_tertiary_title&gt;BMJ&lt;/_tertiary_title&gt;&lt;_type_work&gt;Journal Article; Multicenter Study; Research Support, Non-U.S. Gov&amp;apos;t&lt;/_type_work&gt;&lt;_url&gt;https://www.bmj.com/lookup/doi/10.1136/bmj.38985.646481.55_x000d__x000a_https://syndication.highwire.org/content/doi/10.1136/bmj.38985.646481.55&lt;/_url&gt;&lt;_volume&gt;333&lt;/_volume&gt;&lt;/Details&gt;&lt;Extra&gt;&lt;DBUID&gt;{0595FEED-06EC-4465-A92A-123F8040CA41}&lt;/DBUID&gt;&lt;/Extra&gt;&lt;/Item&gt;&lt;/References&gt;&lt;/Group&gt;&lt;/Citation&gt;_x000a_"/>
    <w:docVar w:name="NE.Ref{97A80145-5723-4FC2-A264-34E3811C5B57}" w:val=" ADDIN NE.Ref.{97A80145-5723-4FC2-A264-34E3811C5B57}&lt;Citation&gt;&lt;Group&gt;&lt;References&gt;&lt;Item&gt;&lt;ID&gt;2603&lt;/ID&gt;&lt;UID&gt;{54538B32-2F51-4E92-8D23-ADE8C2ED4D6C}&lt;/UID&gt;&lt;Title&gt;Stress hyperglycemia ratio predicts outcome in stroke patients without diabetes and builds a nomogram: a multi-center retrospective cohort study in a Chinese population&lt;/Title&gt;&lt;Template&gt;Journal Article&lt;/Template&gt;&lt;Star&gt;0&lt;/Star&gt;&lt;Tag&gt;0&lt;/Tag&gt;&lt;Author&gt;Yao, Manjuan; Hu, Shiyu; Li, Shaoling; Liao, Yuqi; Ren, Lijie&lt;/Author&gt;&lt;Year&gt;2026&lt;/Year&gt;&lt;Details&gt;&lt;_accessed&gt;66401361&lt;/_accessed&gt;&lt;_accession_num&gt;41540480&lt;/_accession_num&gt;&lt;_author_adr&gt;Department of Neurology, Shenzhen University First Affiliated Hospital, Shenzhen  Second People&amp;apos;s Hospital, No. 3002 Sungang West Road, Shenzhen, 518035, China.; Shenzhen University School of Medicine, Shenzhen, China.; Department of Neurology, Shenzhen University First Affiliated Hospital, Shenzhen  Second People&amp;apos;s Hospital, No. 3002 Sungang West Road, Shenzhen, 518035, China.; Department of Neurology, Shenzhen University First Affiliated Hospital, Shenzhen  Second People&amp;apos;s Hospital, No. 3002 Sungang West Road, Shenzhen, 518035, China.; Shenzhen University School of Medicine, Shenzhen, China.; Department of Neurology, Shenzhen University First Affiliated Hospital, Shenzhen  Second People&amp;apos;s Hospital, No. 3002 Sungang West Road, Shenzhen, 518035, China.; Shenzhen University School of Medicine, Shenzhen, China.; Department of Neurology, Shenzhen University First Affiliated Hospital, Shenzhen  Second People&amp;apos;s Hospital, No. 3002 Sungang West Road, Shenzhen, 518035, China.  13631605966@126.com.; Quality Control Center for Nervous System Diseases of Shenzhen, Shenzhen, China.  13631605966@126.com.&lt;/_author_adr&gt;&lt;_collection_scope&gt;SCIE&lt;/_collection_scope&gt;&lt;_created&gt;66401336&lt;/_created&gt;&lt;_date&gt;66290400&lt;/_date&gt;&lt;_date_display&gt;2026 Jan 15&lt;/_date_display&gt;&lt;_db_updated&gt;CrossRef&lt;/_db_updated&gt;&lt;_doi&gt;10.1186/s40001-025-03811-w&lt;/_doi&gt;&lt;_impact_factor&gt;   2.800&lt;/_impact_factor&gt;&lt;_isbn&gt;2047-783X&lt;/_isbn&gt;&lt;_issue&gt;1&lt;/_issue&gt;&lt;_journal&gt;European Journal of Medical Research&lt;/_journal&gt;&lt;_keywords&gt;Acute ischemic stroke; Nomogram; Non-diabetic; Prognosis; Stress hyperglycemia ratio&lt;/_keywords&gt;&lt;_language&gt;eng&lt;/_language&gt;&lt;_modified&gt;66401436&lt;/_modified&gt;&lt;_number&gt;28&lt;/_number&gt;&lt;_ori_publication&gt;© 2026. The Author(s).&lt;/_ori_publication&gt;&lt;_pages&gt;272&lt;/_pages&gt;&lt;_social_category&gt;医学：研究与实验(4)&lt;/_social_category&gt;&lt;_subject_headings&gt;Humans; *Nomograms; Male; Female; *Hyperglycemia/blood/epidemiology/complications; Retrospective Studies; Middle Aged; Aged; Prognosis; Blood Glucose/analysis; China/epidemiology; Glycated Hemoglobin/analysis; *Stroke/blood; Diabetes Mellitus/blood; East Asian People&lt;/_subject_headings&gt;&lt;_tertiary_title&gt;Eur J Med Res&lt;/_tertiary_title&gt;&lt;_type_work&gt;Journal Article; Multicenter Study&lt;/_type_work&gt;&lt;_url&gt;https://link.springer.com/10.1186/s40001-025-03811-w_x000d__x000a_https://link.springer.com/content/pdf/10.1186/s40001-025-03811-w.pdf&lt;/_url&gt;&lt;_volume&gt;31&lt;/_volume&gt;&lt;/Details&gt;&lt;Extra&gt;&lt;DBUID&gt;{0595FEED-06EC-4465-A92A-123F8040CA41}&lt;/DBUID&gt;&lt;/Extra&gt;&lt;/Item&gt;&lt;/References&gt;&lt;/Group&gt;&lt;Group&gt;&lt;References&gt;&lt;Item&gt;&lt;ID&gt;2615&lt;/ID&gt;&lt;UID&gt;{399F273B-131E-4B54-BCC1-C4A0DCEBCF90}&lt;/UID&gt;&lt;Title&gt;Stress Hyperglycemia and Prognosis of Stroke in Nondiabetic and Diabetic Patients&lt;/Title&gt;&lt;Template&gt;Journal Article&lt;/Template&gt;&lt;Star&gt;0&lt;/Star&gt;&lt;Tag&gt;0&lt;/Tag&gt;&lt;Author&gt;Capes, Sarah E; Hunt, Dereck; Malmberg, Klas; Pathak, Parbeen; Gerstein, Hertzel C&lt;/Author&gt;&lt;Year&gt;2001&lt;/Year&gt;&lt;Details&gt;&lt;_accessed&gt;66401362&lt;/_accessed&gt;&lt;_accession_num&gt;11588337&lt;/_accession_num&gt;&lt;_author_adr&gt;Department of Medicine, McMaster University, Hamilton, Ontario, Canada.  scapes@mcmaster.ca&lt;/_author_adr&gt;&lt;_collection_scope&gt;SCIE&lt;/_collection_scope&gt;&lt;_created&gt;66401342&lt;/_created&gt;&lt;_date&gt;2001-10-01&lt;/_date&gt;&lt;_date_display&gt;2001 Oct&lt;/_date_display&gt;&lt;_db_updated&gt;CrossRef&lt;/_db_updated&gt;&lt;_doi&gt;10.1161/hs1001.096194&lt;/_doi&gt;&lt;_impact_factor&gt;   7.900&lt;/_impact_factor&gt;&lt;_isbn&gt;0039-2499&lt;/_isbn&gt;&lt;_issue&gt;10&lt;/_issue&gt;&lt;_journal&gt;Stroke&lt;/_journal&gt;&lt;_language&gt;eng&lt;/_language&gt;&lt;_modified&gt;66401436&lt;/_modified&gt;&lt;_number&gt;38&lt;/_number&gt;&lt;_pages&gt;2426-2432&lt;/_pages&gt;&lt;_social_category&gt;临床神经病学(1) &amp;amp; 外周血管病(1)&lt;/_social_category&gt;&lt;_subject_headings&gt;Blood Glucose; Diabetes Complications; *Diabetes Mellitus/blood; Hospital Mortality; Humans; Hyperglycemia/blood/*diagnosis/etiology; Predictive Value of Tests; Prognosis; Risk; Risk Assessment; *Stress, Physiological/blood/complications; Stroke/blood/complications/*diagnosis; Survival Rate&lt;/_subject_headings&gt;&lt;_tertiary_title&gt;Stroke&lt;/_tertiary_title&gt;&lt;_type_work&gt;Journal Article; Meta-Analysis; Systematic Review&lt;/_type_work&gt;&lt;_url&gt;https://www.ahajournals.org/doi/10.1161/hs1001.096194_x000d__x000a_https://www.ahajournals.org/doi/full/10.1161/hs1001.096194&lt;/_url&gt;&lt;_volume&gt;32&lt;/_volume&gt;&lt;/Details&gt;&lt;Extra&gt;&lt;DBUID&gt;{0595FEED-06EC-4465-A92A-123F8040CA41}&lt;/DBUID&gt;&lt;/Extra&gt;&lt;/Item&gt;&lt;/References&gt;&lt;/Group&gt;&lt;/Citation&gt;_x000a_"/>
    <w:docVar w:name="NE.Ref{97C819F7-624B-41F6-9757-E0C456BDE3C1}" w:val=" ADDIN NE.Ref.{97C819F7-624B-41F6-9757-E0C456BDE3C1}&lt;Citation&gt;&lt;Group&gt;&lt;References&gt;&lt;Item&gt;&lt;ID&gt;2691&lt;/ID&gt;&lt;UID&gt;{097295E6-84F4-4A18-A52F-03B69764BCF3}&lt;/UID&gt;&lt;Title&gt;2019 ESC Guidelines for the diagnosis and management of chronic coronary syndromes&lt;/Title&gt;&lt;Template&gt;Journal Article&lt;/Template&gt;&lt;Star&gt;0&lt;/Star&gt;&lt;Tag&gt;0&lt;/Tag&gt;&lt;Author&gt;Knuuti, Juhani; Wijns, William; Saraste, Antti; Capodanno, Davide; Barbato, Emanuele; Funck-Brentano, Christian; Prescott, Eva; Storey, Robert F; Deaton, Christi; Cuisset, Thomas; Agewall, Stefan; Dickstein, Kenneth; Edvardsen, Thor; Escaned, Javier; Gersh, Bernard J; Svitil, Pavel; Gilard, Martine; Hasdai, David; Hatala, Robert; Mahfoud, Felix; Masip, Josep; Muneretto, Claudio; Valgimigli, Marco; Achenbach, Stephan; Bax, Jeroen J; Neumann, Franz-Josef; Sechtem, Udo; Banning, Adrian Paul; Bonaros, Nikolaos; Bueno, Héctor; Bugiardini, Raffaele; Chieffo, Alaide; Crea, Filippo; Czerny, Martin; Delgado, Victoria; Dendale, Paul; Flachskampf, Frank Arnold; Gohlke, Helmut; Grove, Erik Lerkevang; James, Stefan; Katritsis, Demosthenes; Landmesser, Ulf; Lettino, Maddalena; Matter, Christian M; Nathoe, Hendrik; Niessner, Alexander; Patrono, Carlo; Petronio, Anna Sonia; Pettersen, Steffen E; Piccolo, Raffaele; Piepoli, Massimo Francesco; Popescu, Bogdan A; Räber, Lorenz; Richter, Dimitrios J; Roffi, Marco; Roithinger, Franz X; Shlyakhto, Evgeny; Sibbing, Dirk; Silber, Sigmund; Simpson, Iain A; Sousa-Uva, Miguel; Vardas, Panos; Witkowski, Adam; Zamorano, Jose Luis; Achenbach, Stephan; Agewall, Stefan; Barbato, Emanuele; Bax, Jeroen J; Capodanno, Davide; Cuisset, Thomas; Deaton, Christi; Dickstein, Kenneth; Edvardsen, Thor; Escaned, Javier; Funck-Brentano, Christian; Gersh, Bernard J; Gilard, Martine; Hasdai, David; Hatala, Robert; Mahfoud, Felix; Masip, Josep; Muneretto, Claudio; Prescott, Eva; Saraste, Antti; Storey, Robert F; Svitil, Pavel; Valgimigli, Marco; Windecker, Stephan; Aboyans, Victor; Baigent, Colin; Collet, Jean-Philippe; Dean, Veronica; Delgado, Victoria; Fitzsimons, Donna; Gale, Christopher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Benkhedda, Salim; Metzler, Bernhard; Sujayeva, Volha; Cosyns, Bernard; Kusljugic, Zumreta; Velchev, Vasil; Panayi, Georgios; Kala, Petr; Haahr-Pedersen, Sune Ammentorp; Kabil, Hamza; Ainla, Tiia; Kaukonen, Tomi; Cayla, Guillaume; Pagava, Zurab; Woehrle, Jochen; Kanakakis, John; Tóth, Kálmán; Gudnason, Thorarinn; Peace, Aaron; Aronson, Doron; Riccio, Carmine; Elezi, Shpend; Mirrakhimov, Erkin; Hansone, Silvija; Sarkis, Antoine; Babarskiene, Ruta; Beissel, Jean; Maempel, Andrew J Cassar; Revenco, Valeriu; de Grooth, G J; Pejkov, Hristo; Juliebø, Vibeke; Lipiec, Piotr; Santos, José; Chioncel, Ovidiu; Duplyakov, Dmitry; Bertelli, Luca; Dikic, Ana Djordjevic; Studenčan, Martin; Bunc, Matjaz; Alfonso, Fernando; Bäck, Magnus; Zellweger, Michael; Addad, Faouzi; Yildirir, Aylin; Sirenko, Yuriy; Clapp, Brian&lt;/Author&gt;&lt;Year&gt;2020&lt;/Year&gt;&lt;Details&gt;&lt;_accessed&gt;66402457&lt;/_accessed&gt;&lt;_accession_num&gt;31504439&lt;/_accession_num&gt;&lt;_collection_scope&gt;SCIE&lt;/_collection_scope&gt;&lt;_created&gt;66401449&lt;/_created&gt;&lt;_date&gt;63132480&lt;/_date&gt;&lt;_date_display&gt;2020 Jan 14&lt;/_date_display&gt;&lt;_db_updated&gt;CrossRef&lt;/_db_updated&gt;&lt;_doi&gt;10.1093/eurheartj/ehz425&lt;/_doi&gt;&lt;_impact_factor&gt;  38.100&lt;/_impact_factor&gt;&lt;_isbn&gt;0195-668X&lt;/_isbn&gt;&lt;_issue&gt;3&lt;/_issue&gt;&lt;_journal&gt;European Heart Journal&lt;/_journal&gt;&lt;_keywords&gt;Guidelines; angina pectoris; anti-ischaemic drugs; antithrombotic therapy; chronic coronary syndromes; coronary artery disease; diagnostic testing; imaging; lifestyle modifications; lipid-lowering drugs; microvascular angina; myocardial ischaemia; myocardial revascularization; risk assessment; screening; vasospastic angina&lt;/_keywords&gt;&lt;_language&gt;eng&lt;/_language&gt;&lt;_modified&gt;66402457&lt;/_modified&gt;&lt;_number&gt;4&lt;/_number&gt;&lt;_pages&gt;407-477&lt;/_pages&gt;&lt;_social_category&gt;心脏和心血管系统(1)&lt;/_social_category&gt;&lt;_subject_headings&gt;*Cardiology; Chronic Disease; Coronary Artery Disease/*diagnosis/therapy; *Diagnostic Techniques, Cardiovascular; *Disease Management; Europe; Humans; *Societies, Medical; Syndrome&lt;/_subject_headings&gt;&lt;_tertiary_title&gt;European heart journal&lt;/_tertiary_title&gt;&lt;_type_work&gt;Journal Article; Practice Guideline&lt;/_type_work&gt;&lt;_url&gt;https://academic.oup.com/eurheartj/article/41/3/407/5556137_x000d__x000a_http://academic.oup.com/eurheartj/article-pdf/41/3/407/32651471/ehz425.pdf&lt;/_url&gt;&lt;_volume&gt;41&lt;/_volume&gt;&lt;/Details&gt;&lt;Extra&gt;&lt;DBUID&gt;{0595FEED-06EC-4465-A92A-123F8040CA41}&lt;/DBUID&gt;&lt;/Extra&gt;&lt;/Item&gt;&lt;/References&gt;&lt;/Group&gt;&lt;Group&gt;&lt;References&gt;&lt;Item&gt;&lt;ID&gt;2693&lt;/ID&gt;&lt;UID&gt;{B19EC09A-3616-4252-A7F7-FAFE5D6B4115}&lt;/UID&gt;&lt;Title&gt;2012 ACCF/AHA/ACP/AATS/PCNA/SCAI/STS Guideline for the Diagnosis and Management of Patients With Stable Ischemic Heart Disease&lt;/Title&gt;&lt;Template&gt;Journal Article&lt;/Template&gt;&lt;Star&gt;0&lt;/Star&gt;&lt;Tag&gt;0&lt;/Tag&gt;&lt;Author&gt;Fihn, Stephan D; Gardin, Julius M; Abrams, Jonathan; Berra, Kathleen; Blankenship, James C; Dallas, Apostolos P; Douglas, Pamela S; Foody, JoAnne M; Gerber, Thomas C; Hinderliter, Alan L; King, Spencer B; Kligfield, Paul D; Krumholz, Harlan M; Kwong, Raymond Y K; Lim, Michael J; Linderbaum, Jane A; Mack, Michael J; Munger, Mark A; Prager, Richard L; Sabik, Joseph F; Shaw, Leslee J; Sikkema, Joanna D; Smith, Craig R; Smith, Sidney C; Spertus, John A; Williams, Sankey V&lt;/Author&gt;&lt;Year&gt;2012&lt;/Year&gt;&lt;Details&gt;&lt;_accessed&gt;66402457&lt;/_accessed&gt;&lt;_accession_num&gt;23166211&lt;/_accession_num&gt;&lt;_collection_scope&gt;SCIE&lt;/_collection_scope&gt;&lt;_created&gt;66401449&lt;/_created&gt;&lt;_date&gt;59412960&lt;/_date&gt;&lt;_date_display&gt;2012 Dec 18&lt;/_date_display&gt;&lt;_db_updated&gt;CrossRef&lt;/_db_updated&gt;&lt;_doi&gt;10.1161/CIR.0b013e318277d6a0&lt;/_doi&gt;&lt;_impact_factor&gt;  35.600&lt;/_impact_factor&gt;&lt;_isbn&gt;0009-7322&lt;/_isbn&gt;&lt;_issue&gt;25&lt;/_issue&gt;&lt;_journal&gt;Circulation&lt;/_journal&gt;&lt;_language&gt;eng&lt;/_language&gt;&lt;_modified&gt;66402457&lt;/_modified&gt;&lt;_number&gt;5&lt;/_number&gt;&lt;_pages&gt;e354-471&lt;/_pages&gt;&lt;_social_category&gt;心脏和心血管系统(1) &amp;amp; 外周血管病(1)&lt;/_social_category&gt;&lt;_subject_headings&gt;Coronary Angiography; Coronary Artery Bypass; Echocardiography; Exercise Test; Humans; Myocardial Ischemia/*diagnosis/*therapy; Myocardial Revascularization; Patient Education as Topic; Risk Assessment&lt;/_subject_headings&gt;&lt;_tertiary_title&gt;Circulation&lt;/_tertiary_title&gt;&lt;_type_work&gt;Journal Article; Practice Guideline&lt;/_type_work&gt;&lt;_url&gt;https://www.ahajournals.org/doi/10.1161/CIR.0b013e318277d6a0_x000d__x000a_https://www.ahajournals.org/doi/full/10.1161/CIR.0b013e318277d6a0&lt;/_url&gt;&lt;_volume&gt;126&lt;/_volume&gt;&lt;/Details&gt;&lt;Extra&gt;&lt;DBUID&gt;{0595FEED-06EC-4465-A92A-123F8040CA41}&lt;/DBUID&gt;&lt;/Extra&gt;&lt;/Item&gt;&lt;/References&gt;&lt;/Group&gt;&lt;/Citation&gt;_x000a_"/>
    <w:docVar w:name="NE.Ref{98B9097C-3589-4C35-BCB6-E90856109E17}" w:val=" ADDIN NE.Ref.{98B9097C-3589-4C35-BCB6-E90856109E17}&lt;Citation&gt;&lt;Group&gt;&lt;References&gt;&lt;Item&gt;&lt;ID&gt;2604&lt;/ID&gt;&lt;UID&gt;{9AE4FCFA-C119-482D-8053-B912CB470909}&lt;/UID&gt;&lt;Title&gt;Association between stress hyperglycemia ratio and 28-day all-cause mortality in critically ill atrial fibrillation patients: a retrospective cohort study based on the MIMIC-IV database&lt;/Title&gt;&lt;Template&gt;Journal Article&lt;/Template&gt;&lt;Star&gt;0&lt;/Star&gt;&lt;Tag&gt;0&lt;/Tag&gt;&lt;Author&gt;Zhang, Qianqian; Zhang, Nianzhi; Zhou, Jing; Zheng, Ying; Wang, Yuanyuan&lt;/Author&gt;&lt;Year&gt;2025&lt;/Year&gt;&lt;Details&gt;&lt;_accessed&gt;66401361&lt;/_accessed&gt;&lt;_accession_num&gt;41376919&lt;/_accession_num&gt;&lt;_author_adr&gt;The First Clinical School of Anhui University of Chinese Medicine, Hefei, China.; Department of Respiratory Medicine, First Affiliated Hospital of Anhui University  of Chinese Medicine, Hefei, China.; The First Clinical School of Anhui University of Chinese Medicine, Hefei, China.; Department of Respiratory Medicine, First Affiliated Hospital of Anhui University  of Chinese Medicine, Hefei, China.; The First Clinical School of Anhui University of Chinese Medicine, Hefei, China.; Department of Respiratory Medicine, First Affiliated Hospital of Anhui University  of Chinese Medicine, Hefei, China.&lt;/_author_adr&gt;&lt;_collection_scope&gt;SCIE&lt;/_collection_scope&gt;&lt;_created&gt;66401336&lt;/_created&gt;&lt;_date&gt;2025-11-30&lt;/_date&gt;&lt;_date_display&gt;2025 Nov 30&lt;/_date_display&gt;&lt;_db_updated&gt;CrossRef&lt;/_db_updated&gt;&lt;_doi&gt;10.21037/jtd-2025-1507&lt;/_doi&gt;&lt;_impact_factor&gt;   2.100&lt;/_impact_factor&gt;&lt;_isbn&gt;20721439&lt;/_isbn&gt;&lt;_issue&gt;11&lt;/_issue&gt;&lt;_journal&gt;Journal of Thoracic Disease&lt;/_journal&gt;&lt;_keywords&gt;Atrial fibrillation (AF); Medical Information Mart for Intensive Care IV database (MIMIC-IV database); intensive care unit (ICU); stress hyperglycemia ratio (SHR)&lt;/_keywords&gt;&lt;_language&gt;eng&lt;/_language&gt;&lt;_modified&gt;66401436&lt;/_modified&gt;&lt;_number&gt;29&lt;/_number&gt;&lt;_ori_publication&gt;© AME Publishing Company.&lt;/_ori_publication&gt;&lt;_pages&gt;10272-10284&lt;/_pages&gt;&lt;_social_category&gt;呼吸系统(4)&lt;/_social_category&gt;&lt;_tertiary_title&gt;J Thorac Dis&lt;/_tertiary_title&gt;&lt;_type_work&gt;Journal Article&lt;/_type_work&gt;&lt;_url&gt;https://jtd.amegroups.com/article/view/108816/html_x000d__x000a_https://jtd.amegroups.com/article/download/108816/pdf&lt;/_url&gt;&lt;_volume&gt;17&lt;/_volume&gt;&lt;/Details&gt;&lt;Extra&gt;&lt;DBUID&gt;{0595FEED-06EC-4465-A92A-123F8040CA41}&lt;/DBUID&gt;&lt;/Extra&gt;&lt;/Item&gt;&lt;/References&gt;&lt;/Group&gt;&lt;/Citation&gt;_x000a_"/>
    <w:docVar w:name="NE.Ref{9C0DF959-8A1A-4A9E-B7AC-4E507890ED15}" w:val=" ADDIN NE.Ref.{9C0DF959-8A1A-4A9E-B7AC-4E507890ED15}&lt;Citation&gt;&lt;Group&gt;&lt;References&gt;&lt;Item&gt;&lt;ID&gt;2733&lt;/ID&gt;&lt;UID&gt;{48BC6BD6-07B0-443D-9375-7AC647C11FAC}&lt;/UID&gt;&lt;Title&gt;Stress-induced hyperglycemia&lt;/Title&gt;&lt;Template&gt;Journal Article&lt;/Template&gt;&lt;Star&gt;0&lt;/Star&gt;&lt;Tag&gt;0&lt;/Tag&gt;&lt;Author&gt;McCowen, K C; Malhotra, A; Bistrian, B R&lt;/Author&gt;&lt;Year&gt;2001&lt;/Year&gt;&lt;Details&gt;&lt;_accession_num&gt;11219223&lt;/_accession_num&gt;&lt;_author_adr&gt;Departments of Medicine, Beth Israel Deaconess Medical Center, Boston,  Massachusetts, USA. KMcCowen@caregroup.harvard.edu&lt;/_author_adr&gt;&lt;_collection_scope&gt;SCIE&lt;/_collection_scope&gt;&lt;_created&gt;66402443&lt;/_created&gt;&lt;_date&gt;2001-01-01&lt;/_date&gt;&lt;_date_display&gt;2001 Jan&lt;/_date_display&gt;&lt;_doi&gt;10.1016/s0749-0704(05)70154-8&lt;/_doi&gt;&lt;_impact_factor&gt;   3.000&lt;/_impact_factor&gt;&lt;_isbn&gt;0749-0704 (Print); 0749-0704 (Linking)&lt;/_isbn&gt;&lt;_issue&gt;1&lt;/_issue&gt;&lt;_journal&gt;Crit Care Clin&lt;/_journal&gt;&lt;_language&gt;eng&lt;/_language&gt;&lt;_modified&gt;66402448&lt;/_modified&gt;&lt;_number&gt;38&lt;/_number&gt;&lt;_pages&gt;107-24&lt;/_pages&gt;&lt;_social_category&gt;危重病医学(4)&lt;/_social_category&gt;&lt;_subject_headings&gt;Glucose/metabolism; Humans; Hyperglycemia/complications/epidemiology/*etiology/physiopathology/prevention &amp;amp; _x000d__x000a_      control; Insulin/therapeutic use; Insulin Resistance; Intensive Care Units; Risk Factors; Stress, Physiological/*complications&lt;/_subject_headings&gt;&lt;_tertiary_title&gt;Critical care clinics&lt;/_tertiary_title&gt;&lt;_type_work&gt;Journal Article; Review&lt;/_type_work&gt;&lt;_url&gt;http://www.ncbi.nlm.nih.gov/entrez/query.fcgi?cmd=Retrieve&amp;amp;db=pubmed&amp;amp;dopt=Abstract&amp;amp;list_uids=11219223&amp;amp;query_hl=1&lt;/_url&gt;&lt;_volume&gt;17&lt;/_volume&gt;&lt;/Details&gt;&lt;Extra&gt;&lt;DBUID&gt;{0595FEED-06EC-4465-A92A-123F8040CA41}&lt;/DBUID&gt;&lt;/Extra&gt;&lt;/Item&gt;&lt;/References&gt;&lt;/Group&gt;&lt;Group&gt;&lt;References&gt;&lt;Item&gt;&lt;ID&gt;2745&lt;/ID&gt;&lt;UID&gt;{5238ECB9-D25A-4560-A183-D4CD562CF0FF}&lt;/UID&gt;&lt;Title&gt;Lactic Acidosis&lt;/Title&gt;&lt;Template&gt;Journal Article&lt;/Template&gt;&lt;Star&gt;0&lt;/Star&gt;&lt;Tag&gt;0&lt;/Tag&gt;&lt;Author&gt;Kraut, Jeffrey A; Madias, Nicolaos E&lt;/Author&gt;&lt;Year&gt;2014&lt;/Year&gt;&lt;Details&gt;&lt;_accessed&gt;66402461&lt;/_accessed&gt;&lt;_accession_num&gt;25494270&lt;/_accession_num&gt;&lt;_collection_scope&gt;SCIE&lt;/_collection_scope&gt;&lt;_created&gt;66402453&lt;/_created&gt;&lt;_date&gt;60454080&lt;/_date&gt;&lt;_date_display&gt;2014 Dec 11&lt;/_date_display&gt;&lt;_db_updated&gt;CrossRef&lt;/_db_updated&gt;&lt;_doi&gt;10.1056/NEJMra1309483&lt;/_doi&gt;&lt;_impact_factor&gt;  96.300&lt;/_impact_factor&gt;&lt;_isbn&gt;0028-4793&lt;/_isbn&gt;&lt;_issue&gt;24&lt;/_issue&gt;&lt;_journal&gt;New England Journal of Medicine&lt;/_journal&gt;&lt;_language&gt;eng&lt;/_language&gt;&lt;_modified&gt;66402461&lt;/_modified&gt;&lt;_number&gt;50&lt;/_number&gt;&lt;_pages&gt;2309-2319&lt;/_pages&gt;&lt;_social_category&gt;医学：内科(1)&lt;/_social_category&gt;&lt;_subject_headings&gt;Acid-Base Equilibrium; *Acidosis, Lactic/diagnosis/etiology/metabolism/therapy; Fluid Therapy; Humans; Hyperlactatemia/metabolism; Lactic Acid/*metabolism; Prognosis; Sodium Bicarbonate/therapeutic use&lt;/_subject_headings&gt;&lt;_tertiary_title&gt;N Engl J Med&lt;/_tertiary_title&gt;&lt;_type_work&gt;Journal Article; Review&lt;/_type_work&gt;&lt;_url&gt;http://www.nejm.org/doi/10.1056/NEJMra1309483_x000d__x000a_http://www.nejm.org/doi/pdf/10.1056/NEJMra1309483&lt;/_url&gt;&lt;_volume&gt;371&lt;/_volume&gt;&lt;/Details&gt;&lt;Extra&gt;&lt;DBUID&gt;{0595FEED-06EC-4465-A92A-123F8040CA41}&lt;/DBUID&gt;&lt;/Extra&gt;&lt;/Item&gt;&lt;/References&gt;&lt;/Group&gt;&lt;/Citation&gt;_x000a_"/>
    <w:docVar w:name="NE.Ref{A18F0133-CBD3-403B-86BE-B02D4463ECC2}" w:val=" ADDIN NE.Ref.{A18F0133-CBD3-403B-86BE-B02D4463ECC2}&lt;Citation&gt;&lt;Group&gt;&lt;References&gt;&lt;Item&gt;&lt;ID&gt;2622&lt;/ID&gt;&lt;UID&gt;{F34E3D9B-4A14-42CD-ABC3-638C85C7625F}&lt;/UID&gt;&lt;Title&gt;2018 ESC/EACTS Guidelines on myocardial revascularization&lt;/Title&gt;&lt;Template&gt;Journal Article&lt;/Template&gt;&lt;Star&gt;0&lt;/Star&gt;&lt;Tag&gt;0&lt;/Tag&gt;&lt;Author&gt;Neumann, Franz-Josef; Sousa-Uva, Miguel; Ahlsson, Anders; Alfonso, Fernando; Banning, Adrian P; Benedetto, Umberto; Byrne, Robert A; Collet, Jean-Philippe; Falk, Volkmar; Head, Stuart J; Jüni, Peter; Kastrati, Adnan; Koller, Akos; Kristensen, Steen D; Niebauer, Josef; Richter, Dimitrios J; Seferović, Petar M; Sibbing, Dirk; Stefanini, Giulio G; Windecker, Stephan; Yadav, Rashmi; Zembala, Michael O; Wijns, William; Glineur, David; Aboyans, Victor; Achenbach, Stephan; Agewall, Stefan; Andreotti, Felicita; Barbato, Emanuele; Baumbach, Andreas; Brophy, James; Bueno, Héctor; Calvert, Patrick A; Capodanno, Davide; Davierwala, Piroze M; Delgado, Victoria; Dudek, Dariusz; Freemantle, Nick; Funck-Brentano, Christian; Gaemperli, Oliver; Gielen, Stephan; Gilard, Martine; Gorenek, Bulent; Haasenritter, Joerg; Haude, Michael; Ibanez, Borja; Iung, Bernard; Jeppsson, Anders; Katritsis, Demosthenes; Knuuti, Juhani; Kolh, Philippe; Leite-Moreira, Adelino; Lund, Lars H; Maisano, Francesco; Mehilli, Julinda; Metzler, Bernhard; Montalescot, Gilles; Pagano, Domenico; Petronio, Anna Sonia; Piepoli, Massimo Francesco; Popescu, Bogdan A; Sádaba, Rafael; Shlyakhto, Evgeny; Silber, Sigmund; Simpson, Iain A; Sparv, David; Tavilla, Giuseppe; Thiele, Holger; Tousek, Petr; Van Belle, Eric; Vranckx, Pascal; Witkowski, Adam; Zamorano, Jose Luis; Roffi, Marco; Windecker, Stephan; Aboyans, Victor; Agewall, Stefan; Barbato, Emanuele; Bueno, Héctor; Coca, Antonio; Collet, Jean-Philippe; Coman, Ioan Mircea; Dean, Veronica; Delgado, Victoria; Fitzsimons, Donna; Gaemperli, Oliver; Hindricks, Gerhard; Iung, Bernard; Jüni, Peter; Katus, Hugo A; Knuuti, Juhani; Lancellotti, Patrizio; Leclercq, Christophe; McDonagh, Theresa A; Piepoli, Massimo Francesco; Ponikowski, Piotr; Richter, Dimitrios J; Roffi, Marco; Shlyakhto, Evgeny; Sousa-Uva, Miguel; Simpson, Iain A; Zamorano, Jose Luis; Pagano, Domenico; Freemantle, Nick; Sousa-Uva, Miguel; Chettibi, Mohamed; Sisakian, Hamayak; Metzler, Bernhard; İbrahimov, Firdovsi; Stelmashok, Valeriy I; Postadzhiyan, Arman; Skoric, Bosko; Eftychiou, Christos; Kala, Petr; Terkelsen, Christian Juhl; Magdy, Ahmed; Eha, Jaan; Niemelä, Matti; Kedev, Sasko; Motreff, Pascal; Aladashvili, Alexander; Mehilli, Julinda; Kanakakis, Ioannis-Georgios; Becker, David; Gudnason, Thorarinn; Peace, Aaron; Romeo, Francesco; Bajraktari, Gani; Kerimkulova, Alina; Rudzītis, Ainārs; Ghazzal, Ziad; Kibarskis, Aleksandras; Pereira, Bruno; Xuereb, Robert G; Hofma, Sjoerd H; Steigen, Terje K; Witkowski, Adam; de Oliveira, Eduardo Infante; Mot, Stefan; Duplyakov, Dmitry; Zavatta, Marco; Beleslin, Branko; Kovar, Frantisek; Bunc, Matjaž; Ojeda, Soledad; Witt, Nils; Jeger, Raban; Addad, Faouzi; Akdemir, Ramazan; Parkhomenko, Alexander; Henderson, Robert&lt;/Author&gt;&lt;Year&gt;2019&lt;/Year&gt;&lt;Details&gt;&lt;_accessed&gt;66401362&lt;/_accessed&gt;&lt;_accession_num&gt;30165437&lt;/_accession_num&gt;&lt;_collection_scope&gt;SCIE&lt;/_collection_scope&gt;&lt;_created&gt;66401352&lt;/_created&gt;&lt;_date&gt;62596800&lt;/_date&gt;&lt;_date_display&gt;2019 Jan 7&lt;/_date_display&gt;&lt;_db_updated&gt;CrossRef&lt;/_db_updated&gt;&lt;_doi&gt;10.1093/eurheartj/ehy394&lt;/_doi&gt;&lt;_impact_factor&gt;  38.100&lt;/_impact_factor&gt;&lt;_isbn&gt;0195-668X&lt;/_isbn&gt;&lt;_issue&gt;2&lt;/_issue&gt;&lt;_journal&gt;European Heart Journal&lt;/_journal&gt;&lt;_language&gt;eng&lt;/_language&gt;&lt;_modified&gt;66401436&lt;/_modified&gt;&lt;_number&gt;45&lt;/_number&gt;&lt;_pages&gt;87-165&lt;/_pages&gt;&lt;_social_category&gt;心脏和心血管系统(1)&lt;/_social_category&gt;&lt;_subject_headings&gt;Cardiology/*organization &amp;amp; administration; Humans; *Myocardial Revascularization; Thoracic Surgery/*organization &amp;amp; administration&lt;/_subject_headings&gt;&lt;_tertiary_title&gt;European heart journal&lt;/_tertiary_title&gt;&lt;_type_work&gt;Guideline; Journal Article&lt;/_type_work&gt;&lt;_url&gt;https://academic.oup.com/eurheartj/article/40/2/87/5079120_x000d__x000a_https://academic.oup.com/eurheartj/article-pdf/40/2/87/66477672/eurheartj_40_2_87.pdf&lt;/_url&gt;&lt;_volume&gt;40&lt;/_volume&gt;&lt;/Details&gt;&lt;Extra&gt;&lt;DBUID&gt;{0595FEED-06EC-4465-A92A-123F8040CA41}&lt;/DBUID&gt;&lt;/Extra&gt;&lt;/Item&gt;&lt;/References&gt;&lt;/Group&gt;&lt;Group&gt;&lt;References&gt;&lt;Item&gt;&lt;ID&gt;2623&lt;/ID&gt;&lt;UID&gt;{23886539-025A-4884-B575-EE99B810262B}&lt;/UID&gt;&lt;Title&gt;2019 ESC Guidelines for the diagnosis and management of chronic coronary syndromes&lt;/Title&gt;&lt;Template&gt;Journal Article&lt;/Template&gt;&lt;Star&gt;0&lt;/Star&gt;&lt;Tag&gt;0&lt;/Tag&gt;&lt;Author&gt;Knuuti, Juhani; Wijns, William; Saraste, Antti; Capodanno, Davide; Barbato, Emanuele; Funck-Brentano, Christian; Prescott, Eva; Storey, Robert F; Deaton, Christi; Cuisset, Thomas; Agewall, Stefan; Dickstein, Kenneth; Edvardsen, Thor; Escaned, Javier; Gersh, Bernard J; Svitil, Pavel; Gilard, Martine; Hasdai, David; Hatala, Robert; Mahfoud, Felix; Masip, Josep; Muneretto, Claudio; Valgimigli, Marco; Achenbach, Stephan; Bax, Jeroen J; Neumann, Franz-Josef; Sechtem, Udo; Banning, Adrian Paul; Bonaros, Nikolaos; Bueno, Héctor; Bugiardini, Raffaele; Chieffo, Alaide; Crea, Filippo; Czerny, Martin; Delgado, Victoria; Dendale, Paul; Flachskampf, Frank Arnold; Gohlke, Helmut; Grove, Erik Lerkevang; James, Stefan; Katritsis, Demosthenes; Landmesser, Ulf; Lettino, Maddalena; Matter, Christian M; Nathoe, Hendrik; Niessner, Alexander; Patrono, Carlo; Petronio, Anna Sonia; Pettersen, Steffen E; Piccolo, Raffaele; Piepoli, Massimo Francesco; Popescu, Bogdan A; Räber, Lorenz; Richter, Dimitrios J; Roffi, Marco; Roithinger, Franz X; Shlyakhto, Evgeny; Sibbing, Dirk; Silber, Sigmund; Simpson, Iain A; Sousa-Uva, Miguel; Vardas, Panos; Witkowski, Adam; Zamorano, Jose Luis; Achenbach, Stephan; Agewall, Stefan; Barbato, Emanuele; Bax, Jeroen J; Capodanno, Davide; Cuisset, Thomas; Deaton, Christi; Dickstein, Kenneth; Edvardsen, Thor; Escaned, Javier; Funck-Brentano, Christian; Gersh, Bernard J; Gilard, Martine; Hasdai, David; Hatala, Robert; Mahfoud, Felix; Masip, Josep; Muneretto, Claudio; Prescott, Eva; Saraste, Antti; Storey, Robert F; Svitil, Pavel; Valgimigli, Marco; Windecker, Stephan; Aboyans, Victor; Baigent, Colin; Collet, Jean-Philippe; Dean, Veronica; Delgado, Victoria; Fitzsimons, Donna; Gale, Christopher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Benkhedda, Salim; Metzler, Bernhard; Sujayeva, Volha; Cosyns, Bernard; Kusljugic, Zumreta; Velchev, Vasil; Panayi, Georgios; Kala, Petr; Haahr-Pedersen, Sune Ammentorp; Kabil, Hamza; Ainla, Tiia; Kaukonen, Tomi; Cayla, Guillaume; Pagava, Zurab; Woehrle, Jochen; Kanakakis, John; Tóth, Kálmán; Gudnason, Thorarinn; Peace, Aaron; Aronson, Doron; Riccio, Carmine; Elezi, Shpend; Mirrakhimov, Erkin; Hansone, Silvija; Sarkis, Antoine; Babarskiene, Ruta; Beissel, Jean; Maempel, Andrew J Cassar; Revenco, Valeriu; de Grooth, G J; Pejkov, Hristo; Juliebø, Vibeke; Lipiec, Piotr; Santos, José; Chioncel, Ovidiu; Duplyakov, Dmitry; Bertelli, Luca; Dikic, Ana Djordjevic; Studenčan, Martin; Bunc, Matjaz; Alfonso, Fernando; Bäck, Magnus; Zellweger, Michael; Addad, Faouzi; Yildirir, Aylin; Sirenko, Yuriy; Clapp, Brian&lt;/Author&gt;&lt;Year&gt;2020&lt;/Year&gt;&lt;Details&gt;&lt;_accessed&gt;66401362&lt;/_accessed&gt;&lt;_accession_num&gt;31504439&lt;/_accession_num&gt;&lt;_collection_scope&gt;SCIE&lt;/_collection_scope&gt;&lt;_created&gt;66401352&lt;/_created&gt;&lt;_date&gt;63132480&lt;/_date&gt;&lt;_date_display&gt;2020 Jan 14&lt;/_date_display&gt;&lt;_db_updated&gt;CrossRef&lt;/_db_updated&gt;&lt;_doi&gt;10.1093/eurheartj/ehz425&lt;/_doi&gt;&lt;_impact_factor&gt;  38.100&lt;/_impact_factor&gt;&lt;_isbn&gt;0195-668X&lt;/_isbn&gt;&lt;_issue&gt;3&lt;/_issue&gt;&lt;_journal&gt;European Heart Journal&lt;/_journal&gt;&lt;_keywords&gt;Guidelines; angina pectoris; anti-ischaemic drugs; antithrombotic therapy; chronic coronary syndromes; coronary artery disease; diagnostic testing; imaging; lifestyle modifications; lipid-lowering drugs; microvascular angina; myocardial ischaemia; myocardial revascularization; risk assessment; screening; vasospastic angina&lt;/_keywords&gt;&lt;_language&gt;eng&lt;/_language&gt;&lt;_modified&gt;66401377&lt;/_modified&gt;&lt;_pages&gt;407-477&lt;/_pages&gt;&lt;_social_category&gt;心脏和心血管系统(1)&lt;/_social_category&gt;&lt;_subject_headings&gt;*Cardiology; Chronic Disease; Coronary Artery Disease/*diagnosis/therapy; *Diagnostic Techniques, Cardiovascular; *Disease Management; Europe; Humans; *Societies, Medical; Syndrome&lt;/_subject_headings&gt;&lt;_tertiary_title&gt;European heart journal&lt;/_tertiary_title&gt;&lt;_type_work&gt;Journal Article; Practice Guideline&lt;/_type_work&gt;&lt;_url&gt;https://academic.oup.com/eurheartj/article/41/3/407/5556137_x000d__x000a_http://academic.oup.com/eurheartj/article-pdf/41/3/407/32651471/ehz425.pdf&lt;/_url&gt;&lt;_volume&gt;41&lt;/_volume&gt;&lt;/Details&gt;&lt;Extra&gt;&lt;DBUID&gt;{0595FEED-06EC-4465-A92A-123F8040CA41}&lt;/DBUID&gt;&lt;/Extra&gt;&lt;/Item&gt;&lt;/References&gt;&lt;/Group&gt;&lt;/Citation&gt;_x000a_"/>
    <w:docVar w:name="NE.Ref{A484CD5B-6A43-4889-B406-B4B692BBF02F}" w:val=" ADDIN NE.Ref.{A484CD5B-6A43-4889-B406-B4B692BBF02F}&lt;Citation&gt;&lt;Group&gt;&lt;References&gt;&lt;Item&gt;&lt;ID&gt;2587&lt;/ID&gt;&lt;UID&gt;{C7CEA6E4-ED1D-4D19-A4DB-32595282ACA8}&lt;/UID&gt;&lt;Title&gt;The stress hyperglycemia ratio, an index of relative hyperglycemia, as a predictor of clinical outcomes after percutaneous coronary intervention&lt;/Title&gt;&lt;Template&gt;Journal Article&lt;/Template&gt;&lt;Star&gt;0&lt;/Star&gt;&lt;Tag&gt;0&lt;/Tag&gt;&lt;Author&gt;Yang, Yeoree; Kim, Tae-Hoon; Yoon, Kun-Ho; Chung, Wook Sung; Ahn, Youngkeun; Jeong, Myung-Ho; Seung, Ki-Bae; Lee, Seung-Hwan; Chang, Kiyuk&lt;/Author&gt;&lt;Year&gt;2017&lt;/Year&gt;&lt;Details&gt;&lt;_accessed&gt;66401360&lt;/_accessed&gt;&lt;_accession_num&gt;28256326&lt;/_accession_num&gt;&lt;_author_adr&gt;Division of Endocrinology and Metabolism, Department of Internal Medicine, Seoul  St. Mary&amp;apos;s Hospital, College of Medicine, The Catholic University of Korea,  Seoul, Republic of Korea.; Division of Cardiology, Department of Internal Medicine, Seoul St. Mary&amp;apos;s  Hospital, College of Medicine, The Catholic University of Korea, Seoul, Republic  of Korea.; Division of Endocrinology and Metabolism, Department of Internal Medicine, Seoul  St. Mary&amp;apos;s Hospital, College of Medicine, The Catholic University of Korea,  Seoul, Republic of Korea.; Division of Cardiology, Department of Internal Medicine, Seoul St. Mary&amp;apos;s  Hospital, College of Medicine, The Catholic University of Korea, Seoul, Republic  of Korea.; Division of Cardiology, Department of Internal Medicine, Chonnam National  University Hospital, Chonnam National University, Gwangju, Republic of Korea.; Division of Cardiology, Department of Internal Medicine, Chonnam National  University Hospital, Chonnam National University, Gwangju, Republic of Korea.; Division of Cardiology, Department of Internal Medicine, Seoul St. Mary&amp;apos;s  Hospital, College of Medicine, The Catholic University of Korea, Seoul, Republic  of Korea.; Division of Endocrinology and Metabolism, Department of Internal Medicine, Seoul  St. Mary&amp;apos;s Hospital, College of Medicine, The Catholic University of Korea,  Seoul, Republic of Korea. Electronic address: hwanx2@catholic.ac.kr.; Division of Cardiology, Department of Internal Medicine, Seoul St. Mary&amp;apos;s  Hospital, College of Medicine, The Catholic University of Korea, Seoul, Republic  of Korea. Electronic address: kiyuk@catholic.ac.kr.&lt;/_author_adr&gt;&lt;_collection_scope&gt;SCIE&lt;/_collection_scope&gt;&lt;_created&gt;66401321&lt;/_created&gt;&lt;_date&gt;2017-08-15&lt;/_date&gt;&lt;_date_display&gt;2017 Aug 15&lt;/_date_display&gt;&lt;_db_updated&gt;CrossRef&lt;/_db_updated&gt;&lt;_doi&gt;10.1016/j.ijcard.2017.02.065&lt;/_doi&gt;&lt;_impact_factor&gt;   3.200&lt;/_impact_factor&gt;&lt;_isbn&gt;01675273&lt;/_isbn&gt;&lt;_journal&gt;International Journal of Cardiology&lt;/_journal&gt;&lt;_keywords&gt;Coronary artery disease; Diabetes; Major adverse cardiovascular and cerebrovascular events; Percutaneous coronary intervention; Stress hyperglycemia ratio&lt;/_keywords&gt;&lt;_language&gt;eng&lt;/_language&gt;&lt;_modified&gt;66401434&lt;/_modified&gt;&lt;_number&gt;16&lt;/_number&gt;&lt;_ori_publication&gt;Copyright © 2017 Elsevier B.V. All rights reserved.&lt;/_ori_publication&gt;&lt;_pages&gt;57-63&lt;/_pages&gt;&lt;_social_category&gt;心脏和心血管系统(3)&lt;/_social_category&gt;&lt;_subject_headings&gt;Aged; Blood Glucose/*metabolism; Coronary Artery Disease/*blood/diagnosis/*surgery; Female; Follow-Up Studies; Humans; Hyperglycemia/*blood/diagnosis/*surgery; Male; Middle Aged; Percutaneous Coronary Intervention/*trends; Predictive Value of Tests; Registries; Retrospective Studies; Treatment Outcome&lt;/_subject_headings&gt;&lt;_tertiary_title&gt;International Journal of Cardiology&lt;/_tertiary_title&gt;&lt;_type_work&gt;Journal Article; Multicenter Study; Observational Study&lt;/_type_work&gt;&lt;_url&gt;https://linkinghub.elsevier.com/retrieve/pii/S0167527317305818_x000d__x000a_https://api.elsevier.com/content/article/PII:S0167527317305818?httpAccept=text/xml&lt;/_url&gt;&lt;_volume&gt;241&lt;/_volume&gt;&lt;/Details&gt;&lt;Extra&gt;&lt;DBUID&gt;{0595FEED-06EC-4465-A92A-123F8040CA41}&lt;/DBUID&gt;&lt;/Extra&gt;&lt;/Item&gt;&lt;/References&gt;&lt;/Group&gt;&lt;Group&gt;&lt;References&gt;&lt;Item&gt;&lt;ID&gt;2588&lt;/ID&gt;&lt;UID&gt;{46632D1E-AA32-4007-BD4A-14AE5ECFF746}&lt;/UID&gt;&lt;Title&gt;Association of stress hyperglycemia ratio and in-hospital mortality in patients with coronary artery disease: insights from a large cohort study&lt;/Title&gt;&lt;Template&gt;Journal Article&lt;/Template&gt;&lt;Star&gt;0&lt;/Star&gt;&lt;Tag&gt;0&lt;/Tag&gt;&lt;Author&gt;Xu, Wei; Song, Qirui; Wang, Xiang; Zhao, Zinan; Meng, Xuyang; Xia, Chenxi; Xie, Yibo; Yang, Chenguang; Guo, Ying; Zhang, Yatong; Wang, Fang&lt;/Author&gt;&lt;Year&gt;2022&lt;/Year&gt;&lt;Details&gt;&lt;_accessed&gt;66401360&lt;/_accessed&gt;&lt;_accession_num&gt;36261839&lt;/_accession_num&gt;&lt;_author_adr&gt;Emergency Center, State Key Laboratory of Cardiovascular Disease of China,  National Center for Cardiovascular Diseases, National Clinical Research Center of  Cardiovascular Diseases, Fuwai Hospital, Chinese Academy of Medical Sciences and  Peking Union Medical College, 100037, Beijing, China.; Hypertension Center, State Key Laboratory of Cardiovascular Disease of China,  National Center for Cardiovascular Diseases of China, Fuwai Hospital, Chinese  Academy of Medical Sciences, Peking Union Medical College, 100037,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Cardiology, Beijing Hospital, National Center of Gerontology,  Institute of Geriatric Medicine, Chinese Academy of Medical Sciences, Beijing,  China.; Department of Information Center,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750826140@qq.com.; Department of Cardiology, Beijing Hospital, National Center of Gerontology,  Institute of Geriatric Medicine, Chinese Academy of Medical Sciences, Beijing,  China. bjh_wangfang@163.com.; Graduate School of Peking Union Medical College, Chinese Academy of Medical  Sciences, Beijing, China. bjh_wangfang@163.com.&lt;/_author_adr&gt;&lt;_collection_scope&gt;SCIE&lt;/_collection_scope&gt;&lt;_created&gt;66401321&lt;/_created&gt;&lt;_date&gt;64585440&lt;/_date&gt;&lt;_date_display&gt;2022 Oct 19&lt;/_date_display&gt;&lt;_db_updated&gt;CrossRef&lt;/_db_updated&gt;&lt;_doi&gt;10.1186/s12933-022-01645-y&lt;/_doi&gt;&lt;_impact_factor&gt;   8.500&lt;/_impact_factor&gt;&lt;_isbn&gt;1475-2840&lt;/_isbn&gt;&lt;_issue&gt;1&lt;/_issue&gt;&lt;_journal&gt;Cardiovascular Diabetology&lt;/_journal&gt;&lt;_keywords&gt;Coronary artery disease; Diabetes; Mortality; Stress hyperglycemia; Stress hyperglycemia ratio&lt;/_keywords&gt;&lt;_language&gt;eng&lt;/_language&gt;&lt;_modified&gt;66401434&lt;/_modified&gt;&lt;_number&gt;17&lt;/_number&gt;&lt;_ori_publication&gt;© 2022. The Author(s).&lt;/_ori_publication&gt;&lt;_pages&gt;217&lt;/_pages&gt;&lt;_social_category&gt;内分泌学与代谢(1) &amp;amp; 心脏和心血管系统(2)&lt;/_social_category&gt;&lt;_subject_headings&gt;Humans; Blood Glucose; Glycated Hemoglobin/analysis; *Coronary Artery Disease; Hospital Mortality; Cohort Studies; *Hyperglycemia; *Diabetes Mellitus; *Acute Coronary Syndrome&lt;/_subject_headings&gt;&lt;_tertiary_title&gt;Cardiovasc Diabetol&lt;/_tertiary_title&gt;&lt;_type_work&gt;Journal Article; Research Support, Non-U.S. Gov&amp;apos;t&lt;/_type_work&gt;&lt;_url&gt;https://cardiab.biomedcentral.com/articles/10.1186/s12933-022-01645-y_x000d__x000a_https://link.springer.com/content/pdf/10.1186/s12933-022-01645-y.pdf&lt;/_url&gt;&lt;_volume&gt;21&lt;/_volume&gt;&lt;/Details&gt;&lt;Extra&gt;&lt;DBUID&gt;{0595FEED-06EC-4465-A92A-123F8040CA41}&lt;/DBUID&gt;&lt;/Extra&gt;&lt;/Item&gt;&lt;/References&gt;&lt;/Group&gt;&lt;/Citation&gt;_x000a_"/>
    <w:docVar w:name="NE.Ref{A492F111-BFF3-4B9A-A0E4-D95E937F833C}" w:val=" ADDIN NE.Ref.{A492F111-BFF3-4B9A-A0E4-D95E937F833C}&lt;Citation&gt;&lt;Group&gt;&lt;References&gt;&lt;Item&gt;&lt;ID&gt;2695&lt;/ID&gt;&lt;UID&gt;{023CAAF1-6C08-46DC-8C19-33A574E9D500}&lt;/UID&gt;&lt;Title&gt;Stress hyperglycaemia&lt;/Title&gt;&lt;Template&gt;Journal Article&lt;/Template&gt;&lt;Star&gt;1&lt;/Star&gt;&lt;Tag&gt;0&lt;/Tag&gt;&lt;Author&gt;Dungan, Kathleen M; Braithwaite, Susan S; Preiser, Jean-Charles&lt;/Author&gt;&lt;Year&gt;2009&lt;/Year&gt;&lt;Details&gt;&lt;_accessed&gt;66402458&lt;/_accessed&gt;&lt;_accession_num&gt;19465235&lt;/_accession_num&gt;&lt;_author_adr&gt;The Ohio State University, Columbus, OH 43210-1296, USA.  kathleen.dungan@osumc.edu&lt;/_author_adr&gt;&lt;_collection_scope&gt;SCIE&lt;/_collection_scope&gt;&lt;_created&gt;66401452&lt;/_created&gt;&lt;_date&gt;2009-05-23&lt;/_date&gt;&lt;_date_display&gt;2009 May 23&lt;/_date_display&gt;&lt;_db_updated&gt;CrossRef&lt;/_db_updated&gt;&lt;_doi&gt;10.1016/S0140-6736(09)60553-5&lt;/_doi&gt;&lt;_impact_factor&gt;  98.400&lt;/_impact_factor&gt;&lt;_isbn&gt;01406736&lt;/_isbn&gt;&lt;_issue&gt;9677&lt;/_issue&gt;&lt;_journal&gt;The Lancet&lt;/_journal&gt;&lt;_language&gt;eng&lt;/_language&gt;&lt;_modified&gt;66402638&lt;/_modified&gt;&lt;_number&gt;7&lt;/_number&gt;&lt;_pages&gt;1798-1807&lt;/_pages&gt;&lt;_social_category&gt;医学：内科(1)&lt;/_social_category&gt;&lt;_subject_headings&gt;Acute Disease; Blood Glucose/metabolism; Cardiovascular Diseases/complications; *Critical Illness; Early Diagnosis; Glucose Tolerance Test; Humans; *Hyperglycemia/diagnosis/epidemiology/etiology/prevention &amp;amp; control; Monitoring, Physiologic; Prediabetic State/complications; Prevalence; Research Design; Risk Factors; Risk Reduction Behavior; Severity of Illness Index; *Stress, Physiological/physiology; Stroke/complications; Surgical Procedures, Operative/adverse effects; Treatment Outcome&lt;/_subject_headings&gt;&lt;_tertiary_title&gt;The Lancet&lt;/_tertiary_title&gt;&lt;_type_work&gt;Journal Article; Review&lt;/_type_work&gt;&lt;_url&gt;https://linkinghub.elsevier.com/retrieve/pii/S0140673609605535_x000d__x000a_https://api.elsevier.com/content/article/PII:S0140673609605535?httpAccept=text/xml&lt;/_url&gt;&lt;_volume&gt;373&lt;/_volume&gt;&lt;/Details&gt;&lt;Extra&gt;&lt;DBUID&gt;{0595FEED-06EC-4465-A92A-123F8040CA41}&lt;/DBUID&gt;&lt;/Extra&gt;&lt;/Item&gt;&lt;/References&gt;&lt;/Group&gt;&lt;Group&gt;&lt;References&gt;&lt;Item&gt;&lt;ID&gt;2705&lt;/ID&gt;&lt;UID&gt;{FAC6AB9F-CDB0-4751-92E4-B2ED6A2DFAA5}&lt;/UID&gt;&lt;Title&gt;Relative Hyperglycemia, a Marker of Critical Illness: Introducing the Stress Hyperglycemia Ratio&lt;/Title&gt;&lt;Template&gt;Journal Article&lt;/Template&gt;&lt;Star&gt;0&lt;/Star&gt;&lt;Tag&gt;0&lt;/Tag&gt;&lt;Author&gt;Roberts, Gregory W; Quinn, Stephen J; Valentine, Nyoli; Alhawassi, Tariq; O&amp;apos;Dea, Hazel; Stranks, Stephen N; Burt, Morton G; Doogue, Matthew P&lt;/Author&gt;&lt;Year&gt;2015&lt;/Year&gt;&lt;Details&gt;&lt;_accessed&gt;66402458&lt;/_accessed&gt;&lt;_accession_num&gt;26485219&lt;/_accession_num&gt;&lt;_author_adr&gt;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lt;/_author_adr&gt;&lt;_collection_scope&gt;SCIE&lt;/_collection_scope&gt;&lt;_created&gt;66401455&lt;/_created&gt;&lt;_date&gt;60965280&lt;/_date&gt;&lt;_date_display&gt;2015 Dec&lt;/_date_display&gt;&lt;_db_updated&gt;CrossRef&lt;/_db_updated&gt;&lt;_doi&gt;10.1210/jc.2015-2660&lt;/_doi&gt;&lt;_impact_factor&gt;   5.000&lt;/_impact_factor&gt;&lt;_isbn&gt;0021-972X&lt;/_isbn&gt;&lt;_issue&gt;12&lt;/_issue&gt;&lt;_journal&gt;The Journal of Clinical Endocrinology &amp;amp; Metabolism&lt;/_journal&gt;&lt;_language&gt;eng&lt;/_language&gt;&lt;_modified&gt;66402458&lt;/_modified&gt;&lt;_number&gt;14&lt;/_number&gt;&lt;_pages&gt;4490-4497&lt;/_pages&gt;&lt;_social_category&gt;内分泌学与代谢(2)&lt;/_social_category&gt;&lt;_subject_headings&gt;Adult; Australia/epidemiology; Biomarkers/*blood; Blood Glucose/metabolism; Cohort Studies; Critical Care; Critical Illness/*mortality; Female; Glycated Hemoglobin/analysis; Hospital Mortality; Hospitalization; Humans; Hyperglycemia/*blood; Male; Middle Aged; *Stress, Physiological&lt;/_subject_headings&gt;&lt;_tertiary_title&gt;The Journal of clinical endocrinology and metabolism&lt;/_tertiary_title&gt;&lt;_type_work&gt;Journal Article; Observational Study; Research Support, Non-U.S. Gov&amp;apos;t&lt;/_type_work&gt;&lt;_url&gt;https://academic.oup.com/jcem/article/100/12/4490/2536331_x000d__x000a_http://academic.oup.com/jcem/article-pdf/100/12/4490/10421980/jcem4490.pdf&lt;/_url&gt;&lt;_volume&gt;100&lt;/_volume&gt;&lt;/Details&gt;&lt;Extra&gt;&lt;DBUID&gt;{0595FEED-06EC-4465-A92A-123F8040CA41}&lt;/DBUID&gt;&lt;/Extra&gt;&lt;/Item&gt;&lt;/References&gt;&lt;/Group&gt;&lt;/Citation&gt;_x000a_"/>
    <w:docVar w:name="NE.Ref{A7ED8A9D-9CE0-4F3D-ABC6-E6D8F52E2862}" w:val=" ADDIN NE.Ref.{A7ED8A9D-9CE0-4F3D-ABC6-E6D8F52E2862}&lt;Citation&gt;&lt;Group&gt;&lt;References&gt;&lt;Item&gt;&lt;ID&gt;2693&lt;/ID&gt;&lt;UID&gt;{B19EC09A-3616-4252-A7F7-FAFE5D6B4115}&lt;/UID&gt;&lt;Title&gt;2012 ACCF/AHA/ACP/AATS/PCNA/SCAI/STS Guideline for the Diagnosis and Management of Patients With Stable Ischemic Heart Disease&lt;/Title&gt;&lt;Template&gt;Journal Article&lt;/Template&gt;&lt;Star&gt;0&lt;/Star&gt;&lt;Tag&gt;0&lt;/Tag&gt;&lt;Author&gt;Fihn, Stephan D; Gardin, Julius M; Abrams, Jonathan; Berra, Kathleen; Blankenship, James C; Dallas, Apostolos P; Douglas, Pamela S; Foody, JoAnne M; Gerber, Thomas C; Hinderliter, Alan L; King, Spencer B; Kligfield, Paul D; Krumholz, Harlan M; Kwong, Raymond Y K; Lim, Michael J; Linderbaum, Jane A; Mack, Michael J; Munger, Mark A; Prager, Richard L; Sabik, Joseph F; Shaw, Leslee J; Sikkema, Joanna D; Smith, Craig R; Smith, Sidney C; Spertus, John A; Williams, Sankey V&lt;/Author&gt;&lt;Year&gt;2012&lt;/Year&gt;&lt;Details&gt;&lt;_accessed&gt;66402457&lt;/_accessed&gt;&lt;_accession_num&gt;23166211&lt;/_accession_num&gt;&lt;_collection_scope&gt;SCIE&lt;/_collection_scope&gt;&lt;_created&gt;66401449&lt;/_created&gt;&lt;_date&gt;59412960&lt;/_date&gt;&lt;_date_display&gt;2012 Dec 18&lt;/_date_display&gt;&lt;_db_updated&gt;CrossRef&lt;/_db_updated&gt;&lt;_doi&gt;10.1161/CIR.0b013e318277d6a0&lt;/_doi&gt;&lt;_impact_factor&gt;  35.600&lt;/_impact_factor&gt;&lt;_isbn&gt;0009-7322&lt;/_isbn&gt;&lt;_issue&gt;25&lt;/_issue&gt;&lt;_journal&gt;Circulation&lt;/_journal&gt;&lt;_language&gt;eng&lt;/_language&gt;&lt;_modified&gt;66402457&lt;/_modified&gt;&lt;_number&gt;5&lt;/_number&gt;&lt;_pages&gt;e354-471&lt;/_pages&gt;&lt;_social_category&gt;心脏和心血管系统(1) &amp;amp; 外周血管病(1)&lt;/_social_category&gt;&lt;_subject_headings&gt;Coronary Angiography; Coronary Artery Bypass; Echocardiography; Exercise Test; Humans; Myocardial Ischemia/*diagnosis/*therapy; Myocardial Revascularization; Patient Education as Topic; Risk Assessment&lt;/_subject_headings&gt;&lt;_tertiary_title&gt;Circulation&lt;/_tertiary_title&gt;&lt;_type_work&gt;Journal Article; Practice Guideline&lt;/_type_work&gt;&lt;_url&gt;https://www.ahajournals.org/doi/10.1161/CIR.0b013e318277d6a0_x000d__x000a_https://www.ahajournals.org/doi/full/10.1161/CIR.0b013e318277d6a0&lt;/_url&gt;&lt;_volume&gt;126&lt;/_volume&gt;&lt;/Details&gt;&lt;Extra&gt;&lt;DBUID&gt;{0595FEED-06EC-4465-A92A-123F8040CA41}&lt;/DBUID&gt;&lt;/Extra&gt;&lt;/Item&gt;&lt;/References&gt;&lt;/Group&gt;&lt;Group&gt;&lt;References&gt;&lt;Item&gt;&lt;ID&gt;2694&lt;/ID&gt;&lt;UID&gt;{9CE38E78-A451-4EB4-9B8D-62C65C646A98}&lt;/UID&gt;&lt;Title&gt;Epidemiology of Shock in Contemporary Cardiac Intensive Care Units&lt;/Title&gt;&lt;Template&gt;Journal Article&lt;/Template&gt;&lt;Star&gt;0&lt;/Star&gt;&lt;Tag&gt;0&lt;/Tag&gt;&lt;Author&gt;Berg, David D; Bohula, Erin A; van Diepen, Sean; Katz, Jason N; Alviar, Carlos L; Baird-Zars, Vivian M; Barnett, Christopher F; Barsness, Gregory W; Burke, James A; Cremer, Paul C; Cruz, Jennifer; Daniels, Lori B; DeFilippis, Andrew P; Haleem, Affan; Hollenberg, Steven M; Horowitz, James M; Keller, Norma; Kontos, Michael C; Lawler, Patrick R; Menon, Venu; Metkus, Thomas S; Ng, Jason; Orgel, Ryan; Overgaard, Christopher B; Park, Jeong-Gun; Phreaner, Nicholas; Roswell, Robert O; Schulman, Steven P; Jeffrey Snell, R; Solomon, Michael A; Ternus, Bradley; Tymchak, Wayne; Vikram, Fnu; Morrow, David A&lt;/Author&gt;&lt;Year&gt;2019&lt;/Year&gt;&lt;Details&gt;&lt;_accessed&gt;66402457&lt;/_accessed&gt;&lt;_accession_num&gt;30879324&lt;/_accession_num&gt;&lt;_author_adr&gt;Levine Cardiac Intensive Care Unit, TIMI Study Group, Cardiovascular Division,  Department of Medicine, Brigham and Women&amp;apos;s Hospital and Harvard Medical School,  Boston, MA (D.D.B, E.A.B., V.M.B.-Z., J.-G.P., D.A.M.).; Levine Cardiac Intensive Care Unit, TIMI Study Group, Cardiovascular Division,  Department of Medicine, Brigham and Women&amp;apos;s Hospital and Harvard Medical School,  Boston, MA (D.D.B, E.A.B., V.M.B.-Z., J.-G.P., D.A.M.).; Department of Critical Care and Division of Cardiology, Department of Medicine,  University of Alberta, Edmonton, AB, Canada (S.v.D., W.T.).; Divisions of Cardiology and Pulmonary and Critical Care Medicine, University of  North Carolina, Center for Heart and Vascular Care Chapel Hill (J.N.K., R.O.).; University of Florida, Gainesville (C.L.A.).; Levine Cardiac Intensive Care Unit, TIMI Study Group, Cardiovascular Division,  Department of Medicine, Brigham and Women&amp;apos;s Hospital and Harvard Medical School,  Boston, MA (D.D.B, E.A.B., V.M.B.-Z., J.-G.P., D.A.M.).; Department of Cardiology, MedStar Washington Hospital Center, DC (C.F.B.).; Department of Cardiovascular Medicine, Mayo Clinic, Rochester, MN (G.W.B., B.T.).; Lehigh Valley Health Network, Allentown, PA (J.A.B., A.H., F.V.).; Department of Cardiovascular Medicine, Cleveland Clinic Foundation, OH (P.C.C.,  V.M.).; Section of Cardiology, Cooper University Hospital, Camden, NJ (J.C., S.H.).; Sulpizio Cardiovascular Center, University of California San Diego, La Jolla  (L.B.D., N.P.).; Division of Cardiovascular Medicine, Department of Medicine, University of  Louisville, KY (A.D.).; Lehigh Valley Health Network, Allentown, PA (J.A.B., A.H., F.V.).; Section of Cardiology, Cooper University Hospital, Camden, NJ (J.C., S.H.).; New York University Langone Health (J.M.H., N.K., J.N., R.O.R.).; New York University Langone Health (J.M.H., N.K., J.N., R.O.R.).; Virginia Commonwealth University, Richmond (M.C.K.).; Peter Munk Cardiac Centre, Toronto General Hospital, University of Toronto, ON,  Canada (P.R.L., C.B.O.).; Department of Cardiovascular Medicine, Cleveland Clinic Foundation, OH (P.C.C.,  V.M.).; Division of Cardiology, Department of Medicine, Johns Hopkins University School  of Medicine, Baltimore, MD (T.S.M., S.P.S.).; New York University Langone Health (J.M.H., N.K., J.N., R.O.R.).; Divisions of Cardiology and Pulmonary and Critical Care Medicine, University of  North Carolina, Center for Heart and Vascular Care Chapel Hill (J.N.K., R.O.).; Peter Munk Cardiac Centre, Toronto General Hospital, University of Toronto, ON,  Canada (P.R.L., C.B.O.).; Levine Cardiac Intensive Care Unit, TIMI Study Group, Cardiovascular Division,  Department of Medicine, Brigham and Women&amp;apos;s Hospital and Harvard Medical School,  Boston, MA (D.D.B, E.A.B., V.M.B.-Z., J.-G.P., D.A.M.).; Sulpizio Cardiovascular Center, University of California San Diego, La Jolla  (L.B.D., N.P.).; New York University Langone Health (J.M.H., N.K., J.N., R.O.R.).; Division of Cardiology, Department of Medicine, Johns Hopkins University School  of Medicine, Baltimore, MD (T.S.M., S.P.S.).; Rush University Medical Center, Chicago, IL (R.J.S.).; Critical Care Medicine Department, National Institutes of Health Clinical Center  and Cardiovascular Branch, National Heart, Lung, and Blood Institute, of the  National Institutes of Health, Bethesda, MD (M.A.S.).; Department of Cardiovascular Medicine, Mayo Clinic, Rochester, MN (G.W.B., B.T.).; Department of Critical Care and Division of Cardiology, Department of Medicine,  University of Alberta, Edmonton, AB, Canada (S.v.D., W.T.).; Lehigh Valley Health Network, Allentown, PA (J.A.B., A.H., F.V.).; Levine Cardiac Intensive Care Unit, TIMI Study Group, Cardiovascular Division,  Department of Medicine, Brigham and Women&amp;apos;s Hospital and Harvard Medical School,  Boston, MA (D.D.B, E.A.B., V.M.B.-Z., J.-G.P., D.A.M.).&lt;/_author_adr&gt;&lt;_created&gt;66401452&lt;/_created&gt;&lt;_date&gt;2019-03-01&lt;/_date&gt;&lt;_date_display&gt;2019 Mar&lt;/_date_display&gt;&lt;_db_updated&gt;CrossRef&lt;/_db_updated&gt;&lt;_doi&gt;10.1161/CIRCOUTCOMES.119.005618&lt;/_doi&gt;&lt;_impact_factor&gt;   6.200&lt;/_impact_factor&gt;&lt;_isbn&gt;1941-7713&lt;/_isbn&gt;&lt;_issue&gt;3&lt;/_issue&gt;&lt;_journal&gt;Circulation: Cardiovascular Quality and Outcomes&lt;/_journal&gt;&lt;_keywords&gt;North America; cardiogenic shock; epidemiology; hypotension; intensive care units&lt;/_keywords&gt;&lt;_language&gt;eng&lt;/_language&gt;&lt;_modified&gt;66402457&lt;/_modified&gt;&lt;_number&gt;6&lt;/_number&gt;&lt;_pages&gt;e005618&lt;/_pages&gt;&lt;_subject_headings&gt;Aged; *Coronary Care Units; Female; Hospital Mortality; Humans; Male; Middle Aged; Myocardial Infarction/diagnosis/*epidemiology/mortality/therapy; North America/epidemiology; Organ Dysfunction Scores; Prognosis; Registries; Risk Assessment; Risk Factors; Shock, Cardiogenic/diagnosis/*epidemiology/mortality/therapy; Time Factors&lt;/_subject_headings&gt;&lt;_tertiary_title&gt;Circ: Cardiovascular Quality and Outcomes&lt;/_tertiary_title&gt;&lt;_type_work&gt;Journal Article; Multicenter Study; Research Support, N.I.H., Extramural; Research Support, N.I.H., Intramural&lt;/_type_work&gt;&lt;_url&gt;https://www.ahajournals.org/doi/10.1161/CIRCOUTCOMES.119.005618_x000d__x000a_https://www.ahajournals.org/doi/full/10.1161/CIRCOUTCOMES.119.005618&lt;/_url&gt;&lt;_volume&gt;12&lt;/_volume&gt;&lt;/Details&gt;&lt;Extra&gt;&lt;DBUID&gt;{0595FEED-06EC-4465-A92A-123F8040CA41}&lt;/DBUID&gt;&lt;/Extra&gt;&lt;/Item&gt;&lt;/References&gt;&lt;/Group&gt;&lt;/Citation&gt;_x000a_"/>
    <w:docVar w:name="NE.Ref{AA3752D4-4241-4B7C-817B-F0D17B811C4E}" w:val=" ADDIN NE.Ref.{AA3752D4-4241-4B7C-817B-F0D17B811C4E}&lt;Citation&gt;&lt;Group&gt;&lt;References&gt;&lt;Item&gt;&lt;ID&gt;2726&lt;/ID&gt;&lt;UID&gt;{D3CD03FE-2081-4F5D-BD87-BD6839646F8B}&lt;/UID&gt;&lt;Title&gt;Stress hyperglycemia ratio predicts outcome in stroke patients without diabetes and builds a nomogram: a multi-center retrospective cohort study in a Chinese population&lt;/Title&gt;&lt;Template&gt;Journal Article&lt;/Template&gt;&lt;Star&gt;0&lt;/Star&gt;&lt;Tag&gt;0&lt;/Tag&gt;&lt;Author&gt;Yao, Manjuan; Hu, Shiyu; Li, Shaoling; Liao, Yuqi; Ren, Lijie&lt;/Author&gt;&lt;Year&gt;2026&lt;/Year&gt;&lt;Details&gt;&lt;_accessed&gt;66402459&lt;/_accessed&gt;&lt;_accession_num&gt;41540480&lt;/_accession_num&gt;&lt;_author_adr&gt;Department of Neurology, Shenzhen University First Affiliated Hospital, Shenzhen  Second People&amp;apos;s Hospital, No. 3002 Sungang West Road, Shenzhen, 518035, China.; Shenzhen University School of Medicine, Shenzhen, China.; Department of Neurology, Shenzhen University First Affiliated Hospital, Shenzhen  Second People&amp;apos;s Hospital, No. 3002 Sungang West Road, Shenzhen, 518035, China.; Department of Neurology, Shenzhen University First Affiliated Hospital, Shenzhen  Second People&amp;apos;s Hospital, No. 3002 Sungang West Road, Shenzhen, 518035, China.; Shenzhen University School of Medicine, Shenzhen, China.; Department of Neurology, Shenzhen University First Affiliated Hospital, Shenzhen  Second People&amp;apos;s Hospital, No. 3002 Sungang West Road, Shenzhen, 518035, China.; Shenzhen University School of Medicine, Shenzhen, China.; Department of Neurology, Shenzhen University First Affiliated Hospital, Shenzhen  Second People&amp;apos;s Hospital, No. 3002 Sungang West Road, Shenzhen, 518035, China.  13631605966@126.com.; Quality Control Center for Nervous System Diseases of Shenzhen, Shenzhen, China.  13631605966@126.com.&lt;/_author_adr&gt;&lt;_collection_scope&gt;SCIE&lt;/_collection_scope&gt;&lt;_created&gt;66401474&lt;/_created&gt;&lt;_date&gt;66290400&lt;/_date&gt;&lt;_date_display&gt;2026 Jan 15&lt;/_date_display&gt;&lt;_db_updated&gt;CrossRef&lt;/_db_updated&gt;&lt;_doi&gt;10.1186/s40001-025-03811-w&lt;/_doi&gt;&lt;_impact_factor&gt;   2.800&lt;/_impact_factor&gt;&lt;_isbn&gt;2047-783X&lt;/_isbn&gt;&lt;_issue&gt;1&lt;/_issue&gt;&lt;_journal&gt;European Journal of Medical Research&lt;/_journal&gt;&lt;_keywords&gt;Acute ischemic stroke; Nomogram; Non-diabetic; Prognosis; Stress hyperglycemia ratio&lt;/_keywords&gt;&lt;_language&gt;eng&lt;/_language&gt;&lt;_modified&gt;66402459&lt;/_modified&gt;&lt;_number&gt;32&lt;/_number&gt;&lt;_ori_publication&gt;© 2026. The Author(s).&lt;/_ori_publication&gt;&lt;_pages&gt;272&lt;/_pages&gt;&lt;_social_category&gt;医学：研究与实验(4)&lt;/_social_category&gt;&lt;_subject_headings&gt;Humans; *Nomograms; Male; Female; *Hyperglycemia/blood/epidemiology/complications; Retrospective Studies; Middle Aged; Aged; Prognosis; Blood Glucose/analysis; China/epidemiology; Glycated Hemoglobin/analysis; *Stroke/blood; Diabetes Mellitus/blood; East Asian People&lt;/_subject_headings&gt;&lt;_tertiary_title&gt;Eur J Med Res&lt;/_tertiary_title&gt;&lt;_type_work&gt;Journal Article; Multicenter Study&lt;/_type_work&gt;&lt;_url&gt;https://link.springer.com/10.1186/s40001-025-03811-w_x000d__x000a_https://link.springer.com/content/pdf/10.1186/s40001-025-03811-w.pdf&lt;/_url&gt;&lt;_volume&gt;31&lt;/_volume&gt;&lt;/Details&gt;&lt;Extra&gt;&lt;DBUID&gt;{0595FEED-06EC-4465-A92A-123F8040CA41}&lt;/DBUID&gt;&lt;/Extra&gt;&lt;/Item&gt;&lt;/References&gt;&lt;/Group&gt;&lt;/Citation&gt;_x000a_"/>
    <w:docVar w:name="NE.Ref{AAE00573-8EBA-4285-A8D7-328353383BA3}" w:val=" ADDIN NE.Ref.{AAE00573-8EBA-4285-A8D7-328353383BA3}&lt;Citation&gt;&lt;Group&gt;&lt;References&gt;&lt;Item&gt;&lt;ID&gt;2742&lt;/ID&gt;&lt;UID&gt;{1D320216-9D20-4A69-8AF5-9890EFF5198A}&lt;/UID&gt;&lt;Title&gt;Intensive versus Conventional Glucose Control in Critically Ill Patients&lt;/Title&gt;&lt;Template&gt;Journal Article&lt;/Template&gt;&lt;Star&gt;0&lt;/Star&gt;&lt;Tag&gt;0&lt;/Tag&gt;&lt;Author&gt;Finfer, Simon; Chittock, Dean R; Su, Steve Yu-Shuo; Blair, Deborah; Foster, Denise; Dhingra, Vinay; Bellomo, Rinaldo; Cook, Deborah; Dodek, Peter; Henderson, William R; Hébert, Paul C; Heritier, Stephane; Heyland, Daren K; McArthur, Colin; McDonald, Ellen; Mitchell, Imogen; Myburgh, John A; Norton, Robyn; Potter, Julie; Robinson, Bruce G; Ronco, Juan J&lt;/Author&gt;&lt;Year&gt;2009&lt;/Year&gt;&lt;Details&gt;&lt;_accessed&gt;66402460&lt;/_accessed&gt;&lt;_accession_num&gt;19318384&lt;/_accession_num&gt;&lt;_collection_scope&gt;SCIE&lt;/_collection_scope&gt;&lt;_created&gt;66402445&lt;/_created&gt;&lt;_date&gt;57450240&lt;/_date&gt;&lt;_date_display&gt;2009 Mar 26&lt;/_date_display&gt;&lt;_db_updated&gt;CrossRef&lt;/_db_updated&gt;&lt;_doi&gt;10.1056/NEJMoa0810625&lt;/_doi&gt;&lt;_impact_factor&gt;  96.300&lt;/_impact_factor&gt;&lt;_isbn&gt;0028-4793&lt;/_isbn&gt;&lt;_issue&gt;13&lt;/_issue&gt;&lt;_journal&gt;New England Journal of Medicine&lt;/_journal&gt;&lt;_language&gt;eng&lt;/_language&gt;&lt;_modified&gt;66402460&lt;/_modified&gt;&lt;_number&gt;47&lt;/_number&gt;&lt;_ori_publication&gt;2009 Massachusetts Medical Society&lt;/_ori_publication&gt;&lt;_pages&gt;1283-1297&lt;/_pages&gt;&lt;_social_category&gt;医学：内科(1)&lt;/_social_category&gt;&lt;_subject_headings&gt;Adrenal Cortex Hormones/therapeutic use; *Blood Glucose/analysis; Critical Care/*methods; Critical Illness/mortality/*therapy; Female; Humans; Hyperglycemia/*drug therapy; Hypoglycemia/chemically induced; Hypoglycemic Agents/adverse effects/*therapeutic use; Insulin/adverse effects/*therapeutic use; Intensive Care Units; Kaplan-Meier Estimate; Length of Stay; Male; Middle Aged&lt;/_subject_headings&gt;&lt;_tertiary_title&gt;N Engl J Med&lt;/_tertiary_title&gt;&lt;_type_work&gt;Comparative Study; Journal Article; Randomized Controlled Trial; Research Support, Non-U.S. Gov&amp;apos;t&lt;/_type_work&gt;&lt;_url&gt;http://www.nejm.org/doi/abs/10.1056/NEJMoa0810625_x000d__x000a_http://www.nejm.org/doi/pdf/10.1056/NEJMoa0810625&lt;/_url&gt;&lt;_volume&gt;360&lt;/_volume&gt;&lt;/Details&gt;&lt;Extra&gt;&lt;DBUID&gt;{0595FEED-06EC-4465-A92A-123F8040CA41}&lt;/DBUID&gt;&lt;/Extra&gt;&lt;/Item&gt;&lt;/References&gt;&lt;/Group&gt;&lt;/Citation&gt;_x000a_"/>
    <w:docVar w:name="NE.Ref{AC1D5471-6DAF-4F85-8580-7D19CC6F54C5}" w:val=" ADDIN NE.Ref.{AC1D5471-6DAF-4F85-8580-7D19CC6F54C5}&lt;Citation&gt;&lt;Group&gt;&lt;References&gt;&lt;Item&gt;&lt;ID&gt;2607&lt;/ID&gt;&lt;UID&gt;{3E6AD143-5EA0-40E8-9AE7-0F750351FBA9}&lt;/UID&gt;&lt;Title&gt;Stress hyperglycemia ratio linked to all-cause mortality in critically ill patients with ischemic heart disease&lt;/Title&gt;&lt;Template&gt;Journal Article&lt;/Template&gt;&lt;Star&gt;0&lt;/Star&gt;&lt;Tag&gt;0&lt;/Tag&gt;&lt;Author&gt;Liu, Tao; Wang, Lili; Zhang, Hao; Dai, Qiming&lt;/Author&gt;&lt;Year&gt;2025&lt;/Year&gt;&lt;Details&gt;&lt;_accessed&gt;66401361&lt;/_accessed&gt;&lt;_accession_num&gt;40389863&lt;/_accession_num&gt;&lt;_author_adr&gt;Department of Cardiology, Zhongda Hospital, School of Medicine, Southeast  University, Nanjing, China.; Department of Cardiology, The Second Affiliated Hospital of Xuzhou Medical  University, Xuzhou, China.; Department of Cardiology, Zhongda Hospital, School of Medicine, Southeast  University, Nanjing, China.; Department of Cardiology, Zhongda Hospital, School of Medicine, Southeast  University, Nanjing, China. 1174893841@qq.com.&lt;/_author_adr&gt;&lt;_collection_scope&gt;SCIE&lt;/_collection_scope&gt;&lt;_created&gt;66401337&lt;/_created&gt;&lt;_date&gt;65943360&lt;/_date&gt;&lt;_date_display&gt;2025 May 19&lt;/_date_display&gt;&lt;_db_updated&gt;CrossRef&lt;/_db_updated&gt;&lt;_doi&gt;10.1186/s12872-025-04831-4&lt;/_doi&gt;&lt;_impact_factor&gt;   2.000&lt;/_impact_factor&gt;&lt;_isbn&gt;1471-2261&lt;/_isbn&gt;&lt;_issue&gt;1&lt;/_issue&gt;&lt;_journal&gt;BMC Cardiovascular Disorders&lt;/_journal&gt;&lt;_keywords&gt;Ischemic heart disease; MIMIC-III database; Mortality; Stress hyperglycemia ratio&lt;/_keywords&gt;&lt;_language&gt;eng&lt;/_language&gt;&lt;_modified&gt;66401436&lt;/_modified&gt;&lt;_number&gt;32&lt;/_number&gt;&lt;_ori_publication&gt;© 2025. The Author(s).&lt;/_ori_publication&gt;&lt;_pages&gt;374&lt;/_pages&gt;&lt;_social_category&gt;心脏和心血管系统(4)&lt;/_social_category&gt;&lt;_subject_headings&gt;Humans; Male; Retrospective Studies; *Hyperglycemia/mortality/blood/diagnosis; Female; Hospital Mortality; Aged; Middle Aged; Critical Illness; *Blood Glucose/metabolism; *Myocardial Ischemia/mortality/diagnosis/blood/therapy; Risk Factors; Time Factors; Biomarkers/blood; Risk Assessment; Prognosis; Databases, Factual; *Stress, Physiological; Intensive Care Units; Cause of Death; Predictive Value of Tests&lt;/_subject_headings&gt;&lt;_tertiary_title&gt;BMC Cardiovasc Disord&lt;/_tertiary_title&gt;&lt;_type_work&gt;Journal Article&lt;/_type_work&gt;&lt;_url&gt;https://bmccardiovascdisord.biomedcentral.com/articles/10.1186/s12872-025-04831-4_x000d__x000a_https://link.springer.com/content/pdf/10.1186/s12872-025-04831-4.pdf&lt;/_url&gt;&lt;_volume&gt;25&lt;/_volume&gt;&lt;/Details&gt;&lt;Extra&gt;&lt;DBUID&gt;{0595FEED-06EC-4465-A92A-123F8040CA41}&lt;/DBUID&gt;&lt;/Extra&gt;&lt;/Item&gt;&lt;/References&gt;&lt;/Group&gt;&lt;/Citation&gt;_x000a_"/>
    <w:docVar w:name="NE.Ref{AE4344AF-382C-40BF-B7C5-2AFF85A4FC67}" w:val=" ADDIN NE.Ref.{AE4344AF-382C-40BF-B7C5-2AFF85A4FC67}&lt;Citation&gt;&lt;Group&gt;&lt;References&gt;&lt;Item&gt;&lt;ID&gt;2610&lt;/ID&gt;&lt;UID&gt;{27277F62-3A12-4723-9E1C-C3C6511E332C}&lt;/UID&gt;&lt;Title&gt;Oxidative Stress and Diabetic Complications&lt;/Title&gt;&lt;Template&gt;Journal Article&lt;/Template&gt;&lt;Star&gt;0&lt;/Star&gt;&lt;Tag&gt;0&lt;/Tag&gt;&lt;Author&gt;Giacco, Ferdinando; Brownlee, Michael&lt;/Author&gt;&lt;Year&gt;2010&lt;/Year&gt;&lt;Details&gt;&lt;_accessed&gt;66401361&lt;/_accessed&gt;&lt;_accession_num&gt;21030723&lt;/_accession_num&gt;&lt;_author_adr&gt;Diabetes Research Center, Departments of Medicine/Endocrinology, Albert Einstein  College of Medicine, 1300 Morris Park Ave., Bronx, New York 10461-1602, USA.&lt;/_author_adr&gt;&lt;_collection_scope&gt;SCIE&lt;/_collection_scope&gt;&lt;_created&gt;66401339&lt;/_created&gt;&lt;_date&gt;58288320&lt;/_date&gt;&lt;_date_display&gt;2010 Oct 29&lt;/_date_display&gt;&lt;_db_updated&gt;CrossRef&lt;/_db_updated&gt;&lt;_doi&gt;10.1161/CIRCRESAHA.110.223545&lt;/_doi&gt;&lt;_impact_factor&gt;  16.500&lt;/_impact_factor&gt;&lt;_isbn&gt;0009-7330&lt;/_isbn&gt;&lt;_issue&gt;9&lt;/_issue&gt;&lt;_journal&gt;Circulation Research&lt;/_journal&gt;&lt;_language&gt;eng&lt;/_language&gt;&lt;_modified&gt;66401436&lt;/_modified&gt;&lt;_number&gt;34&lt;/_number&gt;&lt;_pages&gt;1058-1070&lt;/_pages&gt;&lt;_social_category&gt;心脏和心血管系统(1) &amp;amp; 血液学(1) &amp;amp; 外周血管病(1)&lt;/_social_category&gt;&lt;_subject_headings&gt;Animals; Atherosclerosis/etiology/metabolism; Cardiomyopathies/etiology/metabolism; Diabetes Complications/etiology/*metabolism; Humans; Hyperglycemia/complications/metabolism; Microvessels/metabolism; Oxidative Stress/*physiology; Reactive Oxygen Species/metabolism; Signal Transduction/physiology&lt;/_subject_headings&gt;&lt;_tertiary_title&gt;Circulation Research&lt;/_tertiary_title&gt;&lt;_type_work&gt;Journal Article; Research Support, N.I.H., Extramural; Research Support, Non-U.S. Gov&amp;apos;t; Review&lt;/_type_work&gt;&lt;_url&gt;https://www.ahajournals.org/doi/10.1161/CIRCRESAHA.110.223545_x000d__x000a_https://www.ahajournals.org/doi/full/10.1161/CIRCRESAHA.110.223545&lt;/_url&gt;&lt;_volume&gt;107&lt;/_volume&gt;&lt;/Details&gt;&lt;Extra&gt;&lt;DBUID&gt;{0595FEED-06EC-4465-A92A-123F8040CA41}&lt;/DBUID&gt;&lt;/Extra&gt;&lt;/Item&gt;&lt;/References&gt;&lt;/Group&gt;&lt;Group&gt;&lt;References&gt;&lt;Item&gt;&lt;ID&gt;2611&lt;/ID&gt;&lt;UID&gt;{38D9ACB1-5A8E-47EE-8F07-74E0B4CF19C8}&lt;/UID&gt;&lt;Title&gt;Oscillating Glucose Is More Deleterious to Endothelial Function and Oxidative Stress Than Mean Glucose in Normal and Type 2 Diabetic Patients&lt;/Title&gt;&lt;Template&gt;Journal Article&lt;/Template&gt;&lt;Star&gt;0&lt;/Star&gt;&lt;Tag&gt;0&lt;/Tag&gt;&lt;Author&gt;Ceriello, Antonio; Esposito, Katherine; Piconi, Ludovica; Ihnat, Michael A; Thorpe, Jessica E; Testa, Roberto; Boemi, Massimo; Giugliano, Dario&lt;/Author&gt;&lt;Year&gt;2008&lt;/Year&gt;&lt;Details&gt;&lt;_accessed&gt;66401361&lt;/_accessed&gt;&lt;_accession_num&gt;18299315&lt;/_accession_num&gt;&lt;_author_adr&gt;Centre of Excellence in Diabetes and Endocrinology, University Hospital of  Coventry and Warwickshire, Warwick Medical School, University of Warwick,  Coventry, UK. antonio.ceriello@warwick.ac.uk&lt;/_author_adr&gt;&lt;_collection_scope&gt;SCIE&lt;/_collection_scope&gt;&lt;_created&gt;66401339&lt;/_created&gt;&lt;_date&gt;56976480&lt;/_date&gt;&lt;_date_display&gt;2008 May&lt;/_date_display&gt;&lt;_db_updated&gt;CrossRef&lt;/_db_updated&gt;&lt;_doi&gt;10.2337/db08-0063&lt;/_doi&gt;&lt;_impact_factor&gt;   6.200&lt;/_impact_factor&gt;&lt;_isbn&gt;0012-1797&lt;/_isbn&gt;&lt;_issue&gt;5&lt;/_issue&gt;&lt;_journal&gt;Diabetes&lt;/_journal&gt;&lt;_language&gt;eng&lt;/_language&gt;&lt;_modified&gt;66401436&lt;/_modified&gt;&lt;_number&gt;35&lt;/_number&gt;&lt;_pages&gt;1349-1354&lt;/_pages&gt;&lt;_social_category&gt;内分泌学与代谢(2)&lt;/_social_category&gt;&lt;_subject_headings&gt;Blood Glucose/*metabolism; Diabetes Mellitus, Type 2/*blood/*physiopathology; Endothelium, Vascular/*physiology/*physiopathology; Female; Glycated Hemoglobin/metabolism; Homeostasis; Humans; Male; Middle Aged; Oscillometry; *Oxidative Stress; Reference Values; Somatostatin/blood; Vasodilation/*physiology&lt;/_subject_headings&gt;&lt;_tertiary_title&gt;Diabetes&lt;/_tertiary_title&gt;&lt;_type_work&gt;Journal Article&lt;/_type_work&gt;&lt;_url&gt;https://diabetesjournals.org/diabetes/article/57/5/1349/13528/Oscillating-Glucose-Is-More-Deleterious-to_x000d__x000a_https://diabetesjournals.org/diabetes/article-pdf/57/5/1349/391216/zdb00508001349.pdf&lt;/_url&gt;&lt;_volume&gt;57&lt;/_volume&gt;&lt;/Details&gt;&lt;Extra&gt;&lt;DBUID&gt;{0595FEED-06EC-4465-A92A-123F8040CA41}&lt;/DBUID&gt;&lt;/Extra&gt;&lt;/Item&gt;&lt;/References&gt;&lt;/Group&gt;&lt;/Citation&gt;_x000a_"/>
    <w:docVar w:name="NE.Ref{B071DE9C-B57B-4949-9370-0C212C0FB665}" w:val=" ADDIN NE.Ref.{B071DE9C-B57B-4949-9370-0C212C0FB665}&lt;Citation&gt;&lt;Group&gt;&lt;References&gt;&lt;Item&gt;&lt;ID&gt;2695&lt;/ID&gt;&lt;UID&gt;{023CAAF1-6C08-46DC-8C19-33A574E9D500}&lt;/UID&gt;&lt;Title&gt;Stress hyperglycaemia&lt;/Title&gt;&lt;Template&gt;Journal Article&lt;/Template&gt;&lt;Star&gt;1&lt;/Star&gt;&lt;Tag&gt;0&lt;/Tag&gt;&lt;Author&gt;Dungan, Kathleen M; Braithwaite, Susan S; Preiser, Jean-Charles&lt;/Author&gt;&lt;Year&gt;2009&lt;/Year&gt;&lt;Details&gt;&lt;_accessed&gt;66402458&lt;/_accessed&gt;&lt;_accession_num&gt;19465235&lt;/_accession_num&gt;&lt;_author_adr&gt;The Ohio State University, Columbus, OH 43210-1296, USA.  kathleen.dungan@osumc.edu&lt;/_author_adr&gt;&lt;_collection_scope&gt;SCIE&lt;/_collection_scope&gt;&lt;_created&gt;66401452&lt;/_created&gt;&lt;_date&gt;2009-05-23&lt;/_date&gt;&lt;_date_display&gt;2009 May 23&lt;/_date_display&gt;&lt;_db_updated&gt;CrossRef&lt;/_db_updated&gt;&lt;_doi&gt;10.1016/S0140-6736(09)60553-5&lt;/_doi&gt;&lt;_impact_factor&gt;  98.400&lt;/_impact_factor&gt;&lt;_isbn&gt;01406736&lt;/_isbn&gt;&lt;_issue&gt;9677&lt;/_issue&gt;&lt;_journal&gt;The Lancet&lt;/_journal&gt;&lt;_language&gt;eng&lt;/_language&gt;&lt;_modified&gt;66402638&lt;/_modified&gt;&lt;_number&gt;7&lt;/_number&gt;&lt;_pages&gt;1798-1807&lt;/_pages&gt;&lt;_social_category&gt;医学：内科(1)&lt;/_social_category&gt;&lt;_subject_headings&gt;Acute Disease; Blood Glucose/metabolism; Cardiovascular Diseases/complications; *Critical Illness; Early Diagnosis; Glucose Tolerance Test; Humans; *Hyperglycemia/diagnosis/epidemiology/etiology/prevention &amp;amp; control; Monitoring, Physiologic; Prediabetic State/complications; Prevalence; Research Design; Risk Factors; Risk Reduction Behavior; Severity of Illness Index; *Stress, Physiological/physiology; Stroke/complications; Surgical Procedures, Operative/adverse effects; Treatment Outcome&lt;/_subject_headings&gt;&lt;_tertiary_title&gt;The Lancet&lt;/_tertiary_title&gt;&lt;_type_work&gt;Journal Article; Review&lt;/_type_work&gt;&lt;_url&gt;https://linkinghub.elsevier.com/retrieve/pii/S0140673609605535_x000d__x000a_https://api.elsevier.com/content/article/PII:S0140673609605535?httpAccept=text/xml&lt;/_url&gt;&lt;_volume&gt;373&lt;/_volume&gt;&lt;/Details&gt;&lt;Extra&gt;&lt;DBUID&gt;{0595FEED-06EC-4465-A92A-123F8040CA41}&lt;/DBUID&gt;&lt;/Extra&gt;&lt;/Item&gt;&lt;/References&gt;&lt;/Group&gt;&lt;Group&gt;&lt;References&gt;&lt;Item&gt;&lt;ID&gt;2733&lt;/ID&gt;&lt;UID&gt;{48BC6BD6-07B0-443D-9375-7AC647C11FAC}&lt;/UID&gt;&lt;Title&gt;Stress-induced hyperglycemia&lt;/Title&gt;&lt;Template&gt;Journal Article&lt;/Template&gt;&lt;Star&gt;0&lt;/Star&gt;&lt;Tag&gt;0&lt;/Tag&gt;&lt;Author&gt;McCowen, K C; Malhotra, A; Bistrian, B R&lt;/Author&gt;&lt;Year&gt;2001&lt;/Year&gt;&lt;Details&gt;&lt;_accession_num&gt;11219223&lt;/_accession_num&gt;&lt;_author_adr&gt;Departments of Medicine, Beth Israel Deaconess Medical Center, Boston,  Massachusetts, USA. KMcCowen@caregroup.harvard.edu&lt;/_author_adr&gt;&lt;_collection_scope&gt;SCIE&lt;/_collection_scope&gt;&lt;_created&gt;66402443&lt;/_created&gt;&lt;_date&gt;2001-01-01&lt;/_date&gt;&lt;_date_display&gt;2001 Jan&lt;/_date_display&gt;&lt;_doi&gt;10.1016/s0749-0704(05)70154-8&lt;/_doi&gt;&lt;_impact_factor&gt;   3.000&lt;/_impact_factor&gt;&lt;_isbn&gt;0749-0704 (Print); 0749-0704 (Linking)&lt;/_isbn&gt;&lt;_issue&gt;1&lt;/_issue&gt;&lt;_journal&gt;Crit Care Clin&lt;/_journal&gt;&lt;_language&gt;eng&lt;/_language&gt;&lt;_modified&gt;66402448&lt;/_modified&gt;&lt;_number&gt;38&lt;/_number&gt;&lt;_pages&gt;107-24&lt;/_pages&gt;&lt;_social_category&gt;危重病医学(4)&lt;/_social_category&gt;&lt;_subject_headings&gt;Glucose/metabolism; Humans; Hyperglycemia/complications/epidemiology/*etiology/physiopathology/prevention &amp;amp; _x000d__x000a_      control; Insulin/therapeutic use; Insulin Resistance; Intensive Care Units; Risk Factors; Stress, Physiological/*complications&lt;/_subject_headings&gt;&lt;_tertiary_title&gt;Critical care clinics&lt;/_tertiary_title&gt;&lt;_type_work&gt;Journal Article; Review&lt;/_type_work&gt;&lt;_url&gt;http://www.ncbi.nlm.nih.gov/entrez/query.fcgi?cmd=Retrieve&amp;amp;db=pubmed&amp;amp;dopt=Abstract&amp;amp;list_uids=11219223&amp;amp;query_hl=1&lt;/_url&gt;&lt;_volume&gt;17&lt;/_volume&gt;&lt;/Details&gt;&lt;Extra&gt;&lt;DBUID&gt;{0595FEED-06EC-4465-A92A-123F8040CA41}&lt;/DBUID&gt;&lt;/Extra&gt;&lt;/Item&gt;&lt;/References&gt;&lt;/Group&gt;&lt;/Citation&gt;_x000a_"/>
    <w:docVar w:name="NE.Ref{B0D29D91-53F7-4D8C-8FD7-A3C076B5BC4E}" w:val=" ADDIN NE.Ref.{B0D29D91-53F7-4D8C-8FD7-A3C076B5BC4E}&lt;Citation&gt;&lt;Group&gt;&lt;References&gt;&lt;Item&gt;&lt;ID&gt;2581&lt;/ID&gt;&lt;UID&gt;{BAFD78FA-FAAC-4AC8-AC47-D0F77762324B}&lt;/UID&gt;&lt;Title&gt;Presentation blood glucose and death, hospitalization, and future diabetes risk in patients with acute heart failure syndromes&lt;/Title&gt;&lt;Template&gt;Journal Article&lt;/Template&gt;&lt;Star&gt;0&lt;/Star&gt;&lt;Tag&gt;0&lt;/Tag&gt;&lt;Author&gt;Sud, Maneesh; Wang, Xuesong; Austin, Peter C; Lipscombe, Lorraine L; Newton, Gary E; Tu, Jack V; Vasan, Ramachandran S; Lee, Douglas S&lt;/Author&gt;&lt;Year&gt;2015&lt;/Year&gt;&lt;Details&gt;&lt;_accessed&gt;66401360&lt;/_accessed&gt;&lt;_accession_num&gt;25572328&lt;/_accession_num&gt;&lt;_author_adr&gt;Institute for Clinical Evaluative Sciences, Division of Cardiology, University  Health Network University of Toronto, Toronto, ON, Canada.; Institute for Clinical Evaluative Sciences, Division of Cardiology, University  Health Network University of Toronto, Toronto, ON, Canada.; Institute for Clinical Evaluative Sciences, Division of Cardiology, University  Health Network University of Toronto, Toronto, ON, Canada.; Institute for Clinical Evaluative Sciences, Division of Cardiology, University  Health Network University of Toronto, Toronto, ON, Canada.; Institute for Clinical Evaluative Sciences, Division of Cardiology, University  Health Network University of Toronto, Toronto, ON, Canada.; Institute for Clinical Evaluative Sciences, Division of Cardiology, University  Health Network University of Toronto, Toronto, ON, Canada.; Institute for Clinical Evaluative Sciences, Division of Cardiology, University  Health Network University of Toronto, Toronto, ON, Canada.; Institute for Clinical Evaluative Sciences, Division of Cardiology, University  Health Network University of Toronto, Toronto, ON, Canada dlee@ices.on.ca.&lt;/_author_adr&gt;&lt;_collection_scope&gt;SCIE&lt;/_collection_scope&gt;&lt;_created&gt;66401319&lt;/_created&gt;&lt;_date&gt;60632640&lt;/_date&gt;&lt;_date_display&gt;2015 Apr 14&lt;/_date_display&gt;&lt;_db_updated&gt;CrossRef&lt;/_db_updated&gt;&lt;_doi&gt;10.1093/eurheartj/ehu462&lt;/_doi&gt;&lt;_impact_factor&gt;  38.100&lt;/_impact_factor&gt;&lt;_isbn&gt;0195-668X&lt;/_isbn&gt;&lt;_issue&gt;15&lt;/_issue&gt;&lt;_journal&gt;European Heart Journal&lt;/_journal&gt;&lt;_keywords&gt;Blood glucose; Complications; Diabetes; Heart failure; Hospitalization; Morbidity; Mortality; Outcomes; Prognosis&lt;/_keywords&gt;&lt;_language&gt;eng&lt;/_language&gt;&lt;_modified&gt;66401434&lt;/_modified&gt;&lt;_number&gt;10&lt;/_number&gt;&lt;_ori_publication&gt;© The Author 2015. Published by Oxford University Press on behalf of the European _x000d__x000a_      Society of Cardiology.&lt;/_ori_publication&gt;&lt;_pages&gt;924-931&lt;/_pages&gt;&lt;_social_category&gt;心脏和心血管系统(1)&lt;/_social_category&gt;&lt;_subject_headings&gt;Acute Disease; Aged; Aged, 80 and over; Blood Glucose/metabolism; Cohort Studies; Diabetic Angiopathies/blood/*mortality; Female; Heart Failure/blood/*mortality; Hospital Mortality; Hospitalization/statistics &amp;amp; numerical data; Humans; Male; Ontario/epidemiology; Prognosis; Risk Factors; Sex Distribution&lt;/_subject_headings&gt;&lt;_tertiary_title&gt;European heart journal&lt;/_tertiary_title&gt;&lt;_type_work&gt;Journal Article; Research Support, Non-U.S. Gov&amp;apos;t&lt;/_type_work&gt;&lt;_url&gt;https://academic.oup.com/eurheartj/article-lookup/doi/10.1093/eurheartj/ehu462_x000d__x000a_http://academic.oup.com/eurheartj/article-pdf/36/15/924/17354991/ehu462.pdf&lt;/_url&gt;&lt;_volume&gt;36&lt;/_volume&gt;&lt;/Details&gt;&lt;Extra&gt;&lt;DBUID&gt;{0595FEED-06EC-4465-A92A-123F8040CA41}&lt;/DBUID&gt;&lt;/Extra&gt;&lt;/Item&gt;&lt;/References&gt;&lt;/Group&gt;&lt;/Citation&gt;_x000a_"/>
    <w:docVar w:name="NE.Ref{B3D0E00C-A29C-416D-891E-98D83D36D088}" w:val=" ADDIN NE.Ref.{B3D0E00C-A29C-416D-891E-98D83D36D088}&lt;Citation&gt;&lt;Group&gt;&lt;References&gt;&lt;Item&gt;&lt;ID&gt;2578&lt;/ID&gt;&lt;UID&gt;{E45272D3-3ABB-448C-BD0E-EA4E0A2CBD2A}&lt;/UID&gt;&lt;Title&gt;Stress hyperglycaemia&lt;/Title&gt;&lt;Template&gt;Journal Article&lt;/Template&gt;&lt;Star&gt;0&lt;/Star&gt;&lt;Tag&gt;0&lt;/Tag&gt;&lt;Author&gt;Dungan, Kathleen M; Braithwaite, Susan S; Preiser, Jean-Charles&lt;/Author&gt;&lt;Year&gt;2009&lt;/Year&gt;&lt;Details&gt;&lt;_accessed&gt;66401360&lt;/_accessed&gt;&lt;_accession_num&gt;19465235&lt;/_accession_num&gt;&lt;_author_adr&gt;The Ohio State University, Columbus, OH 43210-1296, USA.  kathleen.dungan@osumc.edu&lt;/_author_adr&gt;&lt;_collection_scope&gt;SCIE&lt;/_collection_scope&gt;&lt;_created&gt;66401317&lt;/_created&gt;&lt;_date&gt;2009-05-23&lt;/_date&gt;&lt;_date_display&gt;2009 May 23&lt;/_date_display&gt;&lt;_db_updated&gt;CrossRef&lt;/_db_updated&gt;&lt;_doi&gt;10.1016/S0140-6736(09)60553-5&lt;/_doi&gt;&lt;_impact_factor&gt;  98.400&lt;/_impact_factor&gt;&lt;_isbn&gt;01406736&lt;/_isbn&gt;&lt;_issue&gt;9677&lt;/_issue&gt;&lt;_journal&gt;The Lancet&lt;/_journal&gt;&lt;_language&gt;eng&lt;/_language&gt;&lt;_modified&gt;66401432&lt;/_modified&gt;&lt;_number&gt;7&lt;/_number&gt;&lt;_pages&gt;1798-1807&lt;/_pages&gt;&lt;_social_category&gt;医学：内科(1)&lt;/_social_category&gt;&lt;_subject_headings&gt;Acute Disease; Blood Glucose/metabolism; Cardiovascular Diseases/complications; *Critical Illness; Early Diagnosis; Glucose Tolerance Test; Humans; *Hyperglycemia/diagnosis/epidemiology/etiology/prevention &amp;amp; control; Monitoring, Physiologic; Prediabetic State/complications; Prevalence; Research Design; Risk Factors; Risk Reduction Behavior; Severity of Illness Index; *Stress, Physiological/physiology; Stroke/complications; Surgical Procedures, Operative/adverse effects; Treatment Outcome&lt;/_subject_headings&gt;&lt;_tertiary_title&gt;The Lancet&lt;/_tertiary_title&gt;&lt;_type_work&gt;Journal Article; Review&lt;/_type_work&gt;&lt;_url&gt;https://linkinghub.elsevier.com/retrieve/pii/S0140673609605535_x000d__x000a_https://api.elsevier.com/content/article/PII:S0140673609605535?httpAccept=text/xml&lt;/_url&gt;&lt;_volume&gt;373&lt;/_volume&gt;&lt;/Details&gt;&lt;Extra&gt;&lt;DBUID&gt;{0595FEED-06EC-4465-A92A-123F8040CA41}&lt;/DBUID&gt;&lt;/Extra&gt;&lt;/Item&gt;&lt;/References&gt;&lt;/Group&gt;&lt;Group&gt;&lt;References&gt;&lt;Item&gt;&lt;ID&gt;2579&lt;/ID&gt;&lt;UID&gt;{AFEBE616-C7E5-4C2D-90A6-686034C35746}&lt;/UID&gt;&lt;Title&gt;Stress hyperglycemia: an essential survival response!&lt;/Title&gt;&lt;Template&gt;Journal Article&lt;/Template&gt;&lt;Star&gt;0&lt;/Star&gt;&lt;Tag&gt;0&lt;/Tag&gt;&lt;Author&gt;Marik, Paul E; Bellomo, Rinaldo&lt;/Author&gt;&lt;Year&gt;2013&lt;/Year&gt;&lt;Details&gt;&lt;_accessed&gt;66401360&lt;/_accessed&gt;&lt;_accession_num&gt;23470218&lt;/_accession_num&gt;&lt;_collection_scope&gt;SCIE&lt;/_collection_scope&gt;&lt;_created&gt;66401317&lt;/_created&gt;&lt;_date&gt;2013-03-06&lt;/_date&gt;&lt;_date_display&gt;2013 Mar 6&lt;/_date_display&gt;&lt;_db_updated&gt;CrossRef&lt;/_db_updated&gt;&lt;_doi&gt;10.1186/cc12514&lt;/_doi&gt;&lt;_impact_factor&gt;   8.800&lt;/_impact_factor&gt;&lt;_isbn&gt;1364-8535&lt;/_isbn&gt;&lt;_issue&gt;2&lt;/_issue&gt;&lt;_journal&gt;Critical Care&lt;/_journal&gt;&lt;_language&gt;eng&lt;/_language&gt;&lt;_modified&gt;66401432&lt;/_modified&gt;&lt;_number&gt;8&lt;/_number&gt;&lt;_pages&gt;305&lt;/_pages&gt;&lt;_social_category&gt;危重病医学(2)&lt;/_social_category&gt;&lt;_subject_headings&gt;Animals; Blood Glucose/*metabolism; Critical Care/trends; Critical Illness/mortality/therapy; Glycemic Index/physiology; Humans; Hyperglycemia/*blood/diagnosis; Stress, Physiological/*physiology; Survival/physiology&lt;/_subject_headings&gt;&lt;_tertiary_title&gt;Crit Care&lt;/_tertiary_title&gt;&lt;_type_work&gt;Journal Article; Review&lt;/_type_work&gt;&lt;_url&gt;http://ccforum.biomedcentral.com/articles/10.1186/cc12514&lt;/_url&gt;&lt;_volume&gt;17&lt;/_volume&gt;&lt;/Details&gt;&lt;Extra&gt;&lt;DBUID&gt;{0595FEED-06EC-4465-A92A-123F8040CA41}&lt;/DBUID&gt;&lt;/Extra&gt;&lt;/Item&gt;&lt;/References&gt;&lt;/Group&gt;&lt;/Citation&gt;_x000a_"/>
    <w:docVar w:name="NE.Ref{B50A6229-0EFB-4512-BA57-BACF8CD7FB02}" w:val=" ADDIN NE.Ref.{B50A6229-0EFB-4512-BA57-BACF8CD7FB02}&lt;Citation&gt;&lt;Group&gt;&lt;References&gt;&lt;Item&gt;&lt;ID&gt;2727&lt;/ID&gt;&lt;UID&gt;{08F24690-8D04-461E-93A7-39C6BA01D913}&lt;/UID&gt;&lt;Title&gt;Association between stress hyperglycemia ratio and 28-day all-cause mortality in critically ill atrial fibrillation patients: a retrospective cohort study based on the MIMIC-IV database&lt;/Title&gt;&lt;Template&gt;Journal Article&lt;/Template&gt;&lt;Star&gt;0&lt;/Star&gt;&lt;Tag&gt;0&lt;/Tag&gt;&lt;Author&gt;Zhang, Qianqian; Zhang, Nianzhi; Zhou, Jing; Zheng, Ying; Wang, Yuanyuan&lt;/Author&gt;&lt;Year&gt;2025&lt;/Year&gt;&lt;Details&gt;&lt;_accessed&gt;66402459&lt;/_accessed&gt;&lt;_accession_num&gt;41376919&lt;/_accession_num&gt;&lt;_author_adr&gt;The First Clinical School of Anhui University of Chinese Medicine, Hefei, China.; Department of Respiratory Medicine, First Affiliated Hospital of Anhui University  of Chinese Medicine, Hefei, China.; The First Clinical School of Anhui University of Chinese Medicine, Hefei, China.; Department of Respiratory Medicine, First Affiliated Hospital of Anhui University  of Chinese Medicine, Hefei, China.; The First Clinical School of Anhui University of Chinese Medicine, Hefei, China.; Department of Respiratory Medicine, First Affiliated Hospital of Anhui University  of Chinese Medicine, Hefei, China.&lt;/_author_adr&gt;&lt;_collection_scope&gt;SCIE&lt;/_collection_scope&gt;&lt;_created&gt;66401474&lt;/_created&gt;&lt;_date&gt;2025-11-30&lt;/_date&gt;&lt;_date_display&gt;2025 Nov 30&lt;/_date_display&gt;&lt;_db_updated&gt;CrossRef&lt;/_db_updated&gt;&lt;_doi&gt;10.21037/jtd-2025-1507&lt;/_doi&gt;&lt;_impact_factor&gt;   2.100&lt;/_impact_factor&gt;&lt;_isbn&gt;20721439&lt;/_isbn&gt;&lt;_issue&gt;11&lt;/_issue&gt;&lt;_journal&gt;Journal of Thoracic Disease&lt;/_journal&gt;&lt;_keywords&gt;Atrial fibrillation (AF); Medical Information Mart for Intensive Care IV database (MIMIC-IV database); intensive care unit (ICU); stress hyperglycemia ratio (SHR)&lt;/_keywords&gt;&lt;_language&gt;eng&lt;/_language&gt;&lt;_modified&gt;66402459&lt;/_modified&gt;&lt;_number&gt;33&lt;/_number&gt;&lt;_ori_publication&gt;© AME Publishing Company.&lt;/_ori_publication&gt;&lt;_pages&gt;10272-10284&lt;/_pages&gt;&lt;_social_category&gt;呼吸系统(4)&lt;/_social_category&gt;&lt;_tertiary_title&gt;J Thorac Dis&lt;/_tertiary_title&gt;&lt;_type_work&gt;Journal Article&lt;/_type_work&gt;&lt;_url&gt;https://jtd.amegroups.com/article/view/108816/html_x000d__x000a_https://jtd.amegroups.com/article/download/108816/pdf&lt;/_url&gt;&lt;_volume&gt;17&lt;/_volume&gt;&lt;/Details&gt;&lt;Extra&gt;&lt;DBUID&gt;{0595FEED-06EC-4465-A92A-123F8040CA41}&lt;/DBUID&gt;&lt;/Extra&gt;&lt;/Item&gt;&lt;/References&gt;&lt;/Group&gt;&lt;/Citation&gt;_x000a_"/>
    <w:docVar w:name="NE.Ref{B5559745-A2EE-4152-88B3-608A4774F4D2}" w:val=" ADDIN NE.Ref.{B5559745-A2EE-4152-88B3-608A4774F4D2}&lt;Citation&gt;&lt;Group&gt;&lt;References&gt;&lt;Item&gt;&lt;ID&gt;2729&lt;/ID&gt;&lt;UID&gt;{A79D2B17-DD2F-4460-B5A3-90C327038CD0}&lt;/UID&gt;&lt;Title&gt;Stress hyperglycemia ratio predicts adverse outcomes in emergency department patients with upper gastrointestinal bleeding&lt;/Title&gt;&lt;Template&gt;Journal Article&lt;/Template&gt;&lt;Star&gt;0&lt;/Star&gt;&lt;Tag&gt;0&lt;/Tag&gt;&lt;Author&gt;Ou, Hao-Cho; An, Yu-Chin; Shih, Chang-Chih; Lai, Chung-Yu; Chiang, Hui-Hsun; Chien, Wu-Chien; Liao, Wen-I.; Tsai, Shih-Hung&lt;/Author&gt;&lt;Year&gt;2026&lt;/Year&gt;&lt;Details&gt;&lt;_accessed&gt;66402459&lt;/_accessed&gt;&lt;_accession_num&gt;41575963&lt;/_accession_num&gt;&lt;_author_adr&gt;Department of Emergency Medicine, Tri-Service General Hospital, National Defense  Medical University, Taipei, Taiwan.; Department of Emergency Medicine, Tri-Service General Hospital, National Defense  Medical University, Taipei, Taiwan.; Department of Emergency Medicine, Wei Gong Memorial Hospital, Miaoli County,  Taiwan.; Graduate Institute of Aerospace and Undersea Medicine, National Defense Medical  University, Taipei, Taiwan.; School of Nursing, National Defense Medical University, Taipei, Taiwan.; School of Public Health, National Defense Medical University, Taipei, Taiwan.; Department of Medical Research, Tri-Service General Hospital, National Defense  Medical University, Taipei, Taiwan.; Department of Emergency Medicine, Tri-Service General Hospital, National Defense  Medical University, Taipei, Taiwan.; Department of Emergency Medicine, Tri-Service General Hospital, National Defense  Medical University, Taipei, Taiwan.; Department of Physiology and Biophysics, Graduate Institute of Physiology,  National Defense Medical University, Taipei, Taiwan.; Taichung Armed Forces General Hospital, Taichung, Taiwan.&lt;/_author_adr&gt;&lt;_collection_scope&gt;SCIE&lt;/_collection_scope&gt;&lt;_created&gt;66402442&lt;/_created&gt;&lt;_date&gt;66301920&lt;/_date&gt;&lt;_date_display&gt;2026&lt;/_date_display&gt;&lt;_db_updated&gt;CrossRef&lt;/_db_updated&gt;&lt;_doi&gt;10.1371/journal.pone.0340450&lt;/_doi&gt;&lt;_impact_factor&gt;   2.900&lt;/_impact_factor&gt;&lt;_isbn&gt;1932-6203&lt;/_isbn&gt;&lt;_issue&gt;1&lt;/_issue&gt;&lt;_journal&gt;PLOS One&lt;/_journal&gt;&lt;_language&gt;eng&lt;/_language&gt;&lt;_modified&gt;66402644&lt;/_modified&gt;&lt;_number&gt;34&lt;/_number&gt;&lt;_ori_publication&gt;Copyright: © 2026 Ou et al. This is an open access article distributed under the _x000d__x000a_      terms of the Creative Commons Attribution License, which permits unrestricted _x000d__x000a_      use, distribution, and reproduction in any medium, provided the original author _x000d__x000a_      and source are credited.&lt;/_ori_publication&gt;&lt;_pages&gt;e0340450&lt;/_pages&gt;&lt;_social_category&gt;综合性期刊(3)&lt;/_social_category&gt;&lt;_subject_headings&gt;Humans; *Gastrointestinal Hemorrhage/complications/blood/mortality/therapy; Female; Male; Middle Aged; *Hyperglycemia/complications/blood; Retrospective Studies; *Emergency Service, Hospital; Aged; Blood Glucose/analysis; Adult; *Stress, Physiological; Hospital Mortality; Intensive Care Units; ROC Curve; Blood Transfusion; Prognosis&lt;/_subject_headings&gt;&lt;_tertiary_title&gt;PLoS One&lt;/_tertiary_title&gt;&lt;_type_work&gt;Journal Article&lt;/_type_work&gt;&lt;_url&gt;https://dx.plos.org/10.1371/journal.pone.0340450_x000d__x000a_https://dx.plos.org/10.1371/journal.pone.0340450&lt;/_url&gt;&lt;_volume&gt;21&lt;/_volume&gt;&lt;/Details&gt;&lt;Extra&gt;&lt;DBUID&gt;{0595FEED-06EC-4465-A92A-123F8040CA41}&lt;/DBUID&gt;&lt;/Extra&gt;&lt;/Item&gt;&lt;/References&gt;&lt;/Group&gt;&lt;/Citation&gt;_x000a_"/>
    <w:docVar w:name="NE.Ref{B7A2EEF6-3449-4E3D-9D04-445A2BB598D2}" w:val=" ADDIN NE.Ref.{B7A2EEF6-3449-4E3D-9D04-445A2BB598D2}&lt;Citation&gt;&lt;Group&gt;&lt;References&gt;&lt;Item&gt;&lt;ID&gt;2752&lt;/ID&gt;&lt;UID&gt;{C1C85E7A-D159-4F0C-9C03-23F8B0AD1F91}&lt;/UID&gt;&lt;Title&gt;Percentage of Time in Range 70 to 139 mg/dL Is Associated With Reduced Mortality Among Critically Ill Patients Receiving IV Insulin Infusion&lt;/Title&gt;&lt;Template&gt;Journal Article&lt;/Template&gt;&lt;Star&gt;0&lt;/Star&gt;&lt;Tag&gt;0&lt;/Tag&gt;&lt;Author&gt;Lanspa, Michael J; Krinsley, James S; Hersh, Andrew M; Wilson, Emily L; Holmen, John R; Orme, James F; Morris, Alan H; Hirshberg, Eliotte L&lt;/Author&gt;&lt;Year&gt;2019&lt;/Year&gt;&lt;Details&gt;&lt;_accessed&gt;66402468&lt;/_accessed&gt;&lt;_accession_num&gt;31201784&lt;/_accession_num&gt;&lt;_author_adr&gt;Division of Pulmonary and Critical Care, Intermountain Medical Center, Murray,  UT; Division of Pulmonary and Critical Care Medicine, University of Utah, Salt  Lake City, UT. Electronic address: michael.lanspa@imail.org.; Division of Critical Care, Department of Medicine, Stamford Hospital, Columbia  Vagelos University College of Physicians and Surgeons, New York, NY.; Department of Pulmonary and Critical Care Medicine, San Antonio Military Medical  Center, San Antonio, TX.; Division of Pulmonary and Critical Care, Intermountain Medical Center, Murray,  UT.; Homer Warner Center, Intermountain Healthcare, Murray, UT.; Division of Pulmonary and Critical Care, Intermountain Medical Center, Murray,  UT; Division of Pulmonary and Critical Care Medicine, University of Utah, Salt  Lake City, UT.; Division of Pulmonary and Critical Care, Intermountain Medical Center, Murray,  UT; Division of Pulmonary and Critical Care Medicine, University of Utah, Salt  Lake City, UT.; Division of Pulmonary and Critical Care, Intermountain Medical Center, Murray,  UT; Division of Pulmonary and Critical Care Medicine, University of Utah, Salt  Lake City, UT; Division of Pediatric Critical Care, Department of Pediatrics,  University of Utah, Salt Lake City, UT.&lt;/_author_adr&gt;&lt;_collection_scope&gt;SCIE&lt;/_collection_scope&gt;&lt;_created&gt;66402454&lt;/_created&gt;&lt;_date&gt;62588160&lt;/_date&gt;&lt;_date_display&gt;2019&lt;/_date_display&gt;&lt;_db_updated&gt;PKU Search&lt;/_db_updated&gt;&lt;_doi&gt;10.1016/j.chest.2019.05.016&lt;/_doi&gt;&lt;_impact_factor&gt;   9.500&lt;/_impact_factor&gt;&lt;_isbn&gt;0012-3692;1931-3543;&lt;/_isbn&gt;&lt;_issue&gt;5&lt;/_issue&gt;&lt;_journal&gt;Chest&lt;/_journal&gt;&lt;_keywords&gt;diabetes; dysglycemia; glucose; glucose variation; intensive insulin therapy&lt;/_keywords&gt;&lt;_language&gt;eng&lt;/_language&gt;&lt;_modified&gt;66402468&lt;/_modified&gt;&lt;_number&gt;57&lt;/_number&gt;&lt;_ori_publication&gt;Elsevier Inc&lt;/_ori_publication&gt;&lt;_pages&gt;878-886&lt;/_pages&gt;&lt;_place_published&gt;United States&lt;/_place_published&gt;&lt;_social_category&gt;呼吸系统(1) &amp;amp; 危重病医学(2)&lt;/_social_category&gt;&lt;_subject_headings&gt;Aged; Blood Glucose/metabolism; Critical Illness/*mortality; Diabetes Mellitus/blood/*drug therapy/mortality; Female; Follow-Up Studies; Glycated Hemoglobin/metabolism; Humans; Hypoglycemic Agents/administration &amp;amp; dosage; Infusions, Intravenous; Insulin/*administration &amp;amp; dosage; Male; Middle Aged; Prognosis; Retrospective Studies; Risk Assessment/*methods; Risk Factors; Time Factors; United States/epidemiology&lt;/_subject_headings&gt;&lt;_tertiary_title&gt;Chest&lt;/_tertiary_title&gt;&lt;_type_work&gt;Journal Article; Multicenter Study&lt;/_type_work&gt;&lt;_url&gt;https://go.exlibris.link/XWBd5qjs&lt;/_url&gt;&lt;_volume&gt;156&lt;/_volume&gt;&lt;/Details&gt;&lt;Extra&gt;&lt;DBUID&gt;{0595FEED-06EC-4465-A92A-123F8040CA41}&lt;/DBUID&gt;&lt;/Extra&gt;&lt;/Item&gt;&lt;/References&gt;&lt;/Group&gt;&lt;/Citation&gt;_x000a_"/>
    <w:docVar w:name="NE.Ref{BA62A850-B981-468D-A38A-F887FC1D5428}" w:val=" ADDIN NE.Ref.{BA62A850-B981-468D-A38A-F887FC1D5428}&lt;Citation&gt;&lt;Group&gt;&lt;References&gt;&lt;Item&gt;&lt;ID&gt;2709&lt;/ID&gt;&lt;UID&gt;{0E57B5BD-92AD-4711-9612-68934E06A26E}&lt;/UID&gt;&lt;Title&gt;The association between stress hyperglycemia ratio with mortality in critically ill patients with acute heart failure&lt;/Title&gt;&lt;Template&gt;Journal Article&lt;/Template&gt;&lt;Star&gt;0&lt;/Star&gt;&lt;Tag&gt;0&lt;/Tag&gt;&lt;Author&gt;Ge, Tingai; Hu, Jingjing; Zhou, Yidan&lt;/Author&gt;&lt;Year&gt;2024&lt;/Year&gt;&lt;Details&gt;&lt;_accessed&gt;66402458&lt;/_accessed&gt;&lt;_accession_num&gt;39639971&lt;/_accession_num&gt;&lt;_author_adr&gt;Department of Emergency Medicine, Hangzhou Third People&amp;apos;s Hospital, Hangzhou,  China.; Department of Emergency Medicine, Hangzhou Third People&amp;apos;s Hospital, Hangzhou,  China.; Department of Emergency Medicine, Hangzhou Third People&amp;apos;s Hospital, Hangzhou,  China.&lt;/_author_adr&gt;&lt;_collection_scope&gt;SCIE&lt;/_collection_scope&gt;&lt;_created&gt;66401456&lt;/_created&gt;&lt;_date&gt;65685600&lt;/_date&gt;&lt;_date_display&gt;2024&lt;/_date_display&gt;&lt;_db_updated&gt;CrossRef&lt;/_db_updated&gt;&lt;_doi&gt;10.3389/fcvm.2024.1463861&lt;/_doi&gt;&lt;_impact_factor&gt;   2.800&lt;/_impact_factor&gt;&lt;_isbn&gt;2297-055X&lt;/_isbn&gt;&lt;_journal&gt;Frontiers in Cardiovascular Medicine&lt;/_journal&gt;&lt;_keywords&gt;acute heart failure; critically ill; glucose; glycosylated hemoglobin; mortality; stress hyperglycemia&lt;/_keywords&gt;&lt;_language&gt;eng&lt;/_language&gt;&lt;_modified&gt;66402458&lt;/_modified&gt;&lt;_number&gt;18&lt;/_number&gt;&lt;_ori_publication&gt;© 2024 Ge, Hu and Zhou.&lt;/_ori_publication&gt;&lt;_pages&gt;1463861&lt;/_pages&gt;&lt;_social_category&gt;心脏和心血管系统(3)&lt;/_social_category&gt;&lt;_tertiary_title&gt;Front. Cardiovasc. Med.&lt;/_tertiary_title&gt;&lt;_type_work&gt;Journal Article&lt;/_type_work&gt;&lt;_url&gt;https://www.frontiersin.org/articles/10.3389/fcvm.2024.1463861/full_x000d__x000a_https://www.frontiersin.org/articles/10.3389/fcvm.2024.1463861/full&lt;/_url&gt;&lt;_volume&gt;11&lt;/_volume&gt;&lt;/Details&gt;&lt;Extra&gt;&lt;DBUID&gt;{0595FEED-06EC-4465-A92A-123F8040CA41}&lt;/DBUID&gt;&lt;/Extra&gt;&lt;/Item&gt;&lt;/References&gt;&lt;/Group&gt;&lt;/Citation&gt;_x000a_"/>
    <w:docVar w:name="NE.Ref{BA7E4509-3D1C-42FA-A8A2-457419B4E44A}" w:val=" ADDIN NE.Ref.{BA7E4509-3D1C-42FA-A8A2-457419B4E44A}&lt;Citation&gt;&lt;Group&gt;&lt;References&gt;&lt;Item&gt;&lt;ID&gt;2712&lt;/ID&gt;&lt;UID&gt;{A9819E21-B368-4D34-9E58-7CD59EBDF47C}&lt;/UID&gt;&lt;Title&gt;Stress hyperglycemia ratio linked to worse prognosis in Cardiac Intensive Care Unit patients: A retrospective observational study&lt;/Title&gt;&lt;Template&gt;Journal Article&lt;/Template&gt;&lt;Star&gt;0&lt;/Star&gt;&lt;Tag&gt;0&lt;/Tag&gt;&lt;Author&gt;Zhang, Qianqian; Xiang, Huaqiang; Xu, Qianqian; Hu, Zesong; Xue, Yangjing; Wang, Jie; Ji, Kangting&lt;/Author&gt;&lt;Year&gt;2024&lt;/Year&gt;&lt;Details&gt;&lt;_accessed&gt;66402458&lt;/_accessed&gt;&lt;_accession_num&gt;38431225&lt;/_accession_num&gt;&lt;_author_adr&gt;The Second Affiliated Hospital and Yuying Children&amp;apos;s Hospital of Wenzhou Medical  University, Wenzhou 325027, China.; The Second Affiliated Hospital and Yuying Children&amp;apos;s Hospital of Wenzhou Medical  University, Wenzhou 325027, China.; The Second Affiliated Hospital and Yuying Children&amp;apos;s Hospital of Wenzhou Medical  University, Wenzhou 325027, China.; The Second Affiliated Hospital and Yuying Children&amp;apos;s Hospital of Wenzhou Medical  University, Wenzhou 325027, China.; The Second Affiliated Hospital and Yuying Children&amp;apos;s Hospital of Wenzhou Medical  University, Wenzhou 325027, China.; The Second Affiliated Hospital and Yuying Children&amp;apos;s Hospital of Wenzhou Medical  University, Wenzhou 325027, China. Electronic address: jiewang@wzhealth.com.; The Second Affiliated Hospital and Yuying Children&amp;apos;s Hospital of Wenzhou Medical  University, Wenzhou 325027, China. Electronic address: jikt@wmu.edu.cn.&lt;/_author_adr&gt;&lt;_collection_scope&gt;SCIE&lt;/_collection_scope&gt;&lt;_created&gt;66401458&lt;/_created&gt;&lt;_date&gt;2024-03-01&lt;/_date&gt;&lt;_date_display&gt;2024 Mar&lt;/_date_display&gt;&lt;_db_updated&gt;CrossRef&lt;/_db_updated&gt;&lt;_doi&gt;10.1016/j.diabres.2024.111598&lt;/_doi&gt;&lt;_impact_factor&gt;   6.100&lt;/_impact_factor&gt;&lt;_isbn&gt;01688227&lt;/_isbn&gt;&lt;_journal&gt;Diabetes Research and Clinical Practice&lt;/_journal&gt;&lt;_keywords&gt;Cardiac intensive care unit; Clinical outcomes; Diabetes; Stress hyperglycemia ratio&lt;/_keywords&gt;&lt;_language&gt;eng&lt;/_language&gt;&lt;_modified&gt;66402640&lt;/_modified&gt;&lt;_number&gt;21&lt;/_number&gt;&lt;_ori_publication&gt;Copyright © 2024 Elsevier B.V. All rights reserved.&lt;/_ori_publication&gt;&lt;_pages&gt;111598&lt;/_pages&gt;&lt;_social_category&gt;内分泌学与代谢(3)&lt;/_social_category&gt;&lt;_subject_headings&gt;Humans; Intensive Care Units; *Hyperglycemia; Prognosis; Retrospective Studies; Hospital Mortality; Risk Factors; *Diabetes Mellitus&lt;/_subject_headings&gt;&lt;_tertiary_title&gt;Diabetes Research and Clinical Practice&lt;/_tertiary_title&gt;&lt;_type_work&gt;Journal Article; Observational Study&lt;/_type_work&gt;&lt;_url&gt;https://linkinghub.elsevier.com/retrieve/pii/S0168822724000822_x000d__x000a_https://api.elsevier.com/content/article/PII:S0168822724000822?httpAccept=text/xml&lt;/_url&gt;&lt;_volume&gt;209&lt;/_volume&gt;&lt;/Details&gt;&lt;Extra&gt;&lt;DBUID&gt;{0595FEED-06EC-4465-A92A-123F8040CA41}&lt;/DBUID&gt;&lt;/Extra&gt;&lt;/Item&gt;&lt;/References&gt;&lt;/Group&gt;&lt;/Citation&gt;_x000a_"/>
    <w:docVar w:name="NE.Ref{BAC14BFD-511C-4C4D-B9E8-C6EFFF9BF906}" w:val=" ADDIN NE.Ref.{BAC14BFD-511C-4C4D-B9E8-C6EFFF9BF906}&lt;Citation&gt;&lt;Group&gt;&lt;References&gt;&lt;Item&gt;&lt;ID&gt;2534&lt;/ID&gt;&lt;UID&gt;{7B3ABE35-A3F9-400C-8CA2-BED33C61E966}&lt;/UID&gt;&lt;Title&gt;1&lt;/Title&gt;&lt;Template&gt;Journal Article&lt;/Template&gt;&lt;Star&gt;0&lt;/Star&gt;&lt;Tag&gt;0&lt;/Tag&gt;&lt;Author/&gt;&lt;Year&gt;0&lt;/Year&gt;&lt;Details&gt;&lt;_accessed&gt;66401232&lt;/_accessed&gt;&lt;_created&gt;66401231&lt;/_created&gt;&lt;_modified&gt;66401232&lt;/_modified&gt;&lt;/Details&gt;&lt;Extra&gt;&lt;DBUID&gt;{0595FEED-06EC-4465-A92A-123F8040CA41}&lt;/DBUID&gt;&lt;/Extra&gt;&lt;/Item&gt;&lt;/References&gt;&lt;/Group&gt;&lt;/Citation&gt;_x000a_"/>
    <w:docVar w:name="NE.Ref{BBA06364-548F-4032-A764-5CDCFA8632E1}" w:val=" ADDIN NE.Ref.{BBA06364-548F-4032-A764-5CDCFA8632E1}&lt;Citation&gt;&lt;Group&gt;&lt;References&gt;&lt;Item&gt;&lt;ID&gt;2701&lt;/ID&gt;&lt;UID&gt;{43B2FCC1-3AFC-4B8A-BD82-CADA50D84A87}&lt;/UID&gt;&lt;Title&gt;Presentation blood glucose and death, hospitalization, and future diabetes risk in patients with acute heart failure syndromes&lt;/Title&gt;&lt;Template&gt;Journal Article&lt;/Template&gt;&lt;Star&gt;0&lt;/Star&gt;&lt;Tag&gt;0&lt;/Tag&gt;&lt;Author&gt;Sud, Maneesh; Wang, Xuesong; Austin, Peter C; Lipscombe, Lorraine L; Newton, Gary E; Tu, Jack V; Vasan, Ramachandran S; Lee, Douglas S&lt;/Author&gt;&lt;Year&gt;2015&lt;/Year&gt;&lt;Details&gt;&lt;_accessed&gt;66402467&lt;/_accessed&gt;&lt;_accession_num&gt;25572328&lt;/_accession_num&gt;&lt;_author_adr&gt;Institute for Clinical Evaluative Sciences, Division of Cardiology, University  Health Network University of Toronto, Toronto, ON, Canada.; Institute for Clinical Evaluative Sciences, Division of Cardiology, University  Health Network University of Toronto, Toronto, ON, Canada.; Institute for Clinical Evaluative Sciences, Division of Cardiology, University  Health Network University of Toronto, Toronto, ON, Canada.; Institute for Clinical Evaluative Sciences, Division of Cardiology, University  Health Network University of Toronto, Toronto, ON, Canada.; Institute for Clinical Evaluative Sciences, Division of Cardiology, University  Health Network University of Toronto, Toronto, ON, Canada.; Institute for Clinical Evaluative Sciences, Division of Cardiology, University  Health Network University of Toronto, Toronto, ON, Canada.; Institute for Clinical Evaluative Sciences, Division of Cardiology, University  Health Network University of Toronto, Toronto, ON, Canada.; Institute for Clinical Evaluative Sciences, Division of Cardiology, University  Health Network University of Toronto, Toronto, ON, Canada dlee@ices.on.ca.&lt;/_author_adr&gt;&lt;_collection_scope&gt;SCIE&lt;/_collection_scope&gt;&lt;_created&gt;66401454&lt;/_created&gt;&lt;_date&gt;60484320&lt;/_date&gt;&lt;_date_display&gt;2015&lt;/_date_display&gt;&lt;_db_updated&gt;PKU Search&lt;/_db_updated&gt;&lt;_doi&gt;10.1093/eurheartj/ehu462&lt;/_doi&gt;&lt;_impact_factor&gt;  38.100&lt;/_impact_factor&gt;&lt;_isbn&gt;0195-668X;1522-9645;&lt;/_isbn&gt;&lt;_issue&gt;15&lt;/_issue&gt;&lt;_journal&gt;European heart journal&lt;/_journal&gt;&lt;_keywords&gt;Acute Disease; Aged; Aged, 80 and over; Blood Glucose - metabolism; Clinical Research; Cohort Studies; Diabetic Angiopathies - blood; Diabetic Angiopathies - mortality; Female; Heart Failure - blood; Heart Failure - mortality; Hospital Mortality; Hospitalization - statistics &amp;amp; numerical data; Humans; Male; Ontario - epidemiology; Prognosis; Risk Factors; Sex Distribution&lt;/_keywords&gt;&lt;_language&gt;eng&lt;/_language&gt;&lt;_modified&gt;66402467&lt;/_modified&gt;&lt;_number&gt;10&lt;/_number&gt;&lt;_ori_publication&gt;Oxford University Press&lt;/_ori_publication&gt;&lt;_pages&gt;924-931&lt;/_pages&gt;&lt;_place_published&gt;England&lt;/_place_published&gt;&lt;_social_category&gt;心脏和心血管系统(1)&lt;/_social_category&gt;&lt;_subject_headings&gt;Acute Disease; Aged; Aged, 80 and over; Blood Glucose/metabolism; Cohort Studies; Diabetic Angiopathies/blood/*mortality; Female; Heart Failure/blood/*mortality; Hospital Mortality; Hospitalization/statistics &amp;amp; numerical data; Humans; Male; Ontario/epidemiology; Prognosis; Risk Factors; Sex Distribution&lt;/_subject_headings&gt;&lt;_tertiary_title&gt;European heart journal&lt;/_tertiary_title&gt;&lt;_type_work&gt;Journal Article; Research Support, Non-U.S. Gov&amp;apos;t&lt;/_type_work&gt;&lt;_url&gt;https://go.exlibris.link/qmY6wMz3&lt;/_url&gt;&lt;_volume&gt;36&lt;/_volume&gt;&lt;/Details&gt;&lt;Extra&gt;&lt;DBUID&gt;{0595FEED-06EC-4465-A92A-123F8040CA41}&lt;/DBUID&gt;&lt;/Extra&gt;&lt;/Item&gt;&lt;/References&gt;&lt;/Group&gt;&lt;/Citation&gt;_x000a_"/>
    <w:docVar w:name="NE.Ref{BC817BAB-322B-4EEE-8FCE-4F410A00E203}" w:val=" ADDIN NE.Ref.{BC817BAB-322B-4EEE-8FCE-4F410A00E203}&lt;Citation&gt;&lt;Group&gt;&lt;References&gt;&lt;Item&gt;&lt;ID&gt;2688&lt;/ID&gt;&lt;UID&gt;{73D1B4B2-EFEF-456F-B3AF-63F29A006E70}&lt;/UID&gt;&lt;Title&gt;Global burden of 288 causes of death and life expectancy decomposition in 204 countries and territories and 811 subnational locations, 1990–2021: a systematic analysis for the Global Burden of Disease Study 2021&lt;/Title&gt;&lt;Template&gt;Journal Article&lt;/Template&gt;&lt;Star&gt;0&lt;/Star&gt;&lt;Tag&gt;0&lt;/Tag&gt;&lt;Author&gt;Abdelwahab, Ahmed; Abedi, Aidin; Aboagye, Richard Gyan; Ahmad, Danish; Alam, Khurshid; Alemayohu, Mulubirhan Assefa; Alhabib, Khalid F; Alqahtani, Jaber S; Alqalyoobi, Shehabaldin; Anil, Abhishek; Ansari-Moghaddam, Alireza; Ausloos, Marcel; Banach, Maciej; Barua, Lingkan; Batra, Kavita; Behzadifar, Masoud; Bell, Michelle L; Bernstein, Robert S; Bhala, Neeraj; Bhat, Vivek; Bishai, Jessica Devin; Boampong, Mary Sefa; Bodolica, Virginia; Boloor, Archith; Bonakdar Hashemi, Milad; Calina, Daniela; Chandrasekar, Eeshwar K; Chanie, Gashaw Sisay; Charalampous, Periklis; Cortese, Samuele; Costa, Vera Marisa; Dai, Zhaoli; Dash, Nihar Ranjan; Dias Da Silva, Diana; Dodangeh, Masoud; Dolecek, Christiane; Dube, John; Elema, Teshome Bekele; Elshaer, Mohammed; Emeto, Theophilus I; Etaee, Farshid; Fagbamigbe, Adeniyi Francis; Fareed, Mohammad; Fowobaje, Kayode Raphael; Gaal, Peter Andras; Garg, Naval; Ghoba, Sama; Gnedovskaya, Elena V; Ilic, Milena D; Jahankhani, Kasra; Javadov, Sabzali; Jha, Ravi Prakash; Kabir, Zubair; Karanth, Shama D; Khan, Gulfaraz; Khatami, Fatemeh; Kuate Defo, Barthelemy; Kumar, Ashish; Ladan, Muhammad Awwal; Latief, Kamaluddin; Lee, Seung Won; Lunevicius, Raimundas; Ma, Zheng Feei; Mahmoudi, Alireza; Mohammed, Hassen; Morawska, Lidia; Mougin, Vincent; Naghavi, Pirouz; Nazri-Panjaki, Athare; Negoi, Ionut; Ntaios, George; Nuñez-Samudio, Virginia; Okonji, Osaretin Christabel; Olaiya, Muideen Tunbosun; Petermann-Rocha, Fanny Emily; Petri, William A; Pham, Hoang Tran; Philip, Anil K; Polinder, Suzanne; Rahman, Mohammad Hifz Ur; Rawaf, David Laith; Rawlley, Bharat; Ribeiro, Antonio Luiz P; Safaeinejad, Fahimeh; Sajid, Mirza Rizwan; Santric-Milicevic, Milena M; Sarode, Gargi Sachin; Schwarzinger, Michaël; Šekerija, Mario; Sepanlou, Sadaf G; Sharma, Ujjawal; Singh, Abhinav; Subramaniyan, Vetriselvan; Tovani-Palone, Marcos Roberto; Udoakang, Aniefiok John; Vongpradith, Avina; Wang, Yuan-Pang; Willeit, Peter; Wu, Chenkai; Zakham, Fathiah; GBD, Causes Of Death Collaborators; Faculty, Of Medicine; Medicinska, Fakulteten; Clinical, Stroke Research Group; Stroke, Policy And Quality Register; Institutionen För Kliniska Vetenskaper, Lund; Neurology, Lund; Lunds, Universitet; Department Of Clinical Sciences, Lund; Sektion, I V; Stroke, Policy Och Kvalitetsregisterforskning; Lund, University; Section, I V; Neurologi, Lund; Klinisk, Strokeforskning&lt;/Author&gt;&lt;Year&gt;2024&lt;/Year&gt;&lt;Details&gt;&lt;_accessed&gt;66402457&lt;/_accessed&gt;&lt;_accession_num&gt;38582094&lt;/_accession_num&gt;&lt;_collection_scope&gt;SCIE&lt;/_collection_scope&gt;&lt;_created&gt;66401448&lt;/_created&gt;&lt;_date&gt;65217600&lt;/_date&gt;&lt;_date_display&gt;2024&lt;/_date_display&gt;&lt;_db_updated&gt;PKU Search&lt;/_db_updated&gt;&lt;_doi&gt;10.1016/S0140-6736(24)00367-2&lt;/_doi&gt;&lt;_impact_factor&gt;  98.400&lt;/_impact_factor&gt;&lt;_isbn&gt;0140-6736;1474-547X;&lt;/_isbn&gt;&lt;_issue&gt;10440&lt;/_issue&gt;&lt;_journal&gt;The Lancet (British edition)&lt;/_journal&gt;&lt;_keywords&gt;80 and over; Adolescent; Adult; Age; Age groups; Aged; Aged, 80 and over; algorithm; Arbetsmedicin och miljömedicin; Autopsies; Autopsy; Cardiovascular diseases; Cause of Death; Cause of Death - trends; cerebrovascular accident; Charities; Child; Child, Preschool; chronic obstructive lung disease; Chronic obstructive pulmonary disease; Coefficient of variation; Computer Science; coronavirus disease 2019; COVID-19; COVID-19 - epidemiology; COVID-19 - mortality; Death; Decision making; Decomposition; Disease; Epidemiology; Estimates; eye cancer; Fatalities; Female; Folkhälsovetenskap, global hälsa och socialmedicin; Global Burden of Disease; global disease burden; Global Health; Global Health - statistics &amp;amp; numerical data; Health promotion; Health Sciences; Heart diseases; hepatoblastoma; HIV; human; Human immunodeficiency virus; Humans; Hälsovetenskap; Infant; Infant, Newborn; Injuries; Injury analysis; intestine infection; Ischemia; ischemic heart disease; Life Expectancy; Life span; Lung diseases; Lymphoma; Malaria; Male; malignant neoplasm; maternal disease; Mathematical models; Measles; Medical and Health Sciences; Medicin och hälsovetenskap; Middle Aged; Modeling and Simulation; Mortality; mortality rate; Neonates; Newborn; newborn death; non-Hodgkin lymphoma; Occupational Health and Environmental Health; pandemic; Pandemics; paratyphoid fever; Permutations; Pertussis; population; Populations; Predation; Preschool; preschool child; Public health; Public Health, Global Health and Social Medicine; pulmonary hypertension; Regions; respiratory tract infection; retinoblastoma; Risk factors; SARS-CoV-2; Severe acute respiratory syndrome coronavirus 2; Sex; Sexually transmitted diseases; social hierarchy; Statistical analysis; Statistical models; STD; Surveillance systems; Trends; tuberculosis; Variation; Vector-borne diseases; very elderly; Young Adult&lt;/_keywords&gt;&lt;_language&gt;eng&lt;/_language&gt;&lt;_modified&gt;66402457&lt;/_modified&gt;&lt;_number&gt;1&lt;/_number&gt;&lt;_ori_publication&gt;Elsevier Ltd&lt;/_ori_publication&gt;&lt;_pages&gt;2100-2132&lt;/_pages&gt;&lt;_place_published&gt;England&lt;/_place_published&gt;&lt;_social_category&gt;医学：内科(1)&lt;/_social_category&gt;&lt;_subject_headings&gt;Humans; *Life Expectancy; *Cause of Death/trends; *Global Burden of Disease; Female; *COVID-19/mortality/epidemiology; Male; Aged; Middle Aged; Adult; Child, Preschool; Infant; *Global Health/statistics &amp;amp; numerical data; Adolescent; Young Adult; Child; Aged, 80 and over; SARS-CoV-2; Infant, Newborn; Pandemics&lt;/_subject_headings&gt;&lt;_tertiary_title&gt;Lancet (London, England)&lt;/_tertiary_title&gt;&lt;_type_work&gt;Journal Article; Research Support, N.I.H., Extramural; Research Support, Non-U.S. Gov&amp;apos;t&lt;/_type_work&gt;&lt;_url&gt;https://go.exlibris.link/p0B8762J&lt;/_url&gt;&lt;_volume&gt;403&lt;/_volume&gt;&lt;/Details&gt;&lt;Extra/&gt;&lt;/Item&gt;&lt;/References&gt;&lt;/Group&gt;&lt;Group&gt;&lt;References&gt;&lt;Item&gt;&lt;ID&gt;2689&lt;/ID&gt;&lt;UID&gt;{70645ECF-5190-4534-8F9A-6C6BD1C6FB50}&lt;/UID&gt;&lt;Title&gt;Global, regional and national burden of ischemic heart disease and its attributable risk factors from 1990 to 2021: a systematic analysis of the Global Burden of Disease study 2021&lt;/Title&gt;&lt;Template&gt;Journal Article&lt;/Template&gt;&lt;Star&gt;0&lt;/Star&gt;&lt;Tag&gt;0&lt;/Tag&gt;&lt;Author&gt;Yang, Leyuan; Zheng, Bo; Gong, Yanjun&lt;/Author&gt;&lt;Year&gt;2025&lt;/Year&gt;&lt;Details&gt;&lt;_accessed&gt;66402457&lt;/_accessed&gt;&lt;_accession_num&gt;40841929&lt;/_accession_num&gt;&lt;_author_adr&gt;Department of Cardiology, Peking University First Hospital, No.8 Xishiku Street,  Xicheng District, Beijing, 100034, China.; Department of Cardiology, Peking University First Hospital, No.8 Xishiku Street,  Xicheng District, Beijing, 100034, China.; Department of Cardiology, Peking University First Hospital, No.8 Xishiku Street,  Xicheng District, Beijing, 100034, China. gongyanjun@bjmu.edu.cn.&lt;/_author_adr&gt;&lt;_collection_scope&gt;SCIE&lt;/_collection_scope&gt;&lt;_created&gt;66401448&lt;/_created&gt;&lt;_date&gt;66078720&lt;/_date&gt;&lt;_date_display&gt;2025 Aug 21&lt;/_date_display&gt;&lt;_db_updated&gt;CrossRef&lt;/_db_updated&gt;&lt;_doi&gt;10.1186/s12872-025-05022-x&lt;/_doi&gt;&lt;_impact_factor&gt;   2.000&lt;/_impact_factor&gt;&lt;_isbn&gt;1471-2261&lt;/_isbn&gt;&lt;_issue&gt;1&lt;/_issue&gt;&lt;_journal&gt;BMC Cardiovascular Disorders&lt;/_journal&gt;&lt;_keywords&gt;Epidemiology; GBD 2021; Ischemic heart disease; Risk factors&lt;/_keywords&gt;&lt;_language&gt;eng&lt;/_language&gt;&lt;_modified&gt;66402457&lt;/_modified&gt;&lt;_number&gt;2&lt;/_number&gt;&lt;_ori_publication&gt;© 2025. The Author(s).&lt;/_ori_publication&gt;&lt;_pages&gt;625&lt;/_pages&gt;&lt;_social_category&gt;心脏和心血管系统(4)&lt;/_social_category&gt;&lt;_subject_headings&gt;Humans; Global Burden of Disease/trends; Male; Prevalence; Female; *Global Health; Middle Aged; *Myocardial Ischemia/mortality/epidemiology/diagnosis; Aged; Risk Assessment; Time Factors; Disability-Adjusted Life Years; Adult; Age Distribution; Sex Distribution; Aged, 80 and over; Age Factors; Young Adult; Sex Factors; Risk Factors; Prognosis; Adolescent&lt;/_subject_headings&gt;&lt;_tertiary_title&gt;BMC Cardiovasc Disord&lt;/_tertiary_title&gt;&lt;_type_work&gt;Journal Article&lt;/_type_work&gt;&lt;_url&gt;https://bmccardiovascdisord.biomedcentral.com/articles/10.1186/s12872-025-05022-x_x000d__x000a_https://link.springer.com/content/pdf/10.1186/s12872-025-05022-x.pdf&lt;/_url&gt;&lt;_volume&gt;25&lt;/_volume&gt;&lt;/Details&gt;&lt;Extra&gt;&lt;DBUID&gt;{0595FEED-06EC-4465-A92A-123F8040CA41}&lt;/DBUID&gt;&lt;/Extra&gt;&lt;/Item&gt;&lt;/References&gt;&lt;/Group&gt;&lt;/Citation&gt;_x000a_"/>
    <w:docVar w:name="NE.Ref{BCDC3751-C9C7-4CFC-ADC0-94FA023763CE}" w:val=" ADDIN NE.Ref.{BCDC3751-C9C7-4CFC-ADC0-94FA023763CE}&lt;Citation&gt;&lt;Group&gt;&lt;References&gt;&lt;Item&gt;&lt;ID&gt;2605&lt;/ID&gt;&lt;UID&gt;{602128EA-9321-441D-8A59-FA2E98E12A0B}&lt;/UID&gt;&lt;Title&gt;Stress hyperglycemia ratio predicts adverse outcomes in emergency department patients with upper gastrointestinal bleeding&lt;/Title&gt;&lt;Template&gt;Journal Article&lt;/Template&gt;&lt;Star&gt;0&lt;/Star&gt;&lt;Tag&gt;0&lt;/Tag&gt;&lt;Author&gt;Ou, Hao-Cho; An, Yu-Chin; Shih, Chang-Chih; Lai, Chung-Yu; Chiang, Hui-Hsun; Chien, Wu-Chien; Liao, Wen-I.; Tsai, Shih-Hung&lt;/Author&gt;&lt;Year&gt;2026&lt;/Year&gt;&lt;Details&gt;&lt;_accessed&gt;66401361&lt;/_accessed&gt;&lt;_accession_num&gt;41575963&lt;/_accession_num&gt;&lt;_author_adr&gt;Department of Emergency Medicine, Tri-Service General Hospital, National Defense  Medical University, Taipei, Taiwan.; Department of Emergency Medicine, Tri-Service General Hospital, National Defense  Medical University, Taipei, Taiwan.; Department of Emergency Medicine, Wei Gong Memorial Hospital, Miaoli County,  Taiwan.; Graduate Institute of Aerospace and Undersea Medicine, National Defense Medical  University, Taipei, Taiwan.; School of Nursing, National Defense Medical University, Taipei, Taiwan.; School of Public Health, National Defense Medical University, Taipei, Taiwan.; Department of Medical Research, Tri-Service General Hospital, National Defense  Medical University, Taipei, Taiwan.; Department of Emergency Medicine, Tri-Service General Hospital, National Defense  Medical University, Taipei, Taiwan.; Department of Emergency Medicine, Tri-Service General Hospital, National Defense  Medical University, Taipei, Taiwan.; Department of Physiology and Biophysics, Graduate Institute of Physiology,  National Defense Medical University, Taipei, Taiwan.; Taichung Armed Forces General Hospital, Taichung, Taiwan.&lt;/_author_adr&gt;&lt;_collection_scope&gt;SCIE&lt;/_collection_scope&gt;&lt;_created&gt;66401337&lt;/_created&gt;&lt;_date&gt;66301920&lt;/_date&gt;&lt;_date_display&gt;2026&lt;/_date_display&gt;&lt;_db_updated&gt;CrossRef&lt;/_db_updated&gt;&lt;_doi&gt;10.1371/journal.pone.0340450&lt;/_doi&gt;&lt;_impact_factor&gt;   2.900&lt;/_impact_factor&gt;&lt;_isbn&gt;1932-6203&lt;/_isbn&gt;&lt;_issue&gt;1&lt;/_issue&gt;&lt;_journal&gt;PLOS One&lt;/_journal&gt;&lt;_language&gt;eng&lt;/_language&gt;&lt;_modified&gt;66401436&lt;/_modified&gt;&lt;_number&gt;30&lt;/_number&gt;&lt;_ori_publication&gt;Copyright: © 2026 Ou et al. This is an open access article distributed under the _x000d__x000a_      terms of the Creative Commons Attribution License, which permits unrestricted _x000d__x000a_      use, distribution, and reproduction in any medium, provided the original author _x000d__x000a_      and source are credited.&lt;/_ori_publication&gt;&lt;_pages&gt;e0340450&lt;/_pages&gt;&lt;_social_category&gt;综合性期刊(3)&lt;/_social_category&gt;&lt;_subject_headings&gt;Humans; *Gastrointestinal Hemorrhage/complications/blood/mortality/therapy; Female; Male; Middle Aged; *Hyperglycemia/complications/blood; Retrospective Studies; *Emergency Service, Hospital; Aged; Blood Glucose/analysis; Adult; *Stress, Physiological; Hospital Mortality; Intensive Care Units; ROC Curve; Blood Transfusion; Prognosis&lt;/_subject_headings&gt;&lt;_tertiary_title&gt;PLoS One&lt;/_tertiary_title&gt;&lt;_type_work&gt;Journal Article&lt;/_type_work&gt;&lt;_url&gt;https://dx.plos.org/10.1371/journal.pone.0340450_x000d__x000a_https://dx.plos.org/10.1371/journal.pone.0340450&lt;/_url&gt;&lt;_volume&gt;21&lt;/_volume&gt;&lt;/Details&gt;&lt;Extra&gt;&lt;DBUID&gt;{0595FEED-06EC-4465-A92A-123F8040CA41}&lt;/DBUID&gt;&lt;/Extra&gt;&lt;/Item&gt;&lt;/References&gt;&lt;/Group&gt;&lt;/Citation&gt;_x000a_"/>
    <w:docVar w:name="NE.Ref{C14A7337-9A22-40F4-9C21-89D641AB0056}" w:val=" ADDIN NE.Ref.{C14A7337-9A22-40F4-9C21-89D641AB0056}&lt;Citation&gt;&lt;Group&gt;&lt;References&gt;&lt;Item&gt;&lt;ID&gt;2591&lt;/ID&gt;&lt;UID&gt;{82E4ACA1-3433-4CF4-8777-9F8D15B161FA}&lt;/UID&gt;&lt;Title&gt;The stress hyperglycemia ratio is associated with the development of cerebral edema and poor functional outcome in patients with acute cerebral infarction&lt;/Title&gt;&lt;Template/&gt;&lt;Star&gt;0&lt;/Star&gt;&lt;Tag&gt;0&lt;/Tag&gt;&lt;Author/&gt;&lt;Year&gt;0&lt;/Year&gt;&lt;Details&gt;&lt;_accessed&gt;66401434&lt;/_accessed&gt;&lt;_created&gt;66401323&lt;/_created&gt;&lt;_db_updated&gt;CrossRef&lt;/_db_updated&gt;&lt;_modified&gt;66401436&lt;/_modified&gt;&lt;_number&gt;20&lt;/_number&gt;&lt;/Details&gt;&lt;Extra&gt;&lt;DBUID&gt;{0595FEED-06EC-4465-A92A-123F8040CA41}&lt;/DBUID&gt;&lt;/Extra&gt;&lt;/Item&gt;&lt;/References&gt;&lt;/Group&gt;&lt;/Citation&gt;_x000a_"/>
    <w:docVar w:name="NE.Ref{C5EEF4AE-A0B9-40EC-B4F0-35A0AB9CE7D9}" w:val=" ADDIN NE.Ref.{C5EEF4AE-A0B9-40EC-B4F0-35A0AB9CE7D9}&lt;Citation&gt;&lt;Group&gt;&lt;References&gt;&lt;Item&gt;&lt;ID&gt;2710&lt;/ID&gt;&lt;UID&gt;{3C1E5869-8B82-44D4-BFDC-928165B7166D}&lt;/UID&gt;&lt;Title&gt;Stress hyperglycemia ratio as a prognostic indicator for long-term adverse outcomes in heart failure with preserved ejection fraction&lt;/Title&gt;&lt;Template&gt;Journal Article&lt;/Template&gt;&lt;Star&gt;0&lt;/Star&gt;&lt;Tag&gt;0&lt;/Tag&gt;&lt;Author&gt;Mohammed, Abdul-Quddus; Luo, Yongqiang; Wang, Kaitao; Su, Yang; Liu, Lu; Yin, Guoqing; Zhang, Wen; Alifu, J Jiasuer.; Mareai, Redhwan M; Mohammed, Ayman A; Xu, Yawei; Abdu, Fuad A; Che, Wenliang&lt;/Author&gt;&lt;Year&gt;2024&lt;/Year&gt;&lt;Details&gt;&lt;_accessed&gt;66402458&lt;/_accessed&gt;&lt;_accession_num&gt;38350936&lt;/_accession_num&gt;&lt;_author_adr&gt;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Department of Cardiology, Shanghai Tenth People&amp;apos;s Hospital, Tongji University  School of Medicine, 301 Yanchang Road, Shanghai, 200072, China.  1691026@tongji.edu.cn.; Department of Cardiology, Shanghai Tenth People&amp;apos;s Hospital, Tongji University  School of Medicine, 301 Yanchang Road, Shanghai, 200072, China.  chewenliang@tongji.edu.cn.; Department of Cardiology, Shanghai Tenth People&amp;apos;s Hospital Chongming branch,  Shanghai, China. chewenliang@tongji.edu.cn.&lt;/_author_adr&gt;&lt;_collection_scope&gt;SCIE&lt;/_collection_scope&gt;&lt;_created&gt;66401456&lt;/_created&gt;&lt;_date&gt;65279520&lt;/_date&gt;&lt;_date_display&gt;2024 Feb 13&lt;/_date_display&gt;&lt;_db_updated&gt;CrossRef&lt;/_db_updated&gt;&lt;_doi&gt;10.1186/s12933-024-02157-7&lt;/_doi&gt;&lt;_impact_factor&gt;   8.500&lt;/_impact_factor&gt;&lt;_isbn&gt;1475-2840&lt;/_isbn&gt;&lt;_issue&gt;1&lt;/_issue&gt;&lt;_journal&gt;Cardiovascular Diabetology&lt;/_journal&gt;&lt;_keywords&gt;Clinical outcomes; Heart failure with preserved ejection fraction; Stress hyperglycemia ratio&lt;/_keywords&gt;&lt;_language&gt;eng&lt;/_language&gt;&lt;_modified&gt;66402458&lt;/_modified&gt;&lt;_number&gt;19&lt;/_number&gt;&lt;_ori_publication&gt;© 2024. The Author(s).&lt;/_ori_publication&gt;&lt;_pages&gt;67&lt;/_pages&gt;&lt;_social_category&gt;内分泌学与代谢(1) &amp;amp; 心脏和心血管系统(2)&lt;/_social_category&gt;&lt;_subject_headings&gt;Humans; Prognosis; Stroke Volume; Biomarkers; *Heart Failure; *Hyperglycemia/diagnosis; Natriuretic Peptide, Brain; Peptide Fragments&lt;/_subject_headings&gt;&lt;_tertiary_title&gt;Cardiovasc Diabetol&lt;/_tertiary_title&gt;&lt;_type_work&gt;Journal Article; Research Support, Non-U.S. Gov&amp;apos;t&lt;/_type_work&gt;&lt;_url&gt;https://cardiab.biomedcentral.com/articles/10.1186/s12933-024-02157-7_x000d__x000a_https://link.springer.com/content/pdf/10.1186/s12933-024-02157-7.pdf&lt;/_url&gt;&lt;_volume&gt;23&lt;/_volume&gt;&lt;/Details&gt;&lt;Extra&gt;&lt;DBUID&gt;{0595FEED-06EC-4465-A92A-123F8040CA41}&lt;/DBUID&gt;&lt;/Extra&gt;&lt;/Item&gt;&lt;/References&gt;&lt;/Group&gt;&lt;Group&gt;&lt;References&gt;&lt;Item&gt;&lt;ID&gt;2711&lt;/ID&gt;&lt;UID&gt;{C017CB62-FEA4-4CF1-A05C-FE5A084B028C}&lt;/UID&gt;&lt;Title&gt;The stress hyperglycemia ratio is associated with the development of cerebral edema and poor functional outcome in patients with acute cerebral infarction&lt;/Title&gt;&lt;Template&gt;Journal Article&lt;/Template&gt;&lt;Star&gt;0&lt;/Star&gt;&lt;Tag&gt;0&lt;/Tag&gt;&lt;Author&gt;Deng, Yilun; Wu, Simiao; Liu, Junfeng; Liu, Meng; Wang, Lu; Wan, JinCheng; Zhang, Shihong; Liu, Ming&lt;/Author&gt;&lt;Year&gt;2022&lt;/Year&gt;&lt;Details&gt;&lt;_accessed&gt;66402458&lt;/_accessed&gt;&lt;_accession_num&gt;36118702&lt;/_accession_num&gt;&lt;_author_adr&gt;Department of Neurology, West China Hospital, Sichuan University, Chengdu, China.; Department of Neurology, West China Hospital, Sichuan University, Chengdu, China.; Department of Neurology, West China Hospital, Sichuan University, Chengdu, China.; Department of Neurology, West China Hospital, Sichuan University, Chengdu, China.; Department of Rehabilitation Medicine, West China Hospital, Sichuan University,  Chengdu, China.; Key Laboratory of Rehabilitation Medicine, West China Hospital, Sichuan  University, Chengdu, China.; Department of Neurology, West China Hospital, Sichuan University, Chengdu, China.; Department of Neurology, West China Hospital, Sichuan University, Chengdu, China.; Department of Neurology, West China Hospital, Sichuan University, Chengdu, China.&lt;/_author_adr&gt;&lt;_collection_scope&gt;SCIE&lt;/_collection_scope&gt;&lt;_created&gt;66401457&lt;/_created&gt;&lt;_date&gt;64516320&lt;/_date&gt;&lt;_date_display&gt;2022&lt;/_date_display&gt;&lt;_db_updated&gt;CrossRef&lt;/_db_updated&gt;&lt;_doi&gt;10.3389/fnagi.2022.936862&lt;/_doi&gt;&lt;_impact_factor&gt;   4.100&lt;/_impact_factor&gt;&lt;_isbn&gt;1663-4365&lt;/_isbn&gt;&lt;_journal&gt;Frontiers in Aging Neuroscience&lt;/_journal&gt;&lt;_keywords&gt;cerebral edema; death; functional outcome; glucose; stress hyperglycemia ratio&lt;/_keywords&gt;&lt;_language&gt;eng&lt;/_language&gt;&lt;_modified&gt;66402458&lt;/_modified&gt;&lt;_number&gt;20&lt;/_number&gt;&lt;_ori_publication&gt;Copyright © 2022 Deng, Wu, Liu, Liu, Wang, Wan, Zhang and Liu.&lt;/_ori_publication&gt;&lt;_pages&gt;936862&lt;/_pages&gt;&lt;_social_category&gt;老年医学(3) &amp;amp; 神经科学(3)&lt;/_social_category&gt;&lt;_tertiary_title&gt;Front. Aging Neurosci.&lt;/_tertiary_title&gt;&lt;_type_work&gt;Journal Article&lt;/_type_work&gt;&lt;_url&gt;https://www.frontiersin.org/articles/10.3389/fnagi.2022.936862/full_x000d__x000a_https://www.frontiersin.org/articles/10.3389/fnagi.2022.936862/full&lt;/_url&gt;&lt;_volume&gt;14&lt;/_volume&gt;&lt;/Details&gt;&lt;Extra&gt;&lt;DBUID&gt;{0595FEED-06EC-4465-A92A-123F8040CA41}&lt;/DBUID&gt;&lt;/Extra&gt;&lt;/Item&gt;&lt;/References&gt;&lt;/Group&gt;&lt;/Citation&gt;_x000a_"/>
    <w:docVar w:name="NE.Ref{C6689CED-18D5-45E3-97D8-4BEEBD24BD37}" w:val=" ADDIN NE.Ref.{C6689CED-18D5-45E3-97D8-4BEEBD24BD37}&lt;Citation&gt;&lt;Group&gt;&lt;References&gt;&lt;Item&gt;&lt;ID&gt;2691&lt;/ID&gt;&lt;UID&gt;{097295E6-84F4-4A18-A52F-03B69764BCF3}&lt;/UID&gt;&lt;Title&gt;2019 ESC Guidelines for the diagnosis and management of chronic coronary syndromes&lt;/Title&gt;&lt;Template&gt;Journal Article&lt;/Template&gt;&lt;Star&gt;0&lt;/Star&gt;&lt;Tag&gt;0&lt;/Tag&gt;&lt;Author&gt;Knuuti, Juhani; Wijns, William; Saraste, Antti; Capodanno, Davide; Barbato, Emanuele; Funck-Brentano, Christian; Prescott, Eva; Storey, Robert F; Deaton, Christi; Cuisset, Thomas; Agewall, Stefan; Dickstein, Kenneth; Edvardsen, Thor; Escaned, Javier; Gersh, Bernard J; Svitil, Pavel; Gilard, Martine; Hasdai, David; Hatala, Robert; Mahfoud, Felix; Masip, Josep; Muneretto, Claudio; Valgimigli, Marco; Achenbach, Stephan; Bax, Jeroen J; Neumann, Franz-Josef; Sechtem, Udo; Banning, Adrian Paul; Bonaros, Nikolaos; Bueno, Héctor; Bugiardini, Raffaele; Chieffo, Alaide; Crea, Filippo; Czerny, Martin; Delgado, Victoria; Dendale, Paul; Flachskampf, Frank Arnold; Gohlke, Helmut; Grove, Erik Lerkevang; James, Stefan; Katritsis, Demosthenes; Landmesser, Ulf; Lettino, Maddalena; Matter, Christian M; Nathoe, Hendrik; Niessner, Alexander; Patrono, Carlo; Petronio, Anna Sonia; Pettersen, Steffen E; Piccolo, Raffaele; Piepoli, Massimo Francesco; Popescu, Bogdan A; Räber, Lorenz; Richter, Dimitrios J; Roffi, Marco; Roithinger, Franz X; Shlyakhto, Evgeny; Sibbing, Dirk; Silber, Sigmund; Simpson, Iain A; Sousa-Uva, Miguel; Vardas, Panos; Witkowski, Adam; Zamorano, Jose Luis; Achenbach, Stephan; Agewall, Stefan; Barbato, Emanuele; Bax, Jeroen J; Capodanno, Davide; Cuisset, Thomas; Deaton, Christi; Dickstein, Kenneth; Edvardsen, Thor; Escaned, Javier; Funck-Brentano, Christian; Gersh, Bernard J; Gilard, Martine; Hasdai, David; Hatala, Robert; Mahfoud, Felix; Masip, Josep; Muneretto, Claudio; Prescott, Eva; Saraste, Antti; Storey, Robert F; Svitil, Pavel; Valgimigli, Marco; Windecker, Stephan; Aboyans, Victor; Baigent, Colin; Collet, Jean-Philippe; Dean, Veronica; Delgado, Victoria; Fitzsimons, Donna; Gale, Christopher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Benkhedda, Salim; Metzler, Bernhard; Sujayeva, Volha; Cosyns, Bernard; Kusljugic, Zumreta; Velchev, Vasil; Panayi, Georgios; Kala, Petr; Haahr-Pedersen, Sune Ammentorp; Kabil, Hamza; Ainla, Tiia; Kaukonen, Tomi; Cayla, Guillaume; Pagava, Zurab; Woehrle, Jochen; Kanakakis, John; Tóth, Kálmán; Gudnason, Thorarinn; Peace, Aaron; Aronson, Doron; Riccio, Carmine; Elezi, Shpend; Mirrakhimov, Erkin; Hansone, Silvija; Sarkis, Antoine; Babarskiene, Ruta; Beissel, Jean; Maempel, Andrew J Cassar; Revenco, Valeriu; de Grooth, G J; Pejkov, Hristo; Juliebø, Vibeke; Lipiec, Piotr; Santos, José; Chioncel, Ovidiu; Duplyakov, Dmitry; Bertelli, Luca; Dikic, Ana Djordjevic; Studenčan, Martin; Bunc, Matjaz; Alfonso, Fernando; Bäck, Magnus; Zellweger, Michael; Addad, Faouzi; Yildirir, Aylin; Sirenko, Yuriy; Clapp, Brian&lt;/Author&gt;&lt;Year&gt;2020&lt;/Year&gt;&lt;Details&gt;&lt;_accessed&gt;66402457&lt;/_accessed&gt;&lt;_accession_num&gt;31504439&lt;/_accession_num&gt;&lt;_collection_scope&gt;SCIE&lt;/_collection_scope&gt;&lt;_created&gt;66401449&lt;/_created&gt;&lt;_date&gt;63132480&lt;/_date&gt;&lt;_date_display&gt;2020 Jan 14&lt;/_date_display&gt;&lt;_db_updated&gt;CrossRef&lt;/_db_updated&gt;&lt;_doi&gt;10.1093/eurheartj/ehz425&lt;/_doi&gt;&lt;_impact_factor&gt;  38.100&lt;/_impact_factor&gt;&lt;_isbn&gt;0195-668X&lt;/_isbn&gt;&lt;_issue&gt;3&lt;/_issue&gt;&lt;_journal&gt;European Heart Journal&lt;/_journal&gt;&lt;_keywords&gt;Guidelines; angina pectoris; anti-ischaemic drugs; antithrombotic therapy; chronic coronary syndromes; coronary artery disease; diagnostic testing; imaging; lifestyle modifications; lipid-lowering drugs; microvascular angina; myocardial ischaemia; myocardial revascularization; risk assessment; screening; vasospastic angina&lt;/_keywords&gt;&lt;_language&gt;eng&lt;/_language&gt;&lt;_modified&gt;66402457&lt;/_modified&gt;&lt;_number&gt;4&lt;/_number&gt;&lt;_pages&gt;407-477&lt;/_pages&gt;&lt;_social_category&gt;心脏和心血管系统(1)&lt;/_social_category&gt;&lt;_subject_headings&gt;*Cardiology; Chronic Disease; Coronary Artery Disease/*diagnosis/therapy; *Diagnostic Techniques, Cardiovascular; *Disease Management; Europe; Humans; *Societies, Medical; Syndrome&lt;/_subject_headings&gt;&lt;_tertiary_title&gt;European heart journal&lt;/_tertiary_title&gt;&lt;_type_work&gt;Journal Article; Practice Guideline&lt;/_type_work&gt;&lt;_url&gt;https://academic.oup.com/eurheartj/article/41/3/407/5556137_x000d__x000a_http://academic.oup.com/eurheartj/article-pdf/41/3/407/32651471/ehz425.pdf&lt;/_url&gt;&lt;_volume&gt;41&lt;/_volume&gt;&lt;/Details&gt;&lt;Extra&gt;&lt;DBUID&gt;{0595FEED-06EC-4465-A92A-123F8040CA41}&lt;/DBUID&gt;&lt;/Extra&gt;&lt;/Item&gt;&lt;/References&gt;&lt;/Group&gt;&lt;Group&gt;&lt;References&gt;&lt;Item&gt;&lt;ID&gt;2751&lt;/ID&gt;&lt;UID&gt;{EE5F783F-F3E8-4B89-8817-D47A5F5EE163}&lt;/UID&gt;&lt;Title&gt;Fourth Universal Definition of Myocardial Infarction (2018)&lt;/Title&gt;&lt;Template&gt;Journal Article&lt;/Template&gt;&lt;Star&gt;0&lt;/Star&gt;&lt;Tag&gt;0&lt;/Tag&gt;&lt;Author&gt;Thygesen, Kristian; Alpert, Joseph S; Jaffe, Allan S; Chaitman, Bernard R; Bax, Jeroen J; Morrow, David A; White, Harvey D&lt;/Author&gt;&lt;Year&gt;2018&lt;/Year&gt;&lt;Details&gt;&lt;_accessed&gt;66402462&lt;/_accessed&gt;&lt;_accession_num&gt;30153967&lt;/_accession_num&gt;&lt;_collection_scope&gt;SCIE&lt;/_collection_scope&gt;&lt;_created&gt;66402454&lt;/_created&gt;&lt;_date&gt;2018-10-30&lt;/_date&gt;&lt;_date_display&gt;2018 Oct 30&lt;/_date_display&gt;&lt;_db_updated&gt;CrossRef&lt;/_db_updated&gt;&lt;_doi&gt;10.1016/j.jacc.2018.08.1038&lt;/_doi&gt;&lt;_impact_factor&gt;  21.700&lt;/_impact_factor&gt;&lt;_isbn&gt;07351097&lt;/_isbn&gt;&lt;_issue&gt;18&lt;/_issue&gt;&lt;_journal&gt;Journal of the American College of Cardiology&lt;/_journal&gt;&lt;_keywords&gt;Expert Consensus Document; Takotsubo syndrome; cardiac procedural myocardial injury; cardiac troponin; high sensitivity cardiac troponin; myocardial infarction; myocardial infarction with non-obstructive coronary arteries (MINOCA); myocardial injury; prior myocardial infarction; re-infarction; recurrent myocardial infarction; silent myocardial infarction; type 1 MI; type 2 MI; type 3 MI; type 4a MI; type 4b MI; type 4c MI; type 5 MI&lt;/_keywords&gt;&lt;_language&gt;eng&lt;/_language&gt;&lt;_modified&gt;66402462&lt;/_modified&gt;&lt;_number&gt;56&lt;/_number&gt;&lt;_pages&gt;2231-2264&lt;/_pages&gt;&lt;_social_category&gt;心脏和心血管系统(1)&lt;/_social_category&gt;&lt;_subject_headings&gt;Biomarkers/blood; Cardiology/*standards/trends; Humans; Myocardial Infarction/blood/*diagnostic imaging/*surgery; Percutaneous Coronary Intervention/adverse effects/trends&lt;/_subject_headings&gt;&lt;_tertiary_title&gt;Journal of the American College of Cardiology&lt;/_tertiary_title&gt;&lt;_type_work&gt;Journal Article; Review&lt;/_type_work&gt;&lt;_url&gt;https://linkinghub.elsevier.com/retrieve/pii/S0735109718369419_x000d__x000a_https://api.elsevier.com/content/article/PII:S0735109718369419?httpAccept=text/xml&lt;/_url&gt;&lt;_volume&gt;72&lt;/_volume&gt;&lt;/Details&gt;&lt;Extra&gt;&lt;DBUID&gt;{0595FEED-06EC-4465-A92A-123F8040CA41}&lt;/DBUID&gt;&lt;/Extra&gt;&lt;/Item&gt;&lt;/References&gt;&lt;/Group&gt;&lt;/Citation&gt;_x000a_"/>
    <w:docVar w:name="NE.Ref{C6CF7DEF-2CBD-47A1-8B64-DCE1B25670AC}" w:val=" ADDIN NE.Ref.{C6CF7DEF-2CBD-47A1-8B64-DCE1B25670AC}&lt;Citation&gt;&lt;Group&gt;&lt;References&gt;&lt;Item&gt;&lt;ID&gt;2705&lt;/ID&gt;&lt;UID&gt;{FAC6AB9F-CDB0-4751-92E4-B2ED6A2DFAA5}&lt;/UID&gt;&lt;Title&gt;Relative Hyperglycemia, a Marker of Critical Illness: Introducing the Stress Hyperglycemia Ratio&lt;/Title&gt;&lt;Template&gt;Journal Article&lt;/Template&gt;&lt;Star&gt;0&lt;/Star&gt;&lt;Tag&gt;0&lt;/Tag&gt;&lt;Author&gt;Roberts, Gregory W; Quinn, Stephen J; Valentine, Nyoli; Alhawassi, Tariq; O&amp;apos;Dea, Hazel; Stranks, Stephen N; Burt, Morton G; Doogue, Matthew P&lt;/Author&gt;&lt;Year&gt;2015&lt;/Year&gt;&lt;Details&gt;&lt;_accessed&gt;66402458&lt;/_accessed&gt;&lt;_accession_num&gt;26485219&lt;/_accession_num&gt;&lt;_author_adr&gt;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lt;/_author_adr&gt;&lt;_collection_scope&gt;SCIE&lt;/_collection_scope&gt;&lt;_created&gt;66401455&lt;/_created&gt;&lt;_date&gt;60965280&lt;/_date&gt;&lt;_date_display&gt;2015 Dec&lt;/_date_display&gt;&lt;_db_updated&gt;CrossRef&lt;/_db_updated&gt;&lt;_doi&gt;10.1210/jc.2015-2660&lt;/_doi&gt;&lt;_impact_factor&gt;   5.000&lt;/_impact_factor&gt;&lt;_isbn&gt;0021-972X&lt;/_isbn&gt;&lt;_issue&gt;12&lt;/_issue&gt;&lt;_journal&gt;The Journal of Clinical Endocrinology &amp;amp; Metabolism&lt;/_journal&gt;&lt;_language&gt;eng&lt;/_language&gt;&lt;_modified&gt;66402458&lt;/_modified&gt;&lt;_number&gt;14&lt;/_number&gt;&lt;_pages&gt;4490-4497&lt;/_pages&gt;&lt;_social_category&gt;内分泌学与代谢(2)&lt;/_social_category&gt;&lt;_subject_headings&gt;Adult; Australia/epidemiology; Biomarkers/*blood; Blood Glucose/metabolism; Cohort Studies; Critical Care; Critical Illness/*mortality; Female; Glycated Hemoglobin/analysis; Hospital Mortality; Hospitalization; Humans; Hyperglycemia/*blood; Male; Middle Aged; *Stress, Physiological&lt;/_subject_headings&gt;&lt;_tertiary_title&gt;The Journal of clinical endocrinology and metabolism&lt;/_tertiary_title&gt;&lt;_type_work&gt;Journal Article; Observational Study; Research Support, Non-U.S. Gov&amp;apos;t&lt;/_type_work&gt;&lt;_url&gt;https://academic.oup.com/jcem/article/100/12/4490/2536331_x000d__x000a_http://academic.oup.com/jcem/article-pdf/100/12/4490/10421980/jcem4490.pdf&lt;/_url&gt;&lt;_volume&gt;100&lt;/_volume&gt;&lt;/Details&gt;&lt;Extra&gt;&lt;DBUID&gt;{0595FEED-06EC-4465-A92A-123F8040CA41}&lt;/DBUID&gt;&lt;/Extra&gt;&lt;/Item&gt;&lt;/References&gt;&lt;/Group&gt;&lt;/Citation&gt;_x000a_"/>
    <w:docVar w:name="NE.Ref{CA0D7BF7-5C76-4595-BF3F-C1A8A49528A5}" w:val=" ADDIN NE.Ref.{CA0D7BF7-5C76-4595-BF3F-C1A8A49528A5}&lt;Citation&gt;&lt;Group&gt;&lt;References&gt;&lt;Item&gt;&lt;ID&gt;2690&lt;/ID&gt;&lt;UID&gt;{1AE34340-164C-4B7D-986A-B55DA8BC80DA}&lt;/UID&gt;&lt;Title&gt;Glucose homeostasis, nutrition and infections during critical illness&lt;/Title&gt;&lt;Template&gt;Journal Article&lt;/Template&gt;&lt;Star&gt;0&lt;/Star&gt;&lt;Tag&gt;0&lt;/Tag&gt;&lt;Author&gt;Ingels, C; Vanhorebeek, I; Van den Berghe, G&lt;/Author&gt;&lt;Year&gt;2018&lt;/Year&gt;&lt;Details&gt;&lt;_accessed&gt;66402457&lt;/_accessed&gt;&lt;_accession_num&gt;28082192&lt;/_accession_num&gt;&lt;_author_adr&gt;Clinical Department and Laboratory of Intensive Care Medicine, Division Cellular  and Molecular Medicine, KU Leuven, Belgium.; Clinical Department and Laboratory of Intensive Care Medicine, Division Cellular  and Molecular Medicine, KU Leuven, Belgium.; Clinical Department and Laboratory of Intensive Care Medicine, Division Cellular  and Molecular Medicine, KU Leuven, Belgium. Electronic address:  greet.vendenberghe@kuleuven.be.&lt;/_author_adr&gt;&lt;_collection_scope&gt;SCIE&lt;/_collection_scope&gt;&lt;_created&gt;66401449&lt;/_created&gt;&lt;_date&gt;2018-01-01&lt;/_date&gt;&lt;_date_display&gt;2018 Jan&lt;/_date_display&gt;&lt;_db_updated&gt;CrossRef&lt;/_db_updated&gt;&lt;_doi&gt;10.1016/j.cmi.2016.12.033&lt;/_doi&gt;&lt;_impact_factor&gt;  10.900&lt;/_impact_factor&gt;&lt;_isbn&gt;1198743X&lt;/_isbn&gt;&lt;_issue&gt;1&lt;/_issue&gt;&lt;_journal&gt;Clinical Microbiology and Infection&lt;/_journal&gt;&lt;_keywords&gt;Critical illness; Early macronutrient restriction; Endocrine alterations; Glucose homeostasis; Nutrition&lt;/_keywords&gt;&lt;_language&gt;eng&lt;/_language&gt;&lt;_modified&gt;66402457&lt;/_modified&gt;&lt;_number&gt;3&lt;/_number&gt;&lt;_ori_publication&gt;Copyright © 2017 European Society of Clinical Microbiology and Infectious _x000d__x000a_      Diseases. Published by Elsevier Ltd. All rights reserved.&lt;/_ori_publication&gt;&lt;_pages&gt;10-15&lt;/_pages&gt;&lt;_social_category&gt;传染病学(1) &amp;amp; 微生物学(2)&lt;/_social_category&gt;&lt;_subject_headings&gt;Blood Glucose/analysis; Critical Care/*methods; Critical Illness/mortality; Cross Infection/*prevention &amp;amp; control; Humans; Hyperglycemia/*drug therapy/mortality/*prevention &amp;amp; control; Hypoglycemic Agents/*therapeutic use; Insulin/*therapeutic use; Intensive Care Units; Macrophages/pathology; Parenteral Nutrition/statistics &amp;amp; numerical data; Phagocytosis/immunology; Respiratory Burst/physiology&lt;/_subject_headings&gt;&lt;_tertiary_title&gt;Clinical Microbiology and Infection&lt;/_tertiary_title&gt;&lt;_type_work&gt;Journal Article; Review&lt;/_type_work&gt;&lt;_url&gt;https://linkinghub.elsevier.com/retrieve/pii/S1198743X17300046_x000d__x000a_https://api.elsevier.com/content/article/PII:S1198743X17300046?httpAccept=text/xml&lt;/_url&gt;&lt;_volume&gt;24&lt;/_volume&gt;&lt;/Details&gt;&lt;Extra&gt;&lt;DBUID&gt;{0595FEED-06EC-4465-A92A-123F8040CA41}&lt;/DBUID&gt;&lt;/Extra&gt;&lt;/Item&gt;&lt;/References&gt;&lt;/Group&gt;&lt;/Citation&gt;_x000a_"/>
    <w:docVar w:name="NE.Ref{CBC90600-8773-4986-981F-A91F6CCF585D}" w:val=" ADDIN NE.Ref.{CBC90600-8773-4986-981F-A91F6CCF585D}&lt;Citation&gt;&lt;Group&gt;&lt;References&gt;&lt;Item&gt;&lt;ID&gt;2601&lt;/ID&gt;&lt;UID&gt;{DB9FF09B-8AF9-41E7-B116-9C35663C9E63}&lt;/UID&gt;&lt;Title&gt;Association of stress hyperglycemia ratio and in-hospital mortality in patients with coronary artery disease: insights from a large cohort study&lt;/Title&gt;&lt;Template&gt;Journal Article&lt;/Template&gt;&lt;Star&gt;0&lt;/Star&gt;&lt;Tag&gt;0&lt;/Tag&gt;&lt;Author&gt;Xu, Wei; Song, Qirui; Wang, Xiang; Zhao, Zinan; Meng, Xuyang; Xia, Chenxi; Xie, Yibo; Yang, Chenguang; Guo, Ying; Zhang, Yatong; Wang, Fang&lt;/Author&gt;&lt;Year&gt;2022&lt;/Year&gt;&lt;Details&gt;&lt;_accessed&gt;66401361&lt;/_accessed&gt;&lt;_accession_num&gt;36261839&lt;/_accession_num&gt;&lt;_author_adr&gt;Emergency Center, State Key Laboratory of Cardiovascular Disease of China,  National Center for Cardiovascular Diseases, National Clinical Research Center of  Cardiovascular Diseases, Fuwai Hospital, Chinese Academy of Medical Sciences and  Peking Union Medical College, 100037, Beijing, China.; Hypertension Center, State Key Laboratory of Cardiovascular Disease of China,  National Center for Cardiovascular Diseases of China, Fuwai Hospital, Chinese  Academy of Medical Sciences, Peking Union Medical College, 100037,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Cardiology, Beijing Hospital, National Center of Gerontology,  Institute of Geriatric Medicine, Chinese Academy of Medical Sciences, Beijing,  China.; Department of Information Center,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750826140@qq.com.; Department of Cardiology, Beijing Hospital, National Center of Gerontology,  Institute of Geriatric Medicine, Chinese Academy of Medical Sciences, Beijing,  China. bjh_wangfang@163.com.; Graduate School of Peking Union Medical College, Chinese Academy of Medical  Sciences, Beijing, China. bjh_wangfang@163.com.&lt;/_author_adr&gt;&lt;_collection_scope&gt;SCIE&lt;/_collection_scope&gt;&lt;_created&gt;66401335&lt;/_created&gt;&lt;_date&gt;64585440&lt;/_date&gt;&lt;_date_display&gt;2022 Oct 19&lt;/_date_display&gt;&lt;_db_updated&gt;CrossRef&lt;/_db_updated&gt;&lt;_doi&gt;10.1186/s12933-022-01645-y&lt;/_doi&gt;&lt;_impact_factor&gt;   8.500&lt;/_impact_factor&gt;&lt;_isbn&gt;1475-2840&lt;/_isbn&gt;&lt;_issue&gt;1&lt;/_issue&gt;&lt;_journal&gt;Cardiovascular Diabetology&lt;/_journal&gt;&lt;_keywords&gt;Coronary artery disease; Diabetes; Mortality; Stress hyperglycemia; Stress hyperglycemia ratio&lt;/_keywords&gt;&lt;_language&gt;eng&lt;/_language&gt;&lt;_modified&gt;66401377&lt;/_modified&gt;&lt;_ori_publication&gt;© 2022. The Author(s).&lt;/_ori_publication&gt;&lt;_pages&gt;217&lt;/_pages&gt;&lt;_social_category&gt;内分泌学与代谢(1) &amp;amp; 心脏和心血管系统(2)&lt;/_social_category&gt;&lt;_subject_headings&gt;Humans; Blood Glucose; Glycated Hemoglobin/analysis; *Coronary Artery Disease; Hospital Mortality; Cohort Studies; *Hyperglycemia; *Diabetes Mellitus; *Acute Coronary Syndrome&lt;/_subject_headings&gt;&lt;_tertiary_title&gt;Cardiovasc Diabetol&lt;/_tertiary_title&gt;&lt;_type_work&gt;Journal Article; Research Support, Non-U.S. Gov&amp;apos;t&lt;/_type_work&gt;&lt;_url&gt;https://cardiab.biomedcentral.com/articles/10.1186/s12933-022-01645-y_x000d__x000a_https://link.springer.com/content/pdf/10.1186/s12933-022-01645-y.pdf&lt;/_url&gt;&lt;_volume&gt;21&lt;/_volume&gt;&lt;/Details&gt;&lt;Extra&gt;&lt;DBUID&gt;{0595FEED-06EC-4465-A92A-123F8040CA41}&lt;/DBUID&gt;&lt;/Extra&gt;&lt;/Item&gt;&lt;/References&gt;&lt;/Group&gt;&lt;/Citation&gt;_x000a_"/>
    <w:docVar w:name="NE.Ref{CD24B95A-B073-4469-8C65-316A1A6D8947}" w:val=" ADDIN NE.Ref.{CD24B95A-B073-4469-8C65-316A1A6D8947}&lt;Citation&gt;&lt;Group&gt;&lt;References&gt;&lt;Item&gt;&lt;ID&gt;2691&lt;/ID&gt;&lt;UID&gt;{097295E6-84F4-4A18-A52F-03B69764BCF3}&lt;/UID&gt;&lt;Title&gt;2019 ESC Guidelines for the diagnosis and management of chronic coronary syndromes&lt;/Title&gt;&lt;Template&gt;Journal Article&lt;/Template&gt;&lt;Star&gt;0&lt;/Star&gt;&lt;Tag&gt;0&lt;/Tag&gt;&lt;Author&gt;Knuuti, Juhani; Wijns, William; Saraste, Antti; Capodanno, Davide; Barbato, Emanuele; Funck-Brentano, Christian; Prescott, Eva; Storey, Robert F; Deaton, Christi; Cuisset, Thomas; Agewall, Stefan; Dickstein, Kenneth; Edvardsen, Thor; Escaned, Javier; Gersh, Bernard J; Svitil, Pavel; Gilard, Martine; Hasdai, David; Hatala, Robert; Mahfoud, Felix; Masip, Josep; Muneretto, Claudio; Valgimigli, Marco; Achenbach, Stephan; Bax, Jeroen J; Neumann, Franz-Josef; Sechtem, Udo; Banning, Adrian Paul; Bonaros, Nikolaos; Bueno, Héctor; Bugiardini, Raffaele; Chieffo, Alaide; Crea, Filippo; Czerny, Martin; Delgado, Victoria; Dendale, Paul; Flachskampf, Frank Arnold; Gohlke, Helmut; Grove, Erik Lerkevang; James, Stefan; Katritsis, Demosthenes; Landmesser, Ulf; Lettino, Maddalena; Matter, Christian M; Nathoe, Hendrik; Niessner, Alexander; Patrono, Carlo; Petronio, Anna Sonia; Pettersen, Steffen E; Piccolo, Raffaele; Piepoli, Massimo Francesco; Popescu, Bogdan A; Räber, Lorenz; Richter, Dimitrios J; Roffi, Marco; Roithinger, Franz X; Shlyakhto, Evgeny; Sibbing, Dirk; Silber, Sigmund; Simpson, Iain A; Sousa-Uva, Miguel; Vardas, Panos; Witkowski, Adam; Zamorano, Jose Luis; Achenbach, Stephan; Agewall, Stefan; Barbato, Emanuele; Bax, Jeroen J; Capodanno, Davide; Cuisset, Thomas; Deaton, Christi; Dickstein, Kenneth; Edvardsen, Thor; Escaned, Javier; Funck-Brentano, Christian; Gersh, Bernard J; Gilard, Martine; Hasdai, David; Hatala, Robert; Mahfoud, Felix; Masip, Josep; Muneretto, Claudio; Prescott, Eva; Saraste, Antti; Storey, Robert F; Svitil, Pavel; Valgimigli, Marco; Windecker, Stephan; Aboyans, Victor; Baigent, Colin; Collet, Jean-Philippe; Dean, Veronica; Delgado, Victoria; Fitzsimons, Donna; Gale, Christopher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Benkhedda, Salim; Metzler, Bernhard; Sujayeva, Volha; Cosyns, Bernard; Kusljugic, Zumreta; Velchev, Vasil; Panayi, Georgios; Kala, Petr; Haahr-Pedersen, Sune Ammentorp; Kabil, Hamza; Ainla, Tiia; Kaukonen, Tomi; Cayla, Guillaume; Pagava, Zurab; Woehrle, Jochen; Kanakakis, John; Tóth, Kálmán; Gudnason, Thorarinn; Peace, Aaron; Aronson, Doron; Riccio, Carmine; Elezi, Shpend; Mirrakhimov, Erkin; Hansone, Silvija; Sarkis, Antoine; Babarskiene, Ruta; Beissel, Jean; Maempel, Andrew J Cassar; Revenco, Valeriu; de Grooth, G J; Pejkov, Hristo; Juliebø, Vibeke; Lipiec, Piotr; Santos, José; Chioncel, Ovidiu; Duplyakov, Dmitry; Bertelli, Luca; Dikic, Ana Djordjevic; Studenčan, Martin; Bunc, Matjaz; Alfonso, Fernando; Bäck, Magnus; Zellweger, Michael; Addad, Faouzi; Yildirir, Aylin; Sirenko, Yuriy; Clapp, Brian&lt;/Author&gt;&lt;Year&gt;2020&lt;/Year&gt;&lt;Details&gt;&lt;_accessed&gt;66402457&lt;/_accessed&gt;&lt;_accession_num&gt;31504439&lt;/_accession_num&gt;&lt;_collection_scope&gt;SCIE&lt;/_collection_scope&gt;&lt;_created&gt;66401449&lt;/_created&gt;&lt;_date&gt;63132480&lt;/_date&gt;&lt;_date_display&gt;2020 Jan 14&lt;/_date_display&gt;&lt;_db_updated&gt;CrossRef&lt;/_db_updated&gt;&lt;_doi&gt;10.1093/eurheartj/ehz425&lt;/_doi&gt;&lt;_impact_factor&gt;  38.100&lt;/_impact_factor&gt;&lt;_isbn&gt;0195-668X&lt;/_isbn&gt;&lt;_issue&gt;3&lt;/_issue&gt;&lt;_journal&gt;European Heart Journal&lt;/_journal&gt;&lt;_keywords&gt;Guidelines; angina pectoris; anti-ischaemic drugs; antithrombotic therapy; chronic coronary syndromes; coronary artery disease; diagnostic testing; imaging; lifestyle modifications; lipid-lowering drugs; microvascular angina; myocardial ischaemia; myocardial revascularization; risk assessment; screening; vasospastic angina&lt;/_keywords&gt;&lt;_language&gt;eng&lt;/_language&gt;&lt;_modified&gt;66402457&lt;/_modified&gt;&lt;_number&gt;4&lt;/_number&gt;&lt;_pages&gt;407-477&lt;/_pages&gt;&lt;_social_category&gt;心脏和心血管系统(1)&lt;/_social_category&gt;&lt;_subject_headings&gt;*Cardiology; Chronic Disease; Coronary Artery Disease/*diagnosis/therapy; *Diagnostic Techniques, Cardiovascular; *Disease Management; Europe; Humans; *Societies, Medical; Syndrome&lt;/_subject_headings&gt;&lt;_tertiary_title&gt;European heart journal&lt;/_tertiary_title&gt;&lt;_type_work&gt;Journal Article; Practice Guideline&lt;/_type_work&gt;&lt;_url&gt;https://academic.oup.com/eurheartj/article/41/3/407/5556137_x000d__x000a_http://academic.oup.com/eurheartj/article-pdf/41/3/407/32651471/ehz425.pdf&lt;/_url&gt;&lt;_volume&gt;41&lt;/_volume&gt;&lt;/Details&gt;&lt;Extra&gt;&lt;DBUID&gt;{0595FEED-06EC-4465-A92A-123F8040CA41}&lt;/DBUID&gt;&lt;/Extra&gt;&lt;/Item&gt;&lt;/References&gt;&lt;/Group&gt;&lt;Group&gt;&lt;References&gt;&lt;Item&gt;&lt;ID&gt;2693&lt;/ID&gt;&lt;UID&gt;{B19EC09A-3616-4252-A7F7-FAFE5D6B4115}&lt;/UID&gt;&lt;Title&gt;2012 ACCF/AHA/ACP/AATS/PCNA/SCAI/STS Guideline for the Diagnosis and Management of Patients With Stable Ischemic Heart Disease&lt;/Title&gt;&lt;Template&gt;Journal Article&lt;/Template&gt;&lt;Star&gt;0&lt;/Star&gt;&lt;Tag&gt;0&lt;/Tag&gt;&lt;Author&gt;Fihn, Stephan D; Gardin, Julius M; Abrams, Jonathan; Berra, Kathleen; Blankenship, James C; Dallas, Apostolos P; Douglas, Pamela S; Foody, JoAnne M; Gerber, Thomas C; Hinderliter, Alan L; King, Spencer B; Kligfield, Paul D; Krumholz, Harlan M; Kwong, Raymond Y K; Lim, Michael J; Linderbaum, Jane A; Mack, Michael J; Munger, Mark A; Prager, Richard L; Sabik, Joseph F; Shaw, Leslee J; Sikkema, Joanna D; Smith, Craig R; Smith, Sidney C; Spertus, John A; Williams, Sankey V&lt;/Author&gt;&lt;Year&gt;2012&lt;/Year&gt;&lt;Details&gt;&lt;_accessed&gt;66402457&lt;/_accessed&gt;&lt;_accession_num&gt;23166211&lt;/_accession_num&gt;&lt;_collection_scope&gt;SCIE&lt;/_collection_scope&gt;&lt;_created&gt;66401449&lt;/_created&gt;&lt;_date&gt;59412960&lt;/_date&gt;&lt;_date_display&gt;2012 Dec 18&lt;/_date_display&gt;&lt;_db_updated&gt;CrossRef&lt;/_db_updated&gt;&lt;_doi&gt;10.1161/CIR.0b013e318277d6a0&lt;/_doi&gt;&lt;_impact_factor&gt;  35.600&lt;/_impact_factor&gt;&lt;_isbn&gt;0009-7322&lt;/_isbn&gt;&lt;_issue&gt;25&lt;/_issue&gt;&lt;_journal&gt;Circulation&lt;/_journal&gt;&lt;_language&gt;eng&lt;/_language&gt;&lt;_modified&gt;66402457&lt;/_modified&gt;&lt;_number&gt;5&lt;/_number&gt;&lt;_pages&gt;e354-471&lt;/_pages&gt;&lt;_social_category&gt;心脏和心血管系统(1) &amp;amp; 外周血管病(1)&lt;/_social_category&gt;&lt;_subject_headings&gt;Coronary Angiography; Coronary Artery Bypass; Echocardiography; Exercise Test; Humans; Myocardial Ischemia/*diagnosis/*therapy; Myocardial Revascularization; Patient Education as Topic; Risk Assessment&lt;/_subject_headings&gt;&lt;_tertiary_title&gt;Circulation&lt;/_tertiary_title&gt;&lt;_type_work&gt;Journal Article; Practice Guideline&lt;/_type_work&gt;&lt;_url&gt;https://www.ahajournals.org/doi/10.1161/CIR.0b013e318277d6a0_x000d__x000a_https://www.ahajournals.org/doi/full/10.1161/CIR.0b013e318277d6a0&lt;/_url&gt;&lt;_volume&gt;126&lt;/_volume&gt;&lt;/Details&gt;&lt;Extra&gt;&lt;DBUID&gt;{0595FEED-06EC-4465-A92A-123F8040CA41}&lt;/DBUID&gt;&lt;/Extra&gt;&lt;/Item&gt;&lt;/References&gt;&lt;/Group&gt;&lt;/Citation&gt;_x000a_"/>
    <w:docVar w:name="NE.Ref{CF3D3577-0D92-482B-A462-302FAFB11028}" w:val=" ADDIN NE.Ref.{CF3D3577-0D92-482B-A462-302FAFB11028}&lt;Citation&gt;&lt;Group&gt;&lt;References&gt;&lt;Item&gt;&lt;ID&gt;2707&lt;/ID&gt;&lt;UID&gt;{2C054EB0-C5AB-49DD-BF0E-9244E3CA55F8}&lt;/UID&gt;&lt;Title&gt;The stress hyperglycemia ratio, an index of relative hyperglycemia, as a predictor of clinical outcomes after percutaneous coronary intervention&lt;/Title&gt;&lt;Template&gt;Journal Article&lt;/Template&gt;&lt;Star&gt;0&lt;/Star&gt;&lt;Tag&gt;0&lt;/Tag&gt;&lt;Author&gt;Yang, Yeoree; Kim, Tae-Hoon; Yoon, Kun-Ho; Chung, Wook Sung; Ahn, Youngkeun; Jeong, Myung-Ho; Seung, Ki-Bae; Lee, Seung-Hwan; Chang, Kiyuk&lt;/Author&gt;&lt;Year&gt;2017&lt;/Year&gt;&lt;Details&gt;&lt;_accessed&gt;66402458&lt;/_accessed&gt;&lt;_accession_num&gt;28256326&lt;/_accession_num&gt;&lt;_author_adr&gt;Division of Endocrinology and Metabolism, Department of Internal Medicine, Seoul  St. Mary&amp;apos;s Hospital, College of Medicine, The Catholic University of Korea,  Seoul, Republic of Korea.; Division of Cardiology, Department of Internal Medicine, Seoul St. Mary&amp;apos;s  Hospital, College of Medicine, The Catholic University of Korea, Seoul, Republic  of Korea.; Division of Endocrinology and Metabolism, Department of Internal Medicine, Seoul  St. Mary&amp;apos;s Hospital, College of Medicine, The Catholic University of Korea,  Seoul, Republic of Korea.; Division of Cardiology, Department of Internal Medicine, Seoul St. Mary&amp;apos;s  Hospital, College of Medicine, The Catholic University of Korea, Seoul, Republic  of Korea.; Division of Cardiology, Department of Internal Medicine, Chonnam National  University Hospital, Chonnam National University, Gwangju, Republic of Korea.; Division of Cardiology, Department of Internal Medicine, Chonnam National  University Hospital, Chonnam National University, Gwangju, Republic of Korea.; Division of Cardiology, Department of Internal Medicine, Seoul St. Mary&amp;apos;s  Hospital, College of Medicine, The Catholic University of Korea, Seoul, Republic  of Korea.; Division of Endocrinology and Metabolism, Department of Internal Medicine, Seoul  St. Mary&amp;apos;s Hospital, College of Medicine, The Catholic University of Korea,  Seoul, Republic of Korea. Electronic address: hwanx2@catholic.ac.kr.; Division of Cardiology, Department of Internal Medicine, Seoul St. Mary&amp;apos;s  Hospital, College of Medicine, The Catholic University of Korea, Seoul, Republic  of Korea. Electronic address: kiyuk@catholic.ac.kr.&lt;/_author_adr&gt;&lt;_collection_scope&gt;SCIE&lt;/_collection_scope&gt;&lt;_created&gt;66401455&lt;/_created&gt;&lt;_date&gt;2017-08-15&lt;/_date&gt;&lt;_date_display&gt;2017 Aug 15&lt;/_date_display&gt;&lt;_db_updated&gt;CrossRef&lt;/_db_updated&gt;&lt;_doi&gt;10.1016/j.ijcard.2017.02.065&lt;/_doi&gt;&lt;_impact_factor&gt;   3.200&lt;/_impact_factor&gt;&lt;_isbn&gt;01675273&lt;/_isbn&gt;&lt;_journal&gt;International Journal of Cardiology&lt;/_journal&gt;&lt;_keywords&gt;Coronary artery disease; Diabetes; Major adverse cardiovascular and cerebrovascular events; Percutaneous coronary intervention; Stress hyperglycemia ratio&lt;/_keywords&gt;&lt;_language&gt;eng&lt;/_language&gt;&lt;_modified&gt;66402458&lt;/_modified&gt;&lt;_number&gt;16&lt;/_number&gt;&lt;_ori_publication&gt;Copyright © 2017 Elsevier B.V. All rights reserved.&lt;/_ori_publication&gt;&lt;_pages&gt;57-63&lt;/_pages&gt;&lt;_social_category&gt;心脏和心血管系统(3)&lt;/_social_category&gt;&lt;_subject_headings&gt;Aged; Blood Glucose/*metabolism; Coronary Artery Disease/*blood/diagnosis/*surgery; Female; Follow-Up Studies; Humans; Hyperglycemia/*blood/diagnosis/*surgery; Male; Middle Aged; Percutaneous Coronary Intervention/*trends; Predictive Value of Tests; Registries; Retrospective Studies; Treatment Outcome&lt;/_subject_headings&gt;&lt;_tertiary_title&gt;International Journal of Cardiology&lt;/_tertiary_title&gt;&lt;_type_work&gt;Journal Article; Multicenter Study; Observational Study&lt;/_type_work&gt;&lt;_url&gt;https://linkinghub.elsevier.com/retrieve/pii/S0167527317305818_x000d__x000a_https://api.elsevier.com/content/article/PII:S0167527317305818?httpAccept=text/xml&lt;/_url&gt;&lt;_volume&gt;241&lt;/_volume&gt;&lt;/Details&gt;&lt;Extra&gt;&lt;DBUID&gt;{0595FEED-06EC-4465-A92A-123F8040CA41}&lt;/DBUID&gt;&lt;/Extra&gt;&lt;/Item&gt;&lt;/References&gt;&lt;/Group&gt;&lt;Group&gt;&lt;References&gt;&lt;Item&gt;&lt;ID&gt;2708&lt;/ID&gt;&lt;UID&gt;{5289A791-A8CD-43CE-818D-B84DD4BBE4EF}&lt;/UID&gt;&lt;Title&gt;Association of stress hyperglycemia ratio and in-hospital mortality in patients with coronary artery disease: insights from a large cohort study&lt;/Title&gt;&lt;Template&gt;Journal Article&lt;/Template&gt;&lt;Star&gt;0&lt;/Star&gt;&lt;Tag&gt;0&lt;/Tag&gt;&lt;Author&gt;Xu, Wei; Song, Qirui; Wang, Xiang; Zhao, Zinan; Meng, Xuyang; Xia, Chenxi; Xie, Yibo; Yang, Chenguang; Guo, Ying; Zhang, Yatong; Wang, Fang&lt;/Author&gt;&lt;Year&gt;2022&lt;/Year&gt;&lt;Details&gt;&lt;_accessed&gt;66402469&lt;/_accessed&gt;&lt;_accession_num&gt;36261839&lt;/_accession_num&gt;&lt;_author_adr&gt;Emergency Center, State Key Laboratory of Cardiovascular Disease of China,  National Center for Cardiovascular Diseases, National Clinical Research Center of  Cardiovascular Diseases, Fuwai Hospital, Chinese Academy of Medical Sciences and  Peking Union Medical College, 100037, Beijing, China.; Hypertension Center, State Key Laboratory of Cardiovascular Disease of China,  National Center for Cardiovascular Diseases of China, Fuwai Hospital, Chinese  Academy of Medical Sciences, Peking Union Medical College, 100037,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Cardiology, Beijing Hospital, National Center of Gerontology,  Institute of Geriatric Medicine, Chinese Academy of Medical Sciences, Beijing,  China.; Department of Information Center,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750826140@qq.com.; Department of Cardiology, Beijing Hospital, National Center of Gerontology,  Institute of Geriatric Medicine, Chinese Academy of Medical Sciences, Beijing,  China. bjh_wangfang@163.com.; Graduate School of Peking Union Medical College, Chinese Academy of Medical  Sciences, Beijing, China. bjh_wangfang@163.com.&lt;/_author_adr&gt;&lt;_collection_scope&gt;SCIE&lt;/_collection_scope&gt;&lt;_created&gt;66401455&lt;/_created&gt;&lt;_date&gt;64166400&lt;/_date&gt;&lt;_date_display&gt;2022&lt;/_date_display&gt;&lt;_db_updated&gt;PKU Search&lt;/_db_updated&gt;&lt;_doi&gt;10.1186/s12933-022-01645-y&lt;/_doi&gt;&lt;_impact_factor&gt;   8.500&lt;/_impact_factor&gt;&lt;_isbn&gt;1475-2840&lt;/_isbn&gt;&lt;_issue&gt;1&lt;/_issue&gt;&lt;_journal&gt;Cardiovascular Diabetology&lt;/_journal&gt;&lt;_keywords&gt;Acute Coronary Syndrome; Blood Glucose; Cohort Studies; Coronary Artery Disease; Diabetes; Diabetes Mellitus; Diseases of the circulatory (Cardiovascular) system; Glycated Hemoglobin; Hospital Mortality; Humans; Hyperglycemia; Mortality; RC666-701; Stress hyperglycemia; Stress hyperglycemia ratio&lt;/_keywords&gt;&lt;_language&gt;eng&lt;/_language&gt;&lt;_modified&gt;66402646&lt;/_modified&gt;&lt;_number&gt;17&lt;/_number&gt;&lt;_ori_publication&gt;Springer Science and Business Media LLC&lt;/_ori_publication&gt;&lt;_pages&gt;217&lt;/_pages&gt;&lt;_social_category&gt;内分泌学与代谢(1) &amp;amp; 心脏和心血管系统(2)&lt;/_social_category&gt;&lt;_subject_headings&gt;Humans; Blood Glucose; Glycated Hemoglobin/analysis; *Coronary Artery Disease; Hospital Mortality; Cohort Studies; *Hyperglycemia; *Diabetes Mellitus; *Acute Coronary Syndrome&lt;/_subject_headings&gt;&lt;_tertiary_title&gt;Cardiovasc Diabetol&lt;/_tertiary_title&gt;&lt;_type_work&gt;Journal Article; Research Support, Non-U.S. Gov&amp;apos;t&lt;/_type_work&gt;&lt;_url&gt;https://go.exlibris.link/LNyt6H1m&lt;/_url&gt;&lt;_volume&gt;21&lt;/_volume&gt;&lt;/Details&gt;&lt;Extra&gt;&lt;DBUID&gt;{0595FEED-06EC-4465-A92A-123F8040CA41}&lt;/DBUID&gt;&lt;/Extra&gt;&lt;/Item&gt;&lt;/References&gt;&lt;/Group&gt;&lt;/Citation&gt;_x000a_"/>
    <w:docVar w:name="NE.Ref{D9BFDEED-E605-4155-9FB7-F206961B4FD2}" w:val=" ADDIN NE.Ref.{D9BFDEED-E605-4155-9FB7-F206961B4FD2}&lt;Citation&gt;&lt;Group&gt;&lt;References&gt;&lt;Item&gt;&lt;ID&gt;2708&lt;/ID&gt;&lt;UID&gt;{5289A791-A8CD-43CE-818D-B84DD4BBE4EF}&lt;/UID&gt;&lt;Title&gt;Association of stress hyperglycemia ratio and in-hospital mortality in patients with coronary artery disease: insights from a large cohort study&lt;/Title&gt;&lt;Template&gt;Journal Article&lt;/Template&gt;&lt;Star&gt;0&lt;/Star&gt;&lt;Tag&gt;0&lt;/Tag&gt;&lt;Author&gt;Xu, Wei; Song, Qirui; Wang, Xiang; Zhao, Zinan; Meng, Xuyang; Xia, Chenxi; Xie, Yibo; Yang, Chenguang; Guo, Ying; Zhang, Yatong; Wang, Fang&lt;/Author&gt;&lt;Year&gt;2022&lt;/Year&gt;&lt;Details&gt;&lt;_accessed&gt;66402469&lt;/_accessed&gt;&lt;_accession_num&gt;36261839&lt;/_accession_num&gt;&lt;_author_adr&gt;Emergency Center, State Key Laboratory of Cardiovascular Disease of China,  National Center for Cardiovascular Diseases, National Clinical Research Center of  Cardiovascular Diseases, Fuwai Hospital, Chinese Academy of Medical Sciences and  Peking Union Medical College, 100037, Beijing, China.; Hypertension Center, State Key Laboratory of Cardiovascular Disease of China,  National Center for Cardiovascular Diseases of China, Fuwai Hospital, Chinese  Academy of Medical Sciences, Peking Union Medical College, 100037,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Cardiology, Beijing Hospital, National Center of Gerontology,  Institute of Geriatric Medicine, Chinese Academy of Medical Sciences, Beijing,  China.; Department of Information Center,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750826140@qq.com.; Department of Cardiology, Beijing Hospital, National Center of Gerontology,  Institute of Geriatric Medicine, Chinese Academy of Medical Sciences, Beijing,  China. bjh_wangfang@163.com.; Graduate School of Peking Union Medical College, Chinese Academy of Medical  Sciences, Beijing, China. bjh_wangfang@163.com.&lt;/_author_adr&gt;&lt;_collection_scope&gt;SCIE&lt;/_collection_scope&gt;&lt;_created&gt;66401455&lt;/_created&gt;&lt;_date&gt;64166400&lt;/_date&gt;&lt;_date_display&gt;2022&lt;/_date_display&gt;&lt;_db_updated&gt;PKU Search&lt;/_db_updated&gt;&lt;_doi&gt;10.1186/s12933-022-01645-y&lt;/_doi&gt;&lt;_impact_factor&gt;   8.500&lt;/_impact_factor&gt;&lt;_isbn&gt;1475-2840&lt;/_isbn&gt;&lt;_issue&gt;1&lt;/_issue&gt;&lt;_journal&gt;Cardiovascular Diabetology&lt;/_journal&gt;&lt;_keywords&gt;Acute Coronary Syndrome; Blood Glucose; Cohort Studies; Coronary Artery Disease; Diabetes; Diabetes Mellitus; Diseases of the circulatory (Cardiovascular) system; Glycated Hemoglobin; Hospital Mortality; Humans; Hyperglycemia; Mortality; RC666-701; Stress hyperglycemia; Stress hyperglycemia ratio&lt;/_keywords&gt;&lt;_language&gt;eng&lt;/_language&gt;&lt;_modified&gt;66402646&lt;/_modified&gt;&lt;_number&gt;17&lt;/_number&gt;&lt;_ori_publication&gt;Springer Science and Business Media LLC&lt;/_ori_publication&gt;&lt;_pages&gt;217&lt;/_pages&gt;&lt;_social_category&gt;内分泌学与代谢(1) &amp;amp; 心脏和心血管系统(2)&lt;/_social_category&gt;&lt;_subject_headings&gt;Humans; Blood Glucose; Glycated Hemoglobin/analysis; *Coronary Artery Disease; Hospital Mortality; Cohort Studies; *Hyperglycemia; *Diabetes Mellitus; *Acute Coronary Syndrome&lt;/_subject_headings&gt;&lt;_tertiary_title&gt;Cardiovasc Diabetol&lt;/_tertiary_title&gt;&lt;_type_work&gt;Journal Article; Research Support, Non-U.S. Gov&amp;apos;t&lt;/_type_work&gt;&lt;_url&gt;https://go.exlibris.link/LNyt6H1m&lt;/_url&gt;&lt;_volume&gt;21&lt;/_volume&gt;&lt;/Details&gt;&lt;Extra&gt;&lt;DBUID&gt;{0595FEED-06EC-4465-A92A-123F8040CA41}&lt;/DBUID&gt;&lt;/Extra&gt;&lt;/Item&gt;&lt;/References&gt;&lt;/Group&gt;&lt;Group&gt;&lt;References&gt;&lt;Item&gt;&lt;ID&gt;2740&lt;/ID&gt;&lt;UID&gt;{918F75B4-C0A5-4017-8031-55D0C6504AD9}&lt;/UID&gt;&lt;Title&gt;Stress Hyperglycemia&lt;/Title&gt;&lt;Template&gt;Journal Article&lt;/Template&gt;&lt;Star&gt;0&lt;/Star&gt;&lt;Tag&gt;0&lt;/Tag&gt;&lt;Author&gt;Marik, Paul E; Bellomo, Rinaldo&lt;/Author&gt;&lt;Year&gt;2013&lt;/Year&gt;&lt;Details&gt;&lt;_accessed&gt;66402460&lt;/_accessed&gt;&lt;_accession_num&gt;23685597&lt;/_accession_num&gt;&lt;_collection_scope&gt;SCIE&lt;/_collection_scope&gt;&lt;_created&gt;66402444&lt;/_created&gt;&lt;_date&gt;2013-06-01&lt;/_date&gt;&lt;_date_display&gt;2013 Jun&lt;/_date_display&gt;&lt;_db_updated&gt;CrossRef&lt;/_db_updated&gt;&lt;_doi&gt;10.1097/CCM.0b013e318283d124&lt;/_doi&gt;&lt;_impact_factor&gt;   7.700&lt;/_impact_factor&gt;&lt;_isbn&gt;0090-3493&lt;/_isbn&gt;&lt;_issue&gt;6&lt;/_issue&gt;&lt;_journal&gt;Critical Care Medicine&lt;/_journal&gt;&lt;_language&gt;eng&lt;/_language&gt;&lt;_modified&gt;66402646&lt;/_modified&gt;&lt;_number&gt;45&lt;/_number&gt;&lt;_pages&gt;e93-e94&lt;/_pages&gt;&lt;_social_category&gt;危重病医学(2)&lt;/_social_category&gt;&lt;_subject_headings&gt;*Critical Care; Humans; Hyperglycemia/*drug therapy; Hypoglycemic Agents/*administration &amp;amp; dosage; Insulin/*administration &amp;amp; dosage; *Practice Guidelines as Topic&lt;/_subject_headings&gt;&lt;_tertiary_title&gt;Critical Care Medicine&lt;/_tertiary_title&gt;&lt;_type_work&gt;Comment; Letter&lt;/_type_work&gt;&lt;_url&gt;http://journals.lww.com/00003246-201306000-00042_x000d__x000a_https://journals.lww.com/10.1097/CCM.0b013e318283d124&lt;/_url&gt;&lt;_volume&gt;41&lt;/_volume&gt;&lt;/Details&gt;&lt;Extra&gt;&lt;DBUID&gt;{0595FEED-06EC-4465-A92A-123F8040CA41}&lt;/DBUID&gt;&lt;/Extra&gt;&lt;/Item&gt;&lt;/References&gt;&lt;/Group&gt;&lt;/Citation&gt;_x000a_"/>
    <w:docVar w:name="NE.Ref{DAB2E566-8BEF-48B5-AD60-18F7AFEA78DE}" w:val=" ADDIN NE.Ref.{DAB2E566-8BEF-48B5-AD60-18F7AFEA78DE}&lt;Citation&gt;&lt;Group&gt;&lt;References&gt;&lt;Item&gt;&lt;ID&gt;2736&lt;/ID&gt;&lt;UID&gt;{31947F50-D88E-4415-8C30-D793EA24E7E7}&lt;/UID&gt;&lt;Title&gt;Prediction of risk of death and myocardial infarction in the six months after  presentation with acute coronary syndrome: prospective multinational  observational study (GRACE)&lt;/Title&gt;&lt;Template&gt;Journal Article&lt;/Template&gt;&lt;Star&gt;0&lt;/Star&gt;&lt;Tag&gt;0&lt;/Tag&gt;&lt;Author&gt;Fox, Keith A A; Dabbous, Omar H; Goldberg, Robert J; Pieper, Karen S; Eagle, Kim A; Van de Werf, Frans; Avezum, Alvaro; Goodman, Shaun G; Flather, Marcus D; Anderson, Frederick A Jr; Granger, Christopher B&lt;/Author&gt;&lt;Year&gt;2006&lt;/Year&gt;&lt;Details&gt;&lt;_accession_num&gt;17032691&lt;/_accession_num&gt;&lt;_author_adr&gt;Royal Infirmary of Edinburgh, University of Edinburgh, Edinburgh EH16 4SB.  k.a.a.fox@ed.ac.uk&lt;/_author_adr&gt;&lt;_collection_scope&gt;SCIE&lt;/_collection_scope&gt;&lt;_created&gt;66402444&lt;/_created&gt;&lt;_date&gt;2006-11-25&lt;/_date&gt;&lt;_date_display&gt;2006 Nov 25&lt;/_date_display&gt;&lt;_doi&gt;10.1136/bmj.38985.646481.55&lt;/_doi&gt;&lt;_impact_factor&gt;  93.700&lt;/_impact_factor&gt;&lt;_isbn&gt;1756-1833 (Electronic); 0959-8138 (Print); 0959-8138 (Linking)&lt;/_isbn&gt;&lt;_issue&gt;7578&lt;/_issue&gt;&lt;_journal&gt;BMJ&lt;/_journal&gt;&lt;_language&gt;eng&lt;/_language&gt;&lt;_modified&gt;66402448&lt;/_modified&gt;&lt;_number&gt;41&lt;/_number&gt;&lt;_pages&gt;1091&lt;/_pages&gt;&lt;_social_category&gt;医学：内科(1)&lt;/_social_category&gt;&lt;_subject_headings&gt;Epidemiologic Methods; Female; Humans; Male; Myocardial Infarction/mortality; Myocardial Ischemia/diagnosis/*mortality; Prognosis; Severity of Illness Index; Syndrome; Triage/methods&lt;/_subject_headings&gt;&lt;_tertiary_title&gt;BMJ (Clinical research ed.)&lt;/_tertiary_title&gt;&lt;_type_work&gt;Journal Article; Multicenter Study; Research Support, Non-U.S. Gov&amp;apos;t&lt;/_type_work&gt;&lt;_url&gt;http://www.ncbi.nlm.nih.gov/entrez/query.fcgi?cmd=Retrieve&amp;amp;db=pubmed&amp;amp;dopt=Abstract&amp;amp;list_uids=17032691&amp;amp;query_hl=1&lt;/_url&gt;&lt;_volume&gt;333&lt;/_volume&gt;&lt;/Details&gt;&lt;Extra&gt;&lt;DBUID&gt;{0595FEED-06EC-4465-A92A-123F8040CA41}&lt;/DBUID&gt;&lt;/Extra&gt;&lt;/Item&gt;&lt;/References&gt;&lt;/Group&gt;&lt;/Citation&gt;_x000a_"/>
    <w:docVar w:name="NE.Ref{DCB25C63-D40B-48B2-83EB-F2ACC3A4AD38}" w:val=" ADDIN NE.Ref.{DCB25C63-D40B-48B2-83EB-F2ACC3A4AD38}&lt;Citation&gt;&lt;Group&gt;&lt;References&gt;&lt;Item&gt;&lt;ID&gt;2705&lt;/ID&gt;&lt;UID&gt;{FAC6AB9F-CDB0-4751-92E4-B2ED6A2DFAA5}&lt;/UID&gt;&lt;Title&gt;Relative Hyperglycemia, a Marker of Critical Illness: Introducing the Stress Hyperglycemia Ratio&lt;/Title&gt;&lt;Template&gt;Journal Article&lt;/Template&gt;&lt;Star&gt;0&lt;/Star&gt;&lt;Tag&gt;0&lt;/Tag&gt;&lt;Author&gt;Roberts, Gregory W; Quinn, Stephen J; Valentine, Nyoli; Alhawassi, Tariq; O&amp;apos;Dea, Hazel; Stranks, Stephen N; Burt, Morton G; Doogue, Matthew P&lt;/Author&gt;&lt;Year&gt;2015&lt;/Year&gt;&lt;Details&gt;&lt;_accessed&gt;66402458&lt;/_accessed&gt;&lt;_accession_num&gt;26485219&lt;/_accession_num&gt;&lt;_author_adr&gt;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 Pharmacy Department (G.W.R.), Flinders Medical Centre, Bedford Park, South  Australia 5042, Australia; School of Medicine (G.W.R., S.J.Q., S.N.S., M.G.B.),  Flinders University, Bedford Park, South Australia 5041, Australia; Sturt  Fleurieu General Practice Education and Training (N.V.), Adelaide, South  Australia 5061, Australia; Discipline of Clinical Pharmacology (N.V., M.P.D.),  Flinders University, Bedford Park South Australia 5041, Australia; College of  Pharmacy (T.A.), Department of Clinical Pharmacy, King Saud University, Riyadh,  Saudi Arabia; School of Nursing (H.O.), Flinders University, Bedford Park, South  Australia 5041 Australia; Southern Adelaide Diabetes and Endocrine Services  (M.G.B., M.P.D.), Repatriation General Hospital, Daw Park, South Australia 5041,  Australia; and Department of Medicine (M.P.D.), University of Otago, Christhcurch  8140, New Zealand.&lt;/_author_adr&gt;&lt;_collection_scope&gt;SCIE&lt;/_collection_scope&gt;&lt;_created&gt;66401455&lt;/_created&gt;&lt;_date&gt;60965280&lt;/_date&gt;&lt;_date_display&gt;2015 Dec&lt;/_date_display&gt;&lt;_db_updated&gt;CrossRef&lt;/_db_updated&gt;&lt;_doi&gt;10.1210/jc.2015-2660&lt;/_doi&gt;&lt;_impact_factor&gt;   5.000&lt;/_impact_factor&gt;&lt;_isbn&gt;0021-972X&lt;/_isbn&gt;&lt;_issue&gt;12&lt;/_issue&gt;&lt;_journal&gt;The Journal of Clinical Endocrinology &amp;amp; Metabolism&lt;/_journal&gt;&lt;_language&gt;eng&lt;/_language&gt;&lt;_modified&gt;66402458&lt;/_modified&gt;&lt;_number&gt;14&lt;/_number&gt;&lt;_pages&gt;4490-4497&lt;/_pages&gt;&lt;_social_category&gt;内分泌学与代谢(2)&lt;/_social_category&gt;&lt;_subject_headings&gt;Adult; Australia/epidemiology; Biomarkers/*blood; Blood Glucose/metabolism; Cohort Studies; Critical Care; Critical Illness/*mortality; Female; Glycated Hemoglobin/analysis; Hospital Mortality; Hospitalization; Humans; Hyperglycemia/*blood; Male; Middle Aged; *Stress, Physiological&lt;/_subject_headings&gt;&lt;_tertiary_title&gt;The Journal of clinical endocrinology and metabolism&lt;/_tertiary_title&gt;&lt;_type_work&gt;Journal Article; Observational Study; Research Support, Non-U.S. Gov&amp;apos;t&lt;/_type_work&gt;&lt;_url&gt;https://academic.oup.com/jcem/article/100/12/4490/2536331_x000d__x000a_http://academic.oup.com/jcem/article-pdf/100/12/4490/10421980/jcem4490.pdf&lt;/_url&gt;&lt;_volume&gt;100&lt;/_volume&gt;&lt;/Details&gt;&lt;Extra&gt;&lt;DBUID&gt;{0595FEED-06EC-4465-A92A-123F8040CA41}&lt;/DBUID&gt;&lt;/Extra&gt;&lt;/Item&gt;&lt;/References&gt;&lt;/Group&gt;&lt;/Citation&gt;_x000a_"/>
    <w:docVar w:name="NE.Ref{DCFD1DEB-0B2B-4F00-A5C2-CBE590DDA56C}" w:val=" ADDIN NE.Ref.{DCFD1DEB-0B2B-4F00-A5C2-CBE590DDA56C}&lt;Citation&gt;&lt;Group&gt;&lt;References&gt;&lt;Item&gt;&lt;ID&gt;2709&lt;/ID&gt;&lt;UID&gt;{0E57B5BD-92AD-4711-9612-68934E06A26E}&lt;/UID&gt;&lt;Title&gt;The association between stress hyperglycemia ratio with mortality in critically ill patients with acute heart failure&lt;/Title&gt;&lt;Template&gt;Journal Article&lt;/Template&gt;&lt;Star&gt;0&lt;/Star&gt;&lt;Tag&gt;0&lt;/Tag&gt;&lt;Author&gt;Ge, Tingai; Hu, Jingjing; Zhou, Yidan&lt;/Author&gt;&lt;Year&gt;2024&lt;/Year&gt;&lt;Details&gt;&lt;_accessed&gt;66402458&lt;/_accessed&gt;&lt;_accession_num&gt;39639971&lt;/_accession_num&gt;&lt;_author_adr&gt;Department of Emergency Medicine, Hangzhou Third People&amp;apos;s Hospital, Hangzhou,  China.; Department of Emergency Medicine, Hangzhou Third People&amp;apos;s Hospital, Hangzhou,  China.; Department of Emergency Medicine, Hangzhou Third People&amp;apos;s Hospital, Hangzhou,  China.&lt;/_author_adr&gt;&lt;_collection_scope&gt;SCIE&lt;/_collection_scope&gt;&lt;_created&gt;66401456&lt;/_created&gt;&lt;_date&gt;65685600&lt;/_date&gt;&lt;_date_display&gt;2024&lt;/_date_display&gt;&lt;_db_updated&gt;CrossRef&lt;/_db_updated&gt;&lt;_doi&gt;10.3389/fcvm.2024.1463861&lt;/_doi&gt;&lt;_impact_factor&gt;   2.800&lt;/_impact_factor&gt;&lt;_isbn&gt;2297-055X&lt;/_isbn&gt;&lt;_journal&gt;Frontiers in Cardiovascular Medicine&lt;/_journal&gt;&lt;_keywords&gt;acute heart failure; critically ill; glucose; glycosylated hemoglobin; mortality; stress hyperglycemia&lt;/_keywords&gt;&lt;_language&gt;eng&lt;/_language&gt;&lt;_modified&gt;66402458&lt;/_modified&gt;&lt;_number&gt;18&lt;/_number&gt;&lt;_ori_publication&gt;© 2024 Ge, Hu and Zhou.&lt;/_ori_publication&gt;&lt;_pages&gt;1463861&lt;/_pages&gt;&lt;_social_category&gt;心脏和心血管系统(3)&lt;/_social_category&gt;&lt;_tertiary_title&gt;Front. Cardiovasc. Med.&lt;/_tertiary_title&gt;&lt;_type_work&gt;Journal Article&lt;/_type_work&gt;&lt;_url&gt;https://www.frontiersin.org/articles/10.3389/fcvm.2024.1463861/full_x000d__x000a_https://www.frontiersin.org/articles/10.3389/fcvm.2024.1463861/full&lt;/_url&gt;&lt;_volume&gt;11&lt;/_volume&gt;&lt;/Details&gt;&lt;Extra&gt;&lt;DBUID&gt;{0595FEED-06EC-4465-A92A-123F8040CA41}&lt;/DBUID&gt;&lt;/Extra&gt;&lt;/Item&gt;&lt;/References&gt;&lt;/Group&gt;&lt;Group&gt;&lt;References&gt;&lt;Item&gt;&lt;ID&gt;2727&lt;/ID&gt;&lt;UID&gt;{08F24690-8D04-461E-93A7-39C6BA01D913}&lt;/UID&gt;&lt;Title&gt;Association between stress hyperglycemia ratio and 28-day all-cause mortality in critically ill atrial fibrillation patients: a retrospective cohort study based on the MIMIC-IV database&lt;/Title&gt;&lt;Template&gt;Journal Article&lt;/Template&gt;&lt;Star&gt;0&lt;/Star&gt;&lt;Tag&gt;0&lt;/Tag&gt;&lt;Author&gt;Zhang, Qianqian; Zhang, Nianzhi; Zhou, Jing; Zheng, Ying; Wang, Yuanyuan&lt;/Author&gt;&lt;Year&gt;2025&lt;/Year&gt;&lt;Details&gt;&lt;_accessed&gt;66402459&lt;/_accessed&gt;&lt;_accession_num&gt;41376919&lt;/_accession_num&gt;&lt;_author_adr&gt;The First Clinical School of Anhui University of Chinese Medicine, Hefei, China.; Department of Respiratory Medicine, First Affiliated Hospital of Anhui University  of Chinese Medicine, Hefei, China.; The First Clinical School of Anhui University of Chinese Medicine, Hefei, China.; Department of Respiratory Medicine, First Affiliated Hospital of Anhui University  of Chinese Medicine, Hefei, China.; The First Clinical School of Anhui University of Chinese Medicine, Hefei, China.; Department of Respiratory Medicine, First Affiliated Hospital of Anhui University  of Chinese Medicine, Hefei, China.&lt;/_author_adr&gt;&lt;_collection_scope&gt;SCIE&lt;/_collection_scope&gt;&lt;_created&gt;66401474&lt;/_created&gt;&lt;_date&gt;2025-11-30&lt;/_date&gt;&lt;_date_display&gt;2025 Nov 30&lt;/_date_display&gt;&lt;_db_updated&gt;CrossRef&lt;/_db_updated&gt;&lt;_doi&gt;10.21037/jtd-2025-1507&lt;/_doi&gt;&lt;_impact_factor&gt;   2.100&lt;/_impact_factor&gt;&lt;_isbn&gt;20721439&lt;/_isbn&gt;&lt;_issue&gt;11&lt;/_issue&gt;&lt;_journal&gt;Journal of Thoracic Disease&lt;/_journal&gt;&lt;_keywords&gt;Atrial fibrillation (AF); Medical Information Mart for Intensive Care IV database (MIMIC-IV database); intensive care unit (ICU); stress hyperglycemia ratio (SHR)&lt;/_keywords&gt;&lt;_language&gt;eng&lt;/_language&gt;&lt;_modified&gt;66402459&lt;/_modified&gt;&lt;_number&gt;33&lt;/_number&gt;&lt;_ori_publication&gt;© AME Publishing Company.&lt;/_ori_publication&gt;&lt;_pages&gt;10272-10284&lt;/_pages&gt;&lt;_social_category&gt;呼吸系统(4)&lt;/_social_category&gt;&lt;_tertiary_title&gt;J Thorac Dis&lt;/_tertiary_title&gt;&lt;_type_work&gt;Journal Article&lt;/_type_work&gt;&lt;_url&gt;https://jtd.amegroups.com/article/view/108816/html_x000d__x000a_https://jtd.amegroups.com/article/download/108816/pdf&lt;/_url&gt;&lt;_volume&gt;17&lt;/_volume&gt;&lt;/Details&gt;&lt;Extra&gt;&lt;DBUID&gt;{0595FEED-06EC-4465-A92A-123F8040CA41}&lt;/DBUID&gt;&lt;/Extra&gt;&lt;/Item&gt;&lt;/References&gt;&lt;/Group&gt;&lt;/Citation&gt;_x000a_"/>
    <w:docVar w:name="NE.Ref{DF6813B7-DC79-454A-8185-994CA6395ED8}" w:val=" ADDIN NE.Ref.{DF6813B7-DC79-454A-8185-994CA6395ED8}&lt;Citation&gt;&lt;Group&gt;&lt;References&gt;&lt;Item&gt;&lt;ID&gt;2623&lt;/ID&gt;&lt;UID&gt;{23886539-025A-4884-B575-EE99B810262B}&lt;/UID&gt;&lt;Title&gt;2019 ESC Guidelines for the diagnosis and management of chronic coronary syndromes&lt;/Title&gt;&lt;Template&gt;Journal Article&lt;/Template&gt;&lt;Star&gt;0&lt;/Star&gt;&lt;Tag&gt;0&lt;/Tag&gt;&lt;Author&gt;Knuuti, Juhani; Wijns, William; Saraste, Antti; Capodanno, Davide; Barbato, Emanuele; Funck-Brentano, Christian; Prescott, Eva; Storey, Robert F; Deaton, Christi; Cuisset, Thomas; Agewall, Stefan; Dickstein, Kenneth; Edvardsen, Thor; Escaned, Javier; Gersh, Bernard J; Svitil, Pavel; Gilard, Martine; Hasdai, David; Hatala, Robert; Mahfoud, Felix; Masip, Josep; Muneretto, Claudio; Valgimigli, Marco; Achenbach, Stephan; Bax, Jeroen J; Neumann, Franz-Josef; Sechtem, Udo; Banning, Adrian Paul; Bonaros, Nikolaos; Bueno, Héctor; Bugiardini, Raffaele; Chieffo, Alaide; Crea, Filippo; Czerny, Martin; Delgado, Victoria; Dendale, Paul; Flachskampf, Frank Arnold; Gohlke, Helmut; Grove, Erik Lerkevang; James, Stefan; Katritsis, Demosthenes; Landmesser, Ulf; Lettino, Maddalena; Matter, Christian M; Nathoe, Hendrik; Niessner, Alexander; Patrono, Carlo; Petronio, Anna Sonia; Pettersen, Steffen E; Piccolo, Raffaele; Piepoli, Massimo Francesco; Popescu, Bogdan A; Räber, Lorenz; Richter, Dimitrios J; Roffi, Marco; Roithinger, Franz X; Shlyakhto, Evgeny; Sibbing, Dirk; Silber, Sigmund; Simpson, Iain A; Sousa-Uva, Miguel; Vardas, Panos; Witkowski, Adam; Zamorano, Jose Luis; Achenbach, Stephan; Agewall, Stefan; Barbato, Emanuele; Bax, Jeroen J; Capodanno, Davide; Cuisset, Thomas; Deaton, Christi; Dickstein, Kenneth; Edvardsen, Thor; Escaned, Javier; Funck-Brentano, Christian; Gersh, Bernard J; Gilard, Martine; Hasdai, David; Hatala, Robert; Mahfoud, Felix; Masip, Josep; Muneretto, Claudio; Prescott, Eva; Saraste, Antti; Storey, Robert F; Svitil, Pavel; Valgimigli, Marco; Windecker, Stephan; Aboyans, Victor; Baigent, Colin; Collet, Jean-Philippe; Dean, Veronica; Delgado, Victoria; Fitzsimons, Donna; Gale, Christopher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Benkhedda, Salim; Metzler, Bernhard; Sujayeva, Volha; Cosyns, Bernard; Kusljugic, Zumreta; Velchev, Vasil; Panayi, Georgios; Kala, Petr; Haahr-Pedersen, Sune Ammentorp; Kabil, Hamza; Ainla, Tiia; Kaukonen, Tomi; Cayla, Guillaume; Pagava, Zurab; Woehrle, Jochen; Kanakakis, John; Tóth, Kálmán; Gudnason, Thorarinn; Peace, Aaron; Aronson, Doron; Riccio, Carmine; Elezi, Shpend; Mirrakhimov, Erkin; Hansone, Silvija; Sarkis, Antoine; Babarskiene, Ruta; Beissel, Jean; Maempel, Andrew J Cassar; Revenco, Valeriu; de Grooth, G J; Pejkov, Hristo; Juliebø, Vibeke; Lipiec, Piotr; Santos, José; Chioncel, Ovidiu; Duplyakov, Dmitry; Bertelli, Luca; Dikic, Ana Djordjevic; Studenčan, Martin; Bunc, Matjaz; Alfonso, Fernando; Bäck, Magnus; Zellweger, Michael; Addad, Faouzi; Yildirir, Aylin; Sirenko, Yuriy; Clapp, Brian&lt;/Author&gt;&lt;Year&gt;2020&lt;/Year&gt;&lt;Details&gt;&lt;_accessed&gt;66401362&lt;/_accessed&gt;&lt;_accession_num&gt;31504439&lt;/_accession_num&gt;&lt;_collection_scope&gt;SCIE&lt;/_collection_scope&gt;&lt;_created&gt;66401352&lt;/_created&gt;&lt;_date&gt;63132480&lt;/_date&gt;&lt;_date_display&gt;2020 Jan 14&lt;/_date_display&gt;&lt;_db_updated&gt;CrossRef&lt;/_db_updated&gt;&lt;_doi&gt;10.1093/eurheartj/ehz425&lt;/_doi&gt;&lt;_impact_factor&gt;  38.100&lt;/_impact_factor&gt;&lt;_isbn&gt;0195-668X&lt;/_isbn&gt;&lt;_issue&gt;3&lt;/_issue&gt;&lt;_journal&gt;European Heart Journal&lt;/_journal&gt;&lt;_keywords&gt;Guidelines; angina pectoris; anti-ischaemic drugs; antithrombotic therapy; chronic coronary syndromes; coronary artery disease; diagnostic testing; imaging; lifestyle modifications; lipid-lowering drugs; microvascular angina; myocardial ischaemia; myocardial revascularization; risk assessment; screening; vasospastic angina&lt;/_keywords&gt;&lt;_language&gt;eng&lt;/_language&gt;&lt;_modified&gt;66401377&lt;/_modified&gt;&lt;_pages&gt;407-477&lt;/_pages&gt;&lt;_social_category&gt;心脏和心血管系统(1)&lt;/_social_category&gt;&lt;_subject_headings&gt;*Cardiology; Chronic Disease; Coronary Artery Disease/*diagnosis/therapy; *Diagnostic Techniques, Cardiovascular; *Disease Management; Europe; Humans; *Societies, Medical; Syndrome&lt;/_subject_headings&gt;&lt;_tertiary_title&gt;European heart journal&lt;/_tertiary_title&gt;&lt;_type_work&gt;Journal Article; Practice Guideline&lt;/_type_work&gt;&lt;_url&gt;https://academic.oup.com/eurheartj/article/41/3/407/5556137_x000d__x000a_http://academic.oup.com/eurheartj/article-pdf/41/3/407/32651471/ehz425.pdf&lt;/_url&gt;&lt;_volume&gt;41&lt;/_volume&gt;&lt;/Details&gt;&lt;Extra&gt;&lt;DBUID&gt;{0595FEED-06EC-4465-A92A-123F8040CA41}&lt;/DBUID&gt;&lt;/Extra&gt;&lt;/Item&gt;&lt;/References&gt;&lt;/Group&gt;&lt;Group&gt;&lt;References&gt;&lt;Item&gt;&lt;ID&gt;2627&lt;/ID&gt;&lt;UID&gt;{FC0753DD-AD0A-4BAA-8AD9-D337559E7E75}&lt;/UID&gt;&lt;Title&gt;Fourth Universal Definition of Myocardial Infarction (2018)&lt;/Title&gt;&lt;Template&gt;Journal Article&lt;/Template&gt;&lt;Star&gt;0&lt;/Star&gt;&lt;Tag&gt;0&lt;/Tag&gt;&lt;Author&gt;Thygesen, Kristian; Alpert, Joseph S; Jaffe, Allan S; Chaitman, Bernard R; Bax, Jeroen J; Morrow, David A; White, Harvey D&lt;/Author&gt;&lt;Year&gt;2018&lt;/Year&gt;&lt;Details&gt;&lt;_accessed&gt;66401362&lt;/_accessed&gt;&lt;_accession_num&gt;30153967&lt;/_accession_num&gt;&lt;_collection_scope&gt;SCIE&lt;/_collection_scope&gt;&lt;_created&gt;66401353&lt;/_created&gt;&lt;_date&gt;2018-10-30&lt;/_date&gt;&lt;_date_display&gt;2018 Oct 30&lt;/_date_display&gt;&lt;_db_updated&gt;CrossRef&lt;/_db_updated&gt;&lt;_doi&gt;10.1016/j.jacc.2018.08.1038&lt;/_doi&gt;&lt;_impact_factor&gt;  21.700&lt;/_impact_factor&gt;&lt;_isbn&gt;07351097&lt;/_isbn&gt;&lt;_issue&gt;18&lt;/_issue&gt;&lt;_journal&gt;Journal of the American College of Cardiology&lt;/_journal&gt;&lt;_keywords&gt;Expert Consensus Document; Takotsubo syndrome; cardiac procedural myocardial injury; cardiac troponin; high sensitivity cardiac troponin; myocardial infarction; myocardial infarction with non-obstructive coronary arteries (MINOCA); myocardial injury; prior myocardial infarction; re-infarction; recurrent myocardial infarction; silent myocardial infarction; type 1 MI; type 2 MI; type 3 MI; type 4a MI; type 4b MI; type 4c MI; type 5 MI&lt;/_keywords&gt;&lt;_language&gt;eng&lt;/_language&gt;&lt;_modified&gt;66401436&lt;/_modified&gt;&lt;_number&gt;50&lt;/_number&gt;&lt;_pages&gt;2231-2264&lt;/_pages&gt;&lt;_social_category&gt;心脏和心血管系统(1)&lt;/_social_category&gt;&lt;_subject_headings&gt;Biomarkers/blood; Cardiology/*standards/trends; Humans; Myocardial Infarction/blood/*diagnostic imaging/*surgery; Percutaneous Coronary Intervention/adverse effects/trends&lt;/_subject_headings&gt;&lt;_tertiary_title&gt;Journal of the American College of Cardiology&lt;/_tertiary_title&gt;&lt;_type_work&gt;Journal Article; Review&lt;/_type_work&gt;&lt;_url&gt;https://linkinghub.elsevier.com/retrieve/pii/S0735109718369419_x000d__x000a_https://api.elsevier.com/content/article/PII:S0735109718369419?httpAccept=text/xml&lt;/_url&gt;&lt;_volume&gt;72&lt;/_volume&gt;&lt;/Details&gt;&lt;Extra&gt;&lt;DBUID&gt;{0595FEED-06EC-4465-A92A-123F8040CA41}&lt;/DBUID&gt;&lt;/Extra&gt;&lt;/Item&gt;&lt;/References&gt;&lt;/Group&gt;&lt;/Citation&gt;_x000a_"/>
    <w:docVar w:name="NE.Ref{E19AD37B-EB15-406C-A052-808943977D0B}" w:val=" ADDIN NE.Ref.{E19AD37B-EB15-406C-A052-808943977D0B}&lt;Citation&gt;&lt;Group&gt;&lt;References&gt;&lt;Item&gt;&lt;ID&gt;2602&lt;/ID&gt;&lt;UID&gt;{FCC7A581-2459-4AD3-8254-A4F8F614DF08}&lt;/UID&gt;&lt;Title&gt;The association between stress hyperglycemia ratio with mortality in critically  ill patients with acute heart failure&lt;/Title&gt;&lt;Template&gt;Journal Article&lt;/Template&gt;&lt;Star&gt;0&lt;/Star&gt;&lt;Tag&gt;0&lt;/Tag&gt;&lt;Author&gt;Ge, Tingai; Hu, Jingjing; Zhou, Yidan&lt;/Author&gt;&lt;Year&gt;2024&lt;/Year&gt;&lt;Details&gt;&lt;_accession_num&gt;39639971&lt;/_accession_num&gt;&lt;_author_adr&gt;Department of Emergency Medicine, Hangzhou Third People&amp;apos;s Hospital, Hangzhou,  China.; Department of Emergency Medicine, Hangzhou Third People&amp;apos;s Hospital, Hangzhou,  China.; Department of Emergency Medicine, Hangzhou Third People&amp;apos;s Hospital, Hangzhou,  China.&lt;/_author_adr&gt;&lt;_date_display&gt;2024&lt;/_date_display&gt;&lt;_date&gt;2024-01-20&lt;/_date&gt;&lt;_doi&gt;10.3389/fcvm.2024.1463861&lt;/_doi&gt;&lt;_isbn&gt;2297-055X (Print); 2297-055X (Electronic); 2297-055X (Linking)&lt;/_isbn&gt;&lt;_journal&gt;Front Cardiovasc Med&lt;/_journal&gt;&lt;_keywords&gt;acute heart failure; critically ill; glucose; glycosylated hemoglobin; mortality; stress hyperglycemia&lt;/_keywords&gt;&lt;_language&gt;eng&lt;/_language&gt;&lt;_ori_publication&gt;© 2024 Ge, Hu and Zhou.&lt;/_ori_publication&gt;&lt;_pages&gt;1463861&lt;/_pages&gt;&lt;_tertiary_title&gt;Frontiers in cardiovascular medicine&lt;/_tertiary_title&gt;&lt;_type_work&gt;Journal Article&lt;/_type_work&gt;&lt;_url&gt;http://www.ncbi.nlm.nih.gov/entrez/query.fcgi?cmd=Retrieve&amp;amp;db=pubmed&amp;amp;dopt=Abstract&amp;amp;list_uids=39639971&amp;amp;query_hl=1&lt;/_url&gt;&lt;_volume&gt;11&lt;/_volume&gt;&lt;_created&gt;66401336&lt;/_created&gt;&lt;_modified&gt;66401336&lt;/_modified&gt;&lt;_impact_factor&gt;   2.800&lt;/_impact_factor&gt;&lt;_social_category&gt;心脏和心血管系统(3)&lt;/_social_category&gt;&lt;_collection_scope&gt;SCIE&lt;/_collection_scope&gt;&lt;/Details&gt;&lt;Extra&gt;&lt;DBUID&gt;{0595FEED-06EC-4465-A92A-123F8040CA41}&lt;/DBUID&gt;&lt;/Extra&gt;&lt;/Item&gt;&lt;/References&gt;&lt;/Group&gt;&lt;Group&gt;&lt;References&gt;&lt;Item&gt;&lt;ID&gt;2616&lt;/ID&gt;&lt;UID&gt;{B213F5E4-E392-42B9-818E-15255DAAA78D}&lt;/UID&gt;&lt;Title&gt;Stress hyperglycemia: an essential survival response!&lt;/Title&gt;&lt;Template&gt;Journal Article&lt;/Template&gt;&lt;Star&gt;0&lt;/Star&gt;&lt;Tag&gt;0&lt;/Tag&gt;&lt;Author&gt;Marik, Paul E; Bellomo, Rinaldo&lt;/Author&gt;&lt;Year&gt;2013&lt;/Year&gt;&lt;Details&gt;&lt;_accession_num&gt;23685597&lt;/_accession_num&gt;&lt;_date_display&gt;2013 Jun&lt;/_date_display&gt;&lt;_date&gt;2013-06-01&lt;/_date&gt;&lt;_doi&gt;10.1097/CCM.0b013e318283d124&lt;/_doi&gt;&lt;_isbn&gt;1530-0293 (Electronic); 0090-3493 (Linking)&lt;/_isbn&gt;&lt;_issue&gt;6&lt;/_issue&gt;&lt;_journal&gt;Crit Care Med&lt;/_journal&gt;&lt;_language&gt;eng&lt;/_language&gt;&lt;_pages&gt;e93-4&lt;/_pages&gt;&lt;_subject_headings&gt;*Critical Care; Humans; Hyperglycemia/*drug therapy; Hypoglycemic Agents/*administration &amp;amp; dosage; Insulin/*administration &amp;amp; dosage; *Practice Guidelines as Topic&lt;/_subject_headings&gt;&lt;_tertiary_title&gt;Critical care medicine&lt;/_tertiary_title&gt;&lt;_type_work&gt;Comment; Letter&lt;/_type_work&gt;&lt;_url&gt;http://www.ncbi.nlm.nih.gov/entrez/query.fcgi?cmd=Retrieve&amp;amp;db=pubmed&amp;amp;dopt=Abstract&amp;amp;list_uids=23685597&amp;amp;query_hl=1&lt;/_url&gt;&lt;_volume&gt;41&lt;/_volume&gt;&lt;_created&gt;66401348&lt;/_created&gt;&lt;_modified&gt;66401349&lt;/_modified&gt;&lt;_impact_factor&gt;   7.700&lt;/_impact_factor&gt;&lt;_social_category&gt;危重病医学(2)&lt;/_social_category&gt;&lt;_collection_scope&gt;SCIE&lt;/_collection_scope&gt;&lt;/Details&gt;&lt;Extra&gt;&lt;DBUID&gt;{0595FEED-06EC-4465-A92A-123F8040CA41}&lt;/DBUID&gt;&lt;/Extra&gt;&lt;/Item&gt;&lt;/References&gt;&lt;/Group&gt;&lt;/Citation&gt;_x000a_"/>
    <w:docVar w:name="NE.Ref{E234D12A-AA78-4557-AF8D-1AAB343D4E5B}" w:val=" ADDIN NE.Ref.{E234D12A-AA78-4557-AF8D-1AAB343D4E5B}&lt;Citation&gt;&lt;Group&gt;&lt;References&gt;&lt;Item&gt;&lt;ID&gt;2718&lt;/ID&gt;&lt;UID&gt;{36286EF6-5C7D-43D9-8AC4-152BE099DED7}&lt;/UID&gt;&lt;Title&gt;Lactate and shock state: the metabolic view&lt;/Title&gt;&lt;Template&gt;Journal Article&lt;/Template&gt;&lt;Star&gt;0&lt;/Star&gt;&lt;Tag&gt;0&lt;/Tag&gt;&lt;Author&gt;Levy, Bruno&lt;/Author&gt;&lt;Year&gt;2006&lt;/Year&gt;&lt;Details&gt;&lt;_accessed&gt;66402459&lt;/_accessed&gt;&lt;_accession_num&gt;16810041&lt;/_accession_num&gt;&lt;_author_adr&gt;Service de Réanimation Médicale, CHU Brabois, 54500 Vandoeuvre les Nancy, Nancy,  France. b.levy@chu-nancy.fr&lt;/_author_adr&gt;&lt;_collection_scope&gt;SCIE&lt;/_collection_scope&gt;&lt;_created&gt;66401459&lt;/_created&gt;&lt;_date&gt;2006-08-01&lt;/_date&gt;&lt;_date_display&gt;2006 Aug&lt;/_date_display&gt;&lt;_db_updated&gt;CrossRef&lt;/_db_updated&gt;&lt;_doi&gt;10.1097/01.ccx.0000235208.77450.15&lt;/_doi&gt;&lt;_impact_factor&gt;   3.500&lt;/_impact_factor&gt;&lt;_isbn&gt;1070-5295&lt;/_isbn&gt;&lt;_issue&gt;4&lt;/_issue&gt;&lt;_journal&gt;Current Opinion in Critical Care&lt;/_journal&gt;&lt;_language&gt;eng&lt;/_language&gt;&lt;_modified&gt;66402459&lt;/_modified&gt;&lt;_number&gt;25&lt;/_number&gt;&lt;_pages&gt;315-321&lt;/_pages&gt;&lt;_social_category&gt;危重病医学(3)&lt;/_social_category&gt;&lt;_subject_headings&gt;Humans; Hypoxia/metabolism; Lactic Acid/*metabolism; Shock/*metabolism&lt;/_subject_headings&gt;&lt;_tertiary_title&gt;Current Opinion in Critical Care&lt;/_tertiary_title&gt;&lt;_type_work&gt;Journal Article; Review&lt;/_type_work&gt;&lt;_url&gt;http://journals.lww.com/00075198-200608000-00007_x000d__x000a_http://journals.lww.com/00000637-200604000-00011&lt;/_url&gt;&lt;_volume&gt;12&lt;/_volume&gt;&lt;/Details&gt;&lt;Extra&gt;&lt;DBUID&gt;{0595FEED-06EC-4465-A92A-123F8040CA41}&lt;/DBUID&gt;&lt;/Extra&gt;&lt;/Item&gt;&lt;/References&gt;&lt;/Group&gt;&lt;/Citation&gt;_x000a_"/>
    <w:docVar w:name="NE.Ref{E70B5166-A236-4620-8825-7301C3DC1429}" w:val=" ADDIN NE.Ref.{E70B5166-A236-4620-8825-7301C3DC1429}&lt;Citation&gt;&lt;Group&gt;&lt;References&gt;&lt;Item&gt;&lt;ID&gt;2708&lt;/ID&gt;&lt;UID&gt;{5289A791-A8CD-43CE-818D-B84DD4BBE4EF}&lt;/UID&gt;&lt;Title&gt;Association of stress hyperglycemia ratio and in-hospital mortality in patients with coronary artery disease: insights from a large cohort study&lt;/Title&gt;&lt;Template&gt;Journal Article&lt;/Template&gt;&lt;Star&gt;0&lt;/Star&gt;&lt;Tag&gt;0&lt;/Tag&gt;&lt;Author&gt;Xu, Wei; Song, Qirui; Wang, Xiang; Zhao, Zinan; Meng, Xuyang; Xia, Chenxi; Xie, Yibo; Yang, Chenguang; Guo, Ying; Zhang, Yatong; Wang, Fang&lt;/Author&gt;&lt;Year&gt;2022&lt;/Year&gt;&lt;Details&gt;&lt;_accessed&gt;66402469&lt;/_accessed&gt;&lt;_accession_num&gt;36261839&lt;/_accession_num&gt;&lt;_author_adr&gt;Emergency Center, State Key Laboratory of Cardiovascular Disease of China,  National Center for Cardiovascular Diseases, National Clinical Research Center of  Cardiovascular Diseases, Fuwai Hospital, Chinese Academy of Medical Sciences and  Peking Union Medical College, 100037, Beijing, China.; Hypertension Center, State Key Laboratory of Cardiovascular Disease of China,  National Center for Cardiovascular Diseases of China, Fuwai Hospital, Chinese  Academy of Medical Sciences, Peking Union Medical College, 100037,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Department of Cardiology, Beijing Hospital, National Center of Gerontology,  Institute of Geriatric Medicine, Chinese Academy of Medical Sciences, Beijing,  China.; Graduate School of Peking Union Medical College, Chinese Academy of Medical  Sciences, Beijing, China.; Department of Cardiology, Beijing Hospital, National Center of Gerontology,  Institute of Geriatric Medicine, Chinese Academy of Medical Sciences, Beijing,  China.; Department of Information Center,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Cardiology, Beijing Hospital, National Center of Gerontology,  Institute of Geriatric Medicine, Chinese Academy of Medical Sciences, Beijing,  China.; Department of Pharmacy, Institute of Geriatric Medicine, Beijing Hospital,  National Center of Gerontology, Chinese Academy of Medical Sciences, Beijing Key  Laboratory of Assessment of Clinical Drugs Risk and Individual Application  (Beijing Hospital), Beijing, China. 750826140@qq.com.; Department of Cardiology, Beijing Hospital, National Center of Gerontology,  Institute of Geriatric Medicine, Chinese Academy of Medical Sciences, Beijing,  China. bjh_wangfang@163.com.; Graduate School of Peking Union Medical College, Chinese Academy of Medical  Sciences, Beijing, China. bjh_wangfang@163.com.&lt;/_author_adr&gt;&lt;_collection_scope&gt;SCIE&lt;/_collection_scope&gt;&lt;_created&gt;66401455&lt;/_created&gt;&lt;_date&gt;64166400&lt;/_date&gt;&lt;_date_display&gt;2022&lt;/_date_display&gt;&lt;_db_updated&gt;PKU Search&lt;/_db_updated&gt;&lt;_doi&gt;10.1186/s12933-022-01645-y&lt;/_doi&gt;&lt;_impact_factor&gt;   8.500&lt;/_impact_factor&gt;&lt;_isbn&gt;1475-2840&lt;/_isbn&gt;&lt;_issue&gt;1&lt;/_issue&gt;&lt;_journal&gt;Cardiovascular Diabetology&lt;/_journal&gt;&lt;_keywords&gt;Acute Coronary Syndrome; Blood Glucose; Cohort Studies; Coronary Artery Disease; Diabetes; Diabetes Mellitus; Diseases of the circulatory (Cardiovascular) system; Glycated Hemoglobin; Hospital Mortality; Humans; Hyperglycemia; Mortality; RC666-701; Stress hyperglycemia; Stress hyperglycemia ratio&lt;/_keywords&gt;&lt;_language&gt;eng&lt;/_language&gt;&lt;_modified&gt;66402646&lt;/_modified&gt;&lt;_number&gt;17&lt;/_number&gt;&lt;_ori_publication&gt;Springer Science and Business Media LLC&lt;/_ori_publication&gt;&lt;_pages&gt;217&lt;/_pages&gt;&lt;_social_category&gt;内分泌学与代谢(1) &amp;amp; 心脏和心血管系统(2)&lt;/_social_category&gt;&lt;_subject_headings&gt;Humans; Blood Glucose; Glycated Hemoglobin/analysis; *Coronary Artery Disease; Hospital Mortality; Cohort Studies; *Hyperglycemia; *Diabetes Mellitus; *Acute Coronary Syndrome&lt;/_subject_headings&gt;&lt;_tertiary_title&gt;Cardiovasc Diabetol&lt;/_tertiary_title&gt;&lt;_type_work&gt;Journal Article; Research Support, Non-U.S. Gov&amp;apos;t&lt;/_type_work&gt;&lt;_url&gt;https://go.exlibris.link/LNyt6H1m&lt;/_url&gt;&lt;_volume&gt;21&lt;/_volume&gt;&lt;/Details&gt;&lt;Extra&gt;&lt;DBUID&gt;{0595FEED-06EC-4465-A92A-123F8040CA41}&lt;/DBUID&gt;&lt;/Extra&gt;&lt;/Item&gt;&lt;/References&gt;&lt;/Group&gt;&lt;/Citation&gt;_x000a_"/>
    <w:docVar w:name="NE.Ref{E9BDD309-7EE8-4F3B-9D21-4DD01CF3F584}" w:val=" ADDIN NE.Ref.{E9BDD309-7EE8-4F3B-9D21-4DD01CF3F584}&lt;Citation&gt;&lt;Group&gt;&lt;References&gt;&lt;Item&gt;&lt;ID&gt;2720&lt;/ID&gt;&lt;UID&gt;{B7976DD9-3FA1-434D-88C1-26EABA2EC857}&lt;/UID&gt;&lt;Title&gt;Addressing Missing Data in Clinical Studies of Kidney Diseases&lt;/Title&gt;&lt;Template&gt;Journal Article&lt;/Template&gt;&lt;Star&gt;0&lt;/Star&gt;&lt;Tag&gt;0&lt;/Tag&gt;&lt;Author&gt;Montez-Rath, Maria E; Winkelmayer, Wolfgang C; Desai, Manisha&lt;/Author&gt;&lt;Year&gt;2014&lt;/Year&gt;&lt;Details&gt;&lt;_accessed&gt;66402459&lt;/_accessed&gt;&lt;_accession_num&gt;24509298&lt;/_accession_num&gt;&lt;_author_adr&gt;Division of Nephrology and mmrath@stanford.edu.; Division of Nephrology and.; Quantitative Sciences Unit, Department of Medicine, Stanford University School of  Medicine, Palo Alto, California.&lt;/_author_adr&gt;&lt;_collection_scope&gt;SCIE&lt;/_collection_scope&gt;&lt;_created&gt;66401459&lt;/_created&gt;&lt;_date&gt;2014-07-01&lt;/_date&gt;&lt;_date_display&gt;2014 Jul&lt;/_date_display&gt;&lt;_db_updated&gt;CrossRef&lt;/_db_updated&gt;&lt;_doi&gt;10.2215/CJN.10141013&lt;/_doi&gt;&lt;_impact_factor&gt;   8.500&lt;/_impact_factor&gt;&lt;_isbn&gt;1555-9041&lt;/_isbn&gt;&lt;_issue&gt;7&lt;/_issue&gt;&lt;_journal&gt;Clinical Journal of the American Society of Nephrology&lt;/_journal&gt;&lt;_keywords&gt;biostatistics; epidemiology and outcomes; outcomes&lt;/_keywords&gt;&lt;_language&gt;eng&lt;/_language&gt;&lt;_modified&gt;66402459&lt;/_modified&gt;&lt;_number&gt;27&lt;/_number&gt;&lt;_ori_publication&gt;Copyright © 2014 by the American Society of Nephrology.&lt;/_ori_publication&gt;&lt;_pages&gt;1328-1335&lt;/_pages&gt;&lt;_social_category&gt;泌尿学与肾脏学(1)&lt;/_social_category&gt;&lt;_subject_headings&gt;Biomedical Research/*statistics &amp;amp; numerical data; Data Interpretation, Statistical; Humans; *Kidney Diseases/diagnosis/physiopathology/therapy; Models, Statistical; Nephrology/*statistics &amp;amp; numerical data; Reproducibility of Results; Research Design/*statistics &amp;amp; numerical data; Software&lt;/_subject_headings&gt;&lt;_tertiary_title&gt;Clinical journal of the American Society of Nephrology : CJASN&lt;/_tertiary_title&gt;&lt;_type_work&gt;Journal Article; Research Support, Non-U.S. Gov&amp;apos;t&lt;/_type_work&gt;&lt;_url&gt;https://journals.lww.com/01277230-201407000-00024_x000d__x000a_https://journals.lww.com/01277230-201407000-00024&lt;/_url&gt;&lt;_volume&gt;9&lt;/_volume&gt;&lt;/Details&gt;&lt;Extra&gt;&lt;DBUID&gt;{0595FEED-06EC-4465-A92A-123F8040CA41}&lt;/DBUID&gt;&lt;/Extra&gt;&lt;/Item&gt;&lt;/References&gt;&lt;/Group&gt;&lt;/Citation&gt;_x000a_"/>
    <w:docVar w:name="NE.Ref{EB290A4A-0307-448F-BF9E-A98D9A525BA6}" w:val="NE.Data.1{EB290A4A-0307-448F-BF9E-A98D9A525BA6}=NE.Data.2{EB290A4A-0307-448F-BF9E-A98D9A525BA6}=NE.Data.3{EB290A4A-0307-448F-BF9E-A98D9A525BA6}=NE.Data.4{EB290A4A-0307-448F-BF9E-A98D9A525BA6}"/>
    <w:docVar w:name="NE.Ref{EBF4B89E-B48A-4CCA-ABC9-3B9090E4BDFE}" w:val=" ADDIN NE.Ref.{EBF4B89E-B48A-4CCA-ABC9-3B9090E4BDFE}&lt;Citation&gt;&lt;Group&gt;&lt;References&gt;&lt;Item&gt;&lt;ID&gt;2602&lt;/ID&gt;&lt;UID&gt;{FCC7A581-2459-4AD3-8254-A4F8F614DF08}&lt;/UID&gt;&lt;Title&gt;The association between stress hyperglycemia ratio with mortality in critically ill patients with acute heart failure&lt;/Title&gt;&lt;Template&gt;Journal Article&lt;/Template&gt;&lt;Star&gt;0&lt;/Star&gt;&lt;Tag&gt;0&lt;/Tag&gt;&lt;Author&gt;Ge, Tingai; Hu, Jingjing; Zhou, Yidan&lt;/Author&gt;&lt;Year&gt;2024&lt;/Year&gt;&lt;Details&gt;&lt;_accessed&gt;66401361&lt;/_accessed&gt;&lt;_accession_num&gt;39639971&lt;/_accession_num&gt;&lt;_author_adr&gt;Department of Emergency Medicine, Hangzhou Third People&amp;apos;s Hospital, Hangzhou,  China.; Department of Emergency Medicine, Hangzhou Third People&amp;apos;s Hospital, Hangzhou,  China.; Department of Emergency Medicine, Hangzhou Third People&amp;apos;s Hospital, Hangzhou,  China.&lt;/_author_adr&gt;&lt;_collection_scope&gt;SCIE&lt;/_collection_scope&gt;&lt;_created&gt;66401336&lt;/_created&gt;&lt;_date&gt;65685600&lt;/_date&gt;&lt;_date_display&gt;2024&lt;/_date_display&gt;&lt;_db_updated&gt;CrossRef&lt;/_db_updated&gt;&lt;_doi&gt;10.3389/fcvm.2024.1463861&lt;/_doi&gt;&lt;_impact_factor&gt;   2.800&lt;/_impact_factor&gt;&lt;_isbn&gt;2297-055X&lt;/_isbn&gt;&lt;_journal&gt;Frontiers in Cardiovascular Medicine&lt;/_journal&gt;&lt;_keywords&gt;acute heart failure; critically ill; glucose; glycosylated hemoglobin; mortality; stress hyperglycemia&lt;/_keywords&gt;&lt;_language&gt;eng&lt;/_language&gt;&lt;_modified&gt;66401377&lt;/_modified&gt;&lt;_ori_publication&gt;© 2024 Ge, Hu and Zhou.&lt;/_ori_publication&gt;&lt;_pages&gt;1463861&lt;/_pages&gt;&lt;_social_category&gt;心脏和心血管系统(3)&lt;/_social_category&gt;&lt;_tertiary_title&gt;Front. Cardiovasc. Med.&lt;/_tertiary_title&gt;&lt;_type_work&gt;Journal Article&lt;/_type_work&gt;&lt;_url&gt;https://www.frontiersin.org/articles/10.3389/fcvm.2024.1463861/full_x000d__x000a_https://www.frontiersin.org/articles/10.3389/fcvm.2024.1463861/full&lt;/_url&gt;&lt;_volume&gt;11&lt;/_volume&gt;&lt;/Details&gt;&lt;Extra&gt;&lt;DBUID&gt;{0595FEED-06EC-4465-A92A-123F8040CA41}&lt;/DBUID&gt;&lt;/Extra&gt;&lt;/Item&gt;&lt;/References&gt;&lt;/Group&gt;&lt;/Citation&gt;_x000a_"/>
    <w:docVar w:name="NE.Ref{EC25CFDD-A768-4A6A-9777-BF556A248644}" w:val=" ADDIN NE.Ref.{EC25CFDD-A768-4A6A-9777-BF556A248644}&lt;Citation&gt;&lt;Group&gt;&lt;References&gt;&lt;Item&gt;&lt;ID&gt;2617&lt;/ID&gt;&lt;UID&gt;{8CB5217F-8B81-491F-AAD8-761639AC7000}&lt;/UID&gt;&lt;Title&gt;Myocardial ischaemia–reperfusion injury and cardioprotection in perspective&lt;/Title&gt;&lt;Template&gt;Journal Article&lt;/Template&gt;&lt;Star&gt;0&lt;/Star&gt;&lt;Tag&gt;0&lt;/Tag&gt;&lt;Author&gt;Heusch, Gerd&lt;/Author&gt;&lt;Year&gt;2020&lt;/Year&gt;&lt;Details&gt;&lt;_accessed&gt;66401362&lt;/_accessed&gt;&lt;_accession_num&gt;32620851&lt;/_accession_num&gt;&lt;_author_adr&gt;Institute for Pathophysiology, West German Heart and Vascular Center, University  of Duisburg-Essen, Essen, Germany. gerd.heusch@uk-essen.de.&lt;/_author_adr&gt;&lt;_collection_scope&gt;SCIE&lt;/_collection_scope&gt;&lt;_created&gt;66401349&lt;/_created&gt;&lt;_date&gt;2020-12-01&lt;/_date&gt;&lt;_date_display&gt;2020 Dec&lt;/_date_display&gt;&lt;_db_updated&gt;CrossRef&lt;/_db_updated&gt;&lt;_doi&gt;10.1038/s41569-020-0403-y&lt;/_doi&gt;&lt;_impact_factor&gt;  41.700&lt;/_impact_factor&gt;&lt;_isbn&gt;1759-5002&lt;/_isbn&gt;&lt;_issue&gt;12&lt;/_issue&gt;&lt;_journal&gt;Nature Reviews Cardiology&lt;/_journal&gt;&lt;_language&gt;eng&lt;/_language&gt;&lt;_modified&gt;66401436&lt;/_modified&gt;&lt;_number&gt;40&lt;/_number&gt;&lt;_pages&gt;773-789&lt;/_pages&gt;&lt;_social_category&gt;心脏和心血管系统(1)&lt;/_social_category&gt;&lt;_subject_headings&gt;Humans; *Myocardial Reperfusion Injury/prevention &amp;amp; control&lt;/_subject_headings&gt;&lt;_tertiary_title&gt;Nat Rev Cardiol&lt;/_tertiary_title&gt;&lt;_type_work&gt;Journal Article; Research Support, Non-U.S. Gov&amp;apos;t; Review&lt;/_type_work&gt;&lt;_url&gt;https://www.nature.com/articles/s41569-020-0403-y_x000d__x000a_http://www.nature.com/articles/s41569-020-0403-y.pdf&lt;/_url&gt;&lt;_volume&gt;17&lt;/_volume&gt;&lt;/Details&gt;&lt;Extra&gt;&lt;DBUID&gt;{0595FEED-06EC-4465-A92A-123F8040CA41}&lt;/DBUID&gt;&lt;/Extra&gt;&lt;/Item&gt;&lt;/References&gt;&lt;/Group&gt;&lt;/Citation&gt;_x000a_"/>
    <w:docVar w:name="NE.Ref{EEA1D574-BC4A-40CA-9BA1-796D93FAFB0F}" w:val=" ADDIN NE.Ref.{EEA1D574-BC4A-40CA-9BA1-796D93FAFB0F}&lt;Citation&gt;&lt;Group&gt;&lt;References&gt;&lt;Item&gt;&lt;ID&gt;2575&lt;/ID&gt;&lt;UID&gt;{CC306890-9661-401F-90A5-8F620DF868D9}&lt;/UID&gt;&lt;Title&gt;2019 ESC Guidelines for the diagnosis and management of chronic coronary syndromes&lt;/Title&gt;&lt;Template&gt;Journal Article&lt;/Template&gt;&lt;Star&gt;0&lt;/Star&gt;&lt;Tag&gt;0&lt;/Tag&gt;&lt;Author&gt;Knuuti, Juhani; Wijns, William; Saraste, Antti; Capodanno, Davide; Barbato, Emanuele; Funck-Brentano, Christian; Prescott, Eva; Storey, Robert F; Deaton, Christi; Cuisset, Thomas; Agewall, Stefan; Dickstein, Kenneth; Edvardsen, Thor; Escaned, Javier; Gersh, Bernard J; Svitil, Pavel; Gilard, Martine; Hasdai, David; Hatala, Robert; Mahfoud, Felix; Masip, Josep; Muneretto, Claudio; Valgimigli, Marco; Achenbach, Stephan; Bax, Jeroen J; Neumann, Franz-Josef; Sechtem, Udo; Banning, Adrian Paul; Bonaros, Nikolaos; Bueno, Héctor; Bugiardini, Raffaele; Chieffo, Alaide; Crea, Filippo; Czerny, Martin; Delgado, Victoria; Dendale, Paul; Flachskampf, Frank Arnold; Gohlke, Helmut; Grove, Erik Lerkevang; James, Stefan; Katritsis, Demosthenes; Landmesser, Ulf; Lettino, Maddalena; Matter, Christian M; Nathoe, Hendrik; Niessner, Alexander; Patrono, Carlo; Petronio, Anna Sonia; Pettersen, Steffen E; Piccolo, Raffaele; Piepoli, Massimo Francesco; Popescu, Bogdan A; Räber, Lorenz; Richter, Dimitrios J; Roffi, Marco; Roithinger, Franz X; Shlyakhto, Evgeny; Sibbing, Dirk; Silber, Sigmund; Simpson, Iain A; Sousa-Uva, Miguel; Vardas, Panos; Witkowski, Adam; Zamorano, Jose Luis; Achenbach, Stephan; Agewall, Stefan; Barbato, Emanuele; Bax, Jeroen J; Capodanno, Davide; Cuisset, Thomas; Deaton, Christi; Dickstein, Kenneth; Edvardsen, Thor; Escaned, Javier; Funck-Brentano, Christian; Gersh, Bernard J; Gilard, Martine; Hasdai, David; Hatala, Robert; Mahfoud, Felix; Masip, Josep; Muneretto, Claudio; Prescott, Eva; Saraste, Antti; Storey, Robert F; Svitil, Pavel; Valgimigli, Marco; Windecker, Stephan; Aboyans, Victor; Baigent, Colin; Collet, Jean-Philippe; Dean, Veronica; Delgado, Victoria; Fitzsimons, Donna; Gale, Christopher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Benkhedda, Salim; Metzler, Bernhard; Sujayeva, Volha; Cosyns, Bernard; Kusljugic, Zumreta; Velchev, Vasil; Panayi, Georgios; Kala, Petr; Haahr-Pedersen, Sune Ammentorp; Kabil, Hamza; Ainla, Tiia; Kaukonen, Tomi; Cayla, Guillaume; Pagava, Zurab; Woehrle, Jochen; Kanakakis, John; Tóth, Kálmán; Gudnason, Thorarinn; Peace, Aaron; Aronson, Doron; Riccio, Carmine; Elezi, Shpend; Mirrakhimov, Erkin; Hansone, Silvija; Sarkis, Antoine; Babarskiene, Ruta; Beissel, Jean; Maempel, Andrew J Cassar; Revenco, Valeriu; de Grooth, G J; Pejkov, Hristo; Juliebø, Vibeke; Lipiec, Piotr; Santos, José; Chioncel, Ovidiu; Duplyakov, Dmitry; Bertelli, Luca; Dikic, Ana Djordjevic; Studenčan, Martin; Bunc, Matjaz; Alfonso, Fernando; Bäck, Magnus; Zellweger, Michael; Addad, Faouzi; Yildirir, Aylin; Sirenko, Yuriy; Clapp, Brian&lt;/Author&gt;&lt;Year&gt;2020&lt;/Year&gt;&lt;Details&gt;&lt;_accessed&gt;66401430&lt;/_accessed&gt;&lt;_accession_num&gt;31504439&lt;/_accession_num&gt;&lt;_collection_scope&gt;SCIE&lt;/_collection_scope&gt;&lt;_created&gt;66401315&lt;/_created&gt;&lt;_date&gt;63132480&lt;/_date&gt;&lt;_date_display&gt;2020 Jan 14&lt;/_date_display&gt;&lt;_db_updated&gt;CrossRef&lt;/_db_updated&gt;&lt;_doi&gt;10.1093/eurheartj/ehz425&lt;/_doi&gt;&lt;_impact_factor&gt;  38.100&lt;/_impact_factor&gt;&lt;_isbn&gt;0195-668X&lt;/_isbn&gt;&lt;_issue&gt;3&lt;/_issue&gt;&lt;_journal&gt;European Heart Journal&lt;/_journal&gt;&lt;_keywords&gt;Guidelines; angina pectoris; anti-ischaemic drugs; antithrombotic therapy; chronic coronary syndromes; coronary artery disease; diagnostic testing; imaging; lifestyle modifications; lipid-lowering drugs; microvascular angina; myocardial ischaemia; myocardial revascularization; risk assessment; screening; vasospastic angina&lt;/_keywords&gt;&lt;_language&gt;eng&lt;/_language&gt;&lt;_modified&gt;66401431&lt;/_modified&gt;&lt;_number&gt;4&lt;/_number&gt;&lt;_pages&gt;407-477&lt;/_pages&gt;&lt;_social_category&gt;心脏和心血管系统(1)&lt;/_social_category&gt;&lt;_subject_headings&gt;*Cardiology; Chronic Disease; Coronary Artery Disease/*diagnosis/therapy; *Diagnostic Techniques, Cardiovascular; *Disease Management; Europe; Humans; *Societies, Medical; Syndrome&lt;/_subject_headings&gt;&lt;_tertiary_title&gt;European heart journal&lt;/_tertiary_title&gt;&lt;_type_work&gt;Journal Article; Practice Guideline&lt;/_type_work&gt;&lt;_url&gt;https://academic.oup.com/eurheartj/article/41/3/407/5556137_x000d__x000a_http://academic.oup.com/eurheartj/article-pdf/41/3/407/32651471/ehz425.pdf&lt;/_url&gt;&lt;_volume&gt;41&lt;/_volume&gt;&lt;/Details&gt;&lt;Extra&gt;&lt;DBUID&gt;{0595FEED-06EC-4465-A92A-123F8040CA41}&lt;/DBUID&gt;&lt;/Extra&gt;&lt;/Item&gt;&lt;/References&gt;&lt;/Group&gt;&lt;Group&gt;&lt;References&gt;&lt;Item&gt;&lt;ID&gt;2576&lt;/ID&gt;&lt;UID&gt;{C7065FEB-CF0F-4EAF-8C5E-A3C5BAE99ABE}&lt;/UID&gt;&lt;Title&gt;2012 ACCF/AHA/ACP/AATS/PCNA/SCAI/STS Guideline for the Diagnosis and Management of Patients With Stable Ischemic Heart Disease&lt;/Title&gt;&lt;Template&gt;Journal Article&lt;/Template&gt;&lt;Star&gt;0&lt;/Star&gt;&lt;Tag&gt;0&lt;/Tag&gt;&lt;Author&gt;Fihn, Stephan D; Gardin, Julius M; Abrams, Jonathan; Berra, Kathleen; Blankenship, James C; Dallas, Apostolos P; Douglas, Pamela S; Foody, JoAnne M; Gerber, Thomas C; Hinderliter, Alan L; King, Spencer B; Kligfield, Paul D; Krumholz, Harlan M; Kwong, Raymond Y K; Lim, Michael J; Linderbaum, Jane A; Mack, Michael J; Munger, Mark A; Prager, Richard L; Sabik, Joseph F; Shaw, Leslee J; Sikkema, Joanna D; Smith, Craig R; Smith, Sidney C; Spertus, John A; Williams, Sankey V&lt;/Author&gt;&lt;Year&gt;2012&lt;/Year&gt;&lt;Details&gt;&lt;_accessed&gt;66401431&lt;/_accessed&gt;&lt;_accession_num&gt;23166211&lt;/_accession_num&gt;&lt;_collection_scope&gt;SCIE&lt;/_collection_scope&gt;&lt;_created&gt;66401315&lt;/_created&gt;&lt;_date&gt;59412960&lt;/_date&gt;&lt;_date_display&gt;2012 Dec 18&lt;/_date_display&gt;&lt;_db_updated&gt;CrossRef&lt;/_db_updated&gt;&lt;_doi&gt;10.1161/CIR.0b013e318277d6a0&lt;/_doi&gt;&lt;_impact_factor&gt;  35.600&lt;/_impact_factor&gt;&lt;_isbn&gt;0009-7322&lt;/_isbn&gt;&lt;_issue&gt;25&lt;/_issue&gt;&lt;_journal&gt;Circulation&lt;/_journal&gt;&lt;_language&gt;eng&lt;/_language&gt;&lt;_modified&gt;66401431&lt;/_modified&gt;&lt;_number&gt;5&lt;/_number&gt;&lt;_pages&gt;e354-471&lt;/_pages&gt;&lt;_social_category&gt;心脏和心血管系统(1) &amp;amp; 外周血管病(1)&lt;/_social_category&gt;&lt;_subject_headings&gt;Coronary Angiography; Coronary Artery Bypass; Echocardiography; Exercise Test; Humans; Myocardial Ischemia/*diagnosis/*therapy; Myocardial Revascularization; Patient Education as Topic; Risk Assessment&lt;/_subject_headings&gt;&lt;_tertiary_title&gt;Circulation&lt;/_tertiary_title&gt;&lt;_type_work&gt;Journal Article; Practice Guideline&lt;/_type_work&gt;&lt;_url&gt;https://www.ahajournals.org/doi/10.1161/CIR.0b013e318277d6a0_x000d__x000a_https://www.ahajournals.org/doi/full/10.1161/CIR.0b013e318277d6a0&lt;/_url&gt;&lt;_volume&gt;126&lt;/_volume&gt;&lt;/Details&gt;&lt;Extra&gt;&lt;DBUID&gt;{0595FEED-06EC-4465-A92A-123F8040CA41}&lt;/DBUID&gt;&lt;/Extra&gt;&lt;/Item&gt;&lt;/References&gt;&lt;/Group&gt;&lt;/Citation&gt;_x000a_"/>
    <w:docVar w:name="NE.Ref{EFB68BB7-F43D-4F2E-999A-C40C0150C140}" w:val=" ADDIN NE.Ref.{EFB68BB7-F43D-4F2E-999A-C40C0150C140}&lt;Citation&gt;&lt;Group&gt;&lt;References&gt;&lt;Item&gt;&lt;ID&gt;2707&lt;/ID&gt;&lt;UID&gt;{2C054EB0-C5AB-49DD-BF0E-9244E3CA55F8}&lt;/UID&gt;&lt;Title&gt;The stress hyperglycemia ratio, an index of relative hyperglycemia, as a predictor of clinical outcomes after percutaneous coronary intervention&lt;/Title&gt;&lt;Template&gt;Journal Article&lt;/Template&gt;&lt;Star&gt;0&lt;/Star&gt;&lt;Tag&gt;0&lt;/Tag&gt;&lt;Author&gt;Yang, Yeoree; Kim, Tae-Hoon; Yoon, Kun-Ho; Chung, Wook Sung; Ahn, Youngkeun; Jeong, Myung-Ho; Seung, Ki-Bae; Lee, Seung-Hwan; Chang, Kiyuk&lt;/Author&gt;&lt;Year&gt;2017&lt;/Year&gt;&lt;Details&gt;&lt;_accessed&gt;66402458&lt;/_accessed&gt;&lt;_accession_num&gt;28256326&lt;/_accession_num&gt;&lt;_author_adr&gt;Division of Endocrinology and Metabolism, Department of Internal Medicine, Seoul  St. Mary&amp;apos;s Hospital, College of Medicine, The Catholic University of Korea,  Seoul, Republic of Korea.; Division of Cardiology, Department of Internal Medicine, Seoul St. Mary&amp;apos;s  Hospital, College of Medicine, The Catholic University of Korea, Seoul, Republic  of Korea.; Division of Endocrinology and Metabolism, Department of Internal Medicine, Seoul  St. Mary&amp;apos;s Hospital, College of Medicine, The Catholic University of Korea,  Seoul, Republic of Korea.; Division of Cardiology, Department of Internal Medicine, Seoul St. Mary&amp;apos;s  Hospital, College of Medicine, The Catholic University of Korea, Seoul, Republic  of Korea.; Division of Cardiology, Department of Internal Medicine, Chonnam National  University Hospital, Chonnam National University, Gwangju, Republic of Korea.; Division of Cardiology, Department of Internal Medicine, Chonnam National  University Hospital, Chonnam National University, Gwangju, Republic of Korea.; Division of Cardiology, Department of Internal Medicine, Seoul St. Mary&amp;apos;s  Hospital, College of Medicine, The Catholic University of Korea, Seoul, Republic  of Korea.; Division of Endocrinology and Metabolism, Department of Internal Medicine, Seoul  St. Mary&amp;apos;s Hospital, College of Medicine, The Catholic University of Korea,  Seoul, Republic of Korea. Electronic address: hwanx2@catholic.ac.kr.; Division of Cardiology, Department of Internal Medicine, Seoul St. Mary&amp;apos;s  Hospital, College of Medicine, The Catholic University of Korea, Seoul, Republic  of Korea. Electronic address: kiyuk@catholic.ac.kr.&lt;/_author_adr&gt;&lt;_collection_scope&gt;SCIE&lt;/_collection_scope&gt;&lt;_created&gt;66401455&lt;/_created&gt;&lt;_date&gt;2017-08-15&lt;/_date&gt;&lt;_date_display&gt;2017 Aug 15&lt;/_date_display&gt;&lt;_db_updated&gt;CrossRef&lt;/_db_updated&gt;&lt;_doi&gt;10.1016/j.ijcard.2017.02.065&lt;/_doi&gt;&lt;_impact_factor&gt;   3.200&lt;/_impact_factor&gt;&lt;_isbn&gt;01675273&lt;/_isbn&gt;&lt;_journal&gt;International Journal of Cardiology&lt;/_journal&gt;&lt;_keywords&gt;Coronary artery disease; Diabetes; Major adverse cardiovascular and cerebrovascular events; Percutaneous coronary intervention; Stress hyperglycemia ratio&lt;/_keywords&gt;&lt;_language&gt;eng&lt;/_language&gt;&lt;_modified&gt;66402458&lt;/_modified&gt;&lt;_number&gt;16&lt;/_number&gt;&lt;_ori_publication&gt;Copyright © 2017 Elsevier B.V. All rights reserved.&lt;/_ori_publication&gt;&lt;_pages&gt;57-63&lt;/_pages&gt;&lt;_social_category&gt;心脏和心血管系统(3)&lt;/_social_category&gt;&lt;_subject_headings&gt;Aged; Blood Glucose/*metabolism; Coronary Artery Disease/*blood/diagnosis/*surgery; Female; Follow-Up Studies; Humans; Hyperglycemia/*blood/diagnosis/*surgery; Male; Middle Aged; Percutaneous Coronary Intervention/*trends; Predictive Value of Tests; Registries; Retrospective Studies; Treatment Outcome&lt;/_subject_headings&gt;&lt;_tertiary_title&gt;International Journal of Cardiology&lt;/_tertiary_title&gt;&lt;_type_work&gt;Journal Article; Multicenter Study; Observational Study&lt;/_type_work&gt;&lt;_url&gt;https://linkinghub.elsevier.com/retrieve/pii/S0167527317305818_x000d__x000a_https://api.elsevier.com/content/article/PII:S0167527317305818?httpAccept=text/xml&lt;/_url&gt;&lt;_volume&gt;241&lt;/_volume&gt;&lt;/Details&gt;&lt;Extra&gt;&lt;DBUID&gt;{0595FEED-06EC-4465-A92A-123F8040CA41}&lt;/DBUID&gt;&lt;/Extra&gt;&lt;/Item&gt;&lt;/References&gt;&lt;/Group&gt;&lt;/Citation&gt;_x000a_"/>
    <w:docVar w:name="NE.Ref{F14826D4-5A42-4ED2-A180-0B05F616A34F}" w:val=" ADDIN NE.Ref.{F14826D4-5A42-4ED2-A180-0B05F616A34F}&lt;Citation&gt;&lt;Group&gt;&lt;References&gt;&lt;Item&gt;&lt;ID&gt;2707&lt;/ID&gt;&lt;UID&gt;{2C054EB0-C5AB-49DD-BF0E-9244E3CA55F8}&lt;/UID&gt;&lt;Title&gt;The stress hyperglycemia ratio, an index of relative hyperglycemia, as a predictor of clinical outcomes after percutaneous coronary intervention&lt;/Title&gt;&lt;Template&gt;Journal Article&lt;/Template&gt;&lt;Star&gt;0&lt;/Star&gt;&lt;Tag&gt;0&lt;/Tag&gt;&lt;Author&gt;Yang, Yeoree; Kim, Tae-Hoon; Yoon, Kun-Ho; Chung, Wook Sung; Ahn, Youngkeun; Jeong, Myung-Ho; Seung, Ki-Bae; Lee, Seung-Hwan; Chang, Kiyuk&lt;/Author&gt;&lt;Year&gt;2017&lt;/Year&gt;&lt;Details&gt;&lt;_accessed&gt;66402458&lt;/_accessed&gt;&lt;_accession_num&gt;28256326&lt;/_accession_num&gt;&lt;_author_adr&gt;Division of Endocrinology and Metabolism, Department of Internal Medicine, Seoul  St. Mary&amp;apos;s Hospital, College of Medicine, The Catholic University of Korea,  Seoul, Republic of Korea.; Division of Cardiology, Department of Internal Medicine, Seoul St. Mary&amp;apos;s  Hospital, College of Medicine, The Catholic University of Korea, Seoul, Republic  of Korea.; Division of Endocrinology and Metabolism, Department of Internal Medicine, Seoul  St. Mary&amp;apos;s Hospital, College of Medicine, The Catholic University of Korea,  Seoul, Republic of Korea.; Division of Cardiology, Department of Internal Medicine, Seoul St. Mary&amp;apos;s  Hospital, College of Medicine, The Catholic University of Korea, Seoul, Republic  of Korea.; Division of Cardiology, Department of Internal Medicine, Chonnam National  University Hospital, Chonnam National University, Gwangju, Republic of Korea.; Division of Cardiology, Department of Internal Medicine, Chonnam National  University Hospital, Chonnam National University, Gwangju, Republic of Korea.; Division of Cardiology, Department of Internal Medicine, Seoul St. Mary&amp;apos;s  Hospital, College of Medicine, The Catholic University of Korea, Seoul, Republic  of Korea.; Division of Endocrinology and Metabolism, Department of Internal Medicine, Seoul  St. Mary&amp;apos;s Hospital, College of Medicine, The Catholic University of Korea,  Seoul, Republic of Korea. Electronic address: hwanx2@catholic.ac.kr.; Division of Cardiology, Department of Internal Medicine, Seoul St. Mary&amp;apos;s  Hospital, College of Medicine, The Catholic University of Korea, Seoul, Republic  of Korea. Electronic address: kiyuk@catholic.ac.kr.&lt;/_author_adr&gt;&lt;_collection_scope&gt;SCIE&lt;/_collection_scope&gt;&lt;_created&gt;66401455&lt;/_created&gt;&lt;_date&gt;2017-08-15&lt;/_date&gt;&lt;_date_display&gt;2017 Aug 15&lt;/_date_display&gt;&lt;_db_updated&gt;CrossRef&lt;/_db_updated&gt;&lt;_doi&gt;10.1016/j.ijcard.2017.02.065&lt;/_doi&gt;&lt;_impact_factor&gt;   3.200&lt;/_impact_factor&gt;&lt;_isbn&gt;01675273&lt;/_isbn&gt;&lt;_journal&gt;International Journal of Cardiology&lt;/_journal&gt;&lt;_keywords&gt;Coronary artery disease; Diabetes; Major adverse cardiovascular and cerebrovascular events; Percutaneous coronary intervention; Stress hyperglycemia ratio&lt;/_keywords&gt;&lt;_language&gt;eng&lt;/_language&gt;&lt;_modified&gt;66402458&lt;/_modified&gt;&lt;_number&gt;16&lt;/_number&gt;&lt;_ori_publication&gt;Copyright © 2017 Elsevier B.V. All rights reserved.&lt;/_ori_publication&gt;&lt;_pages&gt;57-63&lt;/_pages&gt;&lt;_social_category&gt;心脏和心血管系统(3)&lt;/_social_category&gt;&lt;_subject_headings&gt;Aged; Blood Glucose/*metabolism; Coronary Artery Disease/*blood/diagnosis/*surgery; Female; Follow-Up Studies; Humans; Hyperglycemia/*blood/diagnosis/*surgery; Male; Middle Aged; Percutaneous Coronary Intervention/*trends; Predictive Value of Tests; Registries; Retrospective Studies; Treatment Outcome&lt;/_subject_headings&gt;&lt;_tertiary_title&gt;International Journal of Cardiology&lt;/_tertiary_title&gt;&lt;_type_work&gt;Journal Article; Multicenter Study; Observational Study&lt;/_type_work&gt;&lt;_url&gt;https://linkinghub.elsevier.com/retrieve/pii/S0167527317305818_x000d__x000a_https://api.elsevier.com/content/article/PII:S0167527317305818?httpAccept=text/xml&lt;/_url&gt;&lt;_volume&gt;241&lt;/_volume&gt;&lt;/Details&gt;&lt;Extra&gt;&lt;DBUID&gt;{0595FEED-06EC-4465-A92A-123F8040CA41}&lt;/DBUID&gt;&lt;/Extra&gt;&lt;/Item&gt;&lt;/References&gt;&lt;/Group&gt;&lt;Group&gt;&lt;References&gt;&lt;Item&gt;&lt;ID&gt;2715&lt;/ID&gt;&lt;UID&gt;{5CCFF1B1-9538-4234-8D40-8415ACA923B7}&lt;/UID&gt;&lt;Title&gt;Optimal glucose, HbA1c, glucose-HbA1c ratio and stress-hyperglycaemia ratio cut-off values for predicting 1-year mortality in diabetic and non-diabetic acute myocardial infarction patients&lt;/Title&gt;&lt;Template&gt;Journal Article&lt;/Template&gt;&lt;Star&gt;0&lt;/Star&gt;&lt;Tag&gt;0&lt;/Tag&gt;&lt;Author&gt;Sia, Ching-Hui; Chan, Mervyn Huan-Hao; Zheng, Huili; Ko, Junsuk; Ho, Andrew Fu-Wah; Chong, Jun; Foo, David; Foo, Ling-Li; Lim, Patrick Zhan-Yun; Liew, Boon Wah; Chai, Ping; Yeo, Tiong-Cheng; Tan, Huay-Cheem; Chua, Terrance; Chan, Mark Yan-Yee; Tan, Jack Wei Chieh; Bulluck, Heerajnarain; Hausenloy, Derek J&lt;/Author&gt;&lt;Year&gt;2021&lt;/Year&gt;&lt;Details&gt;&lt;_accessed&gt;66402459&lt;/_accessed&gt;&lt;_accession_num&gt;34666746&lt;/_accession_num&gt;&lt;_author_adr&gt;Department of Cardiology, National University Heart Centre Singapore, Singapore,  Singapore.; Yong Loo Lin School of Medicine, National University of Singapore, Singapore,  Singapore.; Cardiovascular &amp;amp; Metabolic Disorders Program, Duke-NUS Medical School, 8 College  Road, Level 8, Singapore, 169857, Singapore.; Health Promotion Board, National Registry of Diseases Office, Singapore,  Singapore.; MD Program, Duke-NUS Medical School, Singapore, Singapore.; SingHealth Duke-NUS Emergency Medicine Academic Clinical Programme, Singapore,  Singapore.; National Heart Research Institute Singapore, National Heart Centre Singapore,  Singapore, Singapore.; Pre-Hospital and Emergency Care Research Centre, Health Services and Systems  Research, Duke-NUS Medical School, Singapore, Singapore.; National Heart Research Institute Singapore, National Heart Centre Singapore,  Singapore, Singapore.; Department of Cardiology, National Heart Centre Singapore, Singapore, Singapore.; Tan Tock Seng Hospital, Singapore, Singapore.; Health Promotion Board, National Registry of Diseases Office, Singapore,  Singapore.; Khoo Teck Puat Hospital, Singapore, Singapore.; Changi General Hospital, Singapore, Singapore.; Department of Cardiology, National University Heart Centre Singapore, Singapore,  Singapore.; Yong Loo Lin School of Medicine, National University of Singapore, Singapore,  Singapore.; Department of Cardiology, National University Heart Centre Singapore, Singapore,  Singapore.; Yong Loo Lin School of Medicine, National University of Singapore, Singapore,  Singapore.; Department of Cardiology, National University Heart Centre Singapore, Singapore,  Singapore.; Yong Loo Lin School of Medicine, National University of Singapore, Singapore,  Singapore.; Department of Cardiology, National Heart Centre Singapore, Singapore, Singapore.; Department of Cardiology, National University Heart Centre Singapore, Singapore,  Singapore.; Yong Loo Lin School of Medicine, National University of Singapore, Singapore,  Singapore.; Pre-Hospital and Emergency Care Research Centre, Health Services and Systems  Research, Duke-NUS Medical School, Singapore, Singapore.; Leeds Institute of Cardiovascular and Metabolic Medicine, University of Leeds,  Leeds, UK.; Department of Cardiology, Leeds General Infirmary, Leeds Teaching Hospitals NHS  Trust, Leeds, UK.; Yong Loo Lin School of Medicine, National University of Singapore, Singapore,  Singapore. derek.hausenloy@duke-nus.edu.sg.; Cardiovascular &amp;amp; Metabolic Disorders Program, Duke-NUS Medical School, 8 College  Road, Level 8, Singapore, 169857, Singapore. derek.hausenloy@duke-nus.edu.sg.; National Heart Research Institute Singapore, National Heart Centre Singapore,  Singapore, Singapore. derek.hausenloy@duke-nus.edu.sg.; Department of Cardiology, National Heart Centre Singapore, Singapore, Singapore.  derek.hausenloy@duke-nus.edu.sg.; The Hatter Cardiovascular Institute, University College London, London, UK.  derek.hausenloy@duke-nus.edu.sg.; Cardiovascular Research Center, College of Medical and Health Sciences, Asia  University, Taichung City, Taiwan. derek.hausenloy@duke-nus.edu.sg.&lt;/_author_adr&gt;&lt;_collection_scope&gt;SCIE&lt;/_collection_scope&gt;&lt;_created&gt;66401459&lt;/_created&gt;&lt;_date&gt;64059840&lt;/_date&gt;&lt;_date_display&gt;2021 Oct 19&lt;/_date_display&gt;&lt;_db_updated&gt;CrossRef&lt;/_db_updated&gt;&lt;_doi&gt;10.1186/s12933-021-01395-3&lt;/_doi&gt;&lt;_impact_factor&gt;   8.500&lt;/_impact_factor&gt;&lt;_isbn&gt;1475-2840&lt;/_isbn&gt;&lt;_issue&gt;1&lt;/_issue&gt;&lt;_journal&gt;Cardiovascular Diabetology&lt;/_journal&gt;&lt;_language&gt;eng&lt;/_language&gt;&lt;_modified&gt;66402459&lt;/_modified&gt;&lt;_number&gt;24&lt;/_number&gt;&lt;_ori_publication&gt;© 2021. The Author(s).&lt;/_ori_publication&gt;&lt;_pages&gt;211&lt;/_pages&gt;&lt;_social_category&gt;内分泌学与代谢(1) &amp;amp; 心脏和心血管系统(2)&lt;/_social_category&gt;&lt;_subject_headings&gt;Aged; Biomarkers/blood; Blood Glucose/*metabolism; Diabetes Mellitus/*blood/diagnosis/mortality/therapy; Female; Glycated Hemoglobin/*metabolism; Humans; Male; Middle Aged; Non-ST Elevated Myocardial Infarction/*blood/diagnosis/mortality/therapy; Patient Admission; Predictive Value of Tests; Prognosis; Registries; Retrospective Studies; Risk Assessment; Risk Factors; ST Elevation Myocardial Infarction/*blood/diagnosis/mortality/therapy; Singapore/epidemiology; Time Factors&lt;/_subject_headings&gt;&lt;_tertiary_title&gt;Cardiovasc Diabetol&lt;/_tertiary_title&gt;&lt;_type_work&gt;Journal Article; Research Support, Non-U.S. Gov&amp;apos;t&lt;/_type_work&gt;&lt;_url&gt;https://cardiab.biomedcentral.com/articles/10.1186/s12933-021-01395-3_x000d__x000a_https://link.springer.com/content/pdf/10.1186/s12933-021-01395-3.pdf&lt;/_url&gt;&lt;_volume&gt;20&lt;/_volume&gt;&lt;/Details&gt;&lt;Extra&gt;&lt;DBUID&gt;{0595FEED-06EC-4465-A92A-123F8040CA41}&lt;/DBUID&gt;&lt;/Extra&gt;&lt;/Item&gt;&lt;/References&gt;&lt;/Group&gt;&lt;Group&gt;&lt;References&gt;&lt;Item&gt;&lt;ID&gt;2738&lt;/ID&gt;&lt;UID&gt;{403EEF20-CF39-4C39-A8CD-3D3529180A05}&lt;/UID&gt;&lt;Title&gt;Hyperglycemia and Acute Coronary Syndrome&lt;/Title&gt;&lt;Template&gt;Journal Article&lt;/Template&gt;&lt;Star&gt;0&lt;/Star&gt;&lt;Tag&gt;0&lt;/Tag&gt;&lt;Author&gt;Deedwania, Prakash; Kosiborod, Mikhail; Barrett, Eugene; Ceriello, Antonio; Isley, William; Mazzone, Theodore; Raskin, Philip&lt;/Author&gt;&lt;Year&gt;2008&lt;/Year&gt;&lt;Details&gt;&lt;_accessed&gt;66402460&lt;/_accessed&gt;&lt;_accession_num&gt;18299505&lt;/_accession_num&gt;&lt;_collection_scope&gt;SCIE&lt;/_collection_scope&gt;&lt;_created&gt;66402444&lt;/_created&gt;&lt;_date&gt;56923200&lt;/_date&gt;&lt;_date_display&gt;2008 Mar 25&lt;/_date_display&gt;&lt;_db_updated&gt;CrossRef&lt;/_db_updated&gt;&lt;_doi&gt;10.1161/CIRCULATIONAHA.107.188629&lt;/_doi&gt;&lt;_impact_factor&gt;  35.600&lt;/_impact_factor&gt;&lt;_isbn&gt;0009-7322&lt;/_isbn&gt;&lt;_issue&gt;12&lt;/_issue&gt;&lt;_journal&gt;Circulation&lt;/_journal&gt;&lt;_language&gt;eng&lt;/_language&gt;&lt;_modified&gt;66402460&lt;/_modified&gt;&lt;_number&gt;43&lt;/_number&gt;&lt;_pages&gt;1610-1619&lt;/_pages&gt;&lt;_social_category&gt;心脏和心血管系统(1) &amp;amp; 外周血管病(1)&lt;/_social_category&gt;&lt;_subject_headings&gt;Acute Coronary Syndrome/*complications/mortality; American Heart Association; Consensus; Disease Management; Disease Progression; *Health Planning Guidelines; Hospitalization; Humans; Hyperglycemia/*complications/diagnosis/therapy; Prognosis; United States&lt;/_subject_headings&gt;&lt;_tertiary_title&gt;Circulation&lt;/_tertiary_title&gt;&lt;_type_work&gt;Journal Article&lt;/_type_work&gt;&lt;_url&gt;https://www.ahajournals.org/doi/10.1161/CIRCULATIONAHA.107.188629_x000d__x000a_https://www.ahajournals.org/doi/full/10.1161/CIRCULATIONAHA.107.188629&lt;/_url&gt;&lt;_volume&gt;117&lt;/_volume&gt;&lt;/Details&gt;&lt;Extra&gt;&lt;DBUID&gt;{0595FEED-06EC-4465-A92A-123F8040CA41}&lt;/DBUID&gt;&lt;/Extra&gt;&lt;/Item&gt;&lt;/References&gt;&lt;/Group&gt;&lt;/Citation&gt;_x000a_"/>
    <w:docVar w:name="NE.Ref{FB3AF634-521A-473B-9CF9-E54F17CA275A}" w:val=" ADDIN NE.Ref.{FB3AF634-521A-473B-9CF9-E54F17CA275A}&lt;Citation&gt;&lt;Group&gt;&lt;References&gt;&lt;Item&gt;&lt;ID&gt;2608&lt;/ID&gt;&lt;UID&gt;{F0CA2B14-18C2-42EE-BCCA-ED9F464F3550}&lt;/UID&gt;&lt;Title&gt;Stress hyperglycaemia&lt;/Title&gt;&lt;Template&gt;Journal Article&lt;/Template&gt;&lt;Star&gt;0&lt;/Star&gt;&lt;Tag&gt;0&lt;/Tag&gt;&lt;Author&gt;Dungan, Kathleen M; Braithwaite, Susan S; Preiser, Jean-Charles&lt;/Author&gt;&lt;Year&gt;2009&lt;/Year&gt;&lt;Details&gt;&lt;_accession_num&gt;19465235&lt;/_accession_num&gt;&lt;_author_adr&gt;The Ohio State University, Columbus, OH 43210-1296, USA.  kathleen.dungan@osumc.edu&lt;/_author_adr&gt;&lt;_date_display&gt;2009 May 23&lt;/_date_display&gt;&lt;_date&gt;2009-05-23&lt;/_date&gt;&lt;_doi&gt;10.1016/S0140-6736(09)60553-5&lt;/_doi&gt;&lt;_isbn&gt;1474-547X (Electronic); 0140-6736 (Print); 0140-6736 (Linking)&lt;/_isbn&gt;&lt;_issue&gt;9677&lt;/_issue&gt;&lt;_journal&gt;Lancet&lt;/_journal&gt;&lt;_language&gt;eng&lt;/_language&gt;&lt;_pages&gt;1798-807&lt;/_pages&gt;&lt;_subject_headings&gt;Acute Disease; Blood Glucose/metabolism; Cardiovascular Diseases/complications; *Critical Illness; Early Diagnosis; Glucose Tolerance Test; Humans; *Hyperglycemia/diagnosis/epidemiology/etiology/prevention &amp;amp; control; Monitoring, Physiologic; Prediabetic State/complications; Prevalence; Research Design; Risk Factors; Risk Reduction Behavior; Severity of Illness Index; *Stress, Physiological/physiology; Stroke/complications; Surgical Procedures, Operative/adverse effects; Treatment Outcome&lt;/_subject_headings&gt;&lt;_tertiary_title&gt;Lancet (London, England)&lt;/_tertiary_title&gt;&lt;_type_work&gt;Journal Article; Review&lt;/_type_work&gt;&lt;_url&gt;http://www.ncbi.nlm.nih.gov/entrez/query.fcgi?cmd=Retrieve&amp;amp;db=pubmed&amp;amp;dopt=Abstract&amp;amp;list_uids=19465235&amp;amp;query_hl=1&lt;/_url&gt;&lt;_volume&gt;373&lt;/_volume&gt;&lt;_created&gt;66401339&lt;/_created&gt;&lt;_modified&gt;66401339&lt;/_modified&gt;&lt;_impact_factor&gt;  98.400&lt;/_impact_factor&gt;&lt;_social_category&gt;医学：内科(1)&lt;/_social_category&gt;&lt;_collection_scope&gt;SCIE&lt;/_collection_scope&gt;&lt;/Details&gt;&lt;Extra&gt;&lt;DBUID&gt;{0595FEED-06EC-4465-A92A-123F8040CA41}&lt;/DBUID&gt;&lt;/Extra&gt;&lt;/Item&gt;&lt;/References&gt;&lt;/Group&gt;&lt;/Citation&gt;_x000a_"/>
    <w:docVar w:name="NE.Ref{FBBA46DE-BE94-4104-B142-C5482EA36E1B}" w:val=" ADDIN NE.Ref.{FBBA46DE-BE94-4104-B142-C5482EA36E1B}&lt;Citation&gt;&lt;Group&gt;&lt;References&gt;&lt;Item&gt;&lt;ID&gt;2580&lt;/ID&gt;&lt;UID&gt;{3DA18B46-CEA5-4C5A-B20C-BDC0B979D35E}&lt;/UID&gt;&lt;Title&gt;Stress hyperglycaemia and increased risk of death after myocardial infarction in patients with and without diabetes: a systematic overview&lt;/Title&gt;&lt;Template&gt;Journal Article&lt;/Template&gt;&lt;Star&gt;0&lt;/Star&gt;&lt;Tag&gt;0&lt;/Tag&gt;&lt;Author&gt;Capes, Sarah E; Hunt, Dereck; Malmberg, Klas; Gerstein, Hertzel C&lt;/Author&gt;&lt;Year&gt;2000&lt;/Year&gt;&lt;Details&gt;&lt;_accessed&gt;66401384&lt;/_accessed&gt;&lt;_accession_num&gt;10711923&lt;/_accession_num&gt;&lt;_author_adr&gt;Department of Medicine, McMaster University, Hamilton, Ontario, Canada.  scapes@fhs.csu.mcmaster.ca&lt;/_author_adr&gt;&lt;_collection_scope&gt;SCIE&lt;/_collection_scope&gt;&lt;_created&gt;66401318&lt;/_created&gt;&lt;_date&gt;2000-03-04&lt;/_date&gt;&lt;_date_display&gt;2000 Mar 4&lt;/_date_display&gt;&lt;_db_updated&gt;CrossRef&lt;/_db_updated&gt;&lt;_doi&gt;10.1016/S0140-6736(99)08415-9&lt;/_doi&gt;&lt;_impact_factor&gt;  98.400&lt;/_impact_factor&gt;&lt;_isbn&gt;01406736&lt;/_isbn&gt;&lt;_issue&gt;9206&lt;/_issue&gt;&lt;_journal&gt;The Lancet&lt;/_journal&gt;&lt;_language&gt;eng&lt;/_language&gt;&lt;_modified&gt;66401432&lt;/_modified&gt;&lt;_number&gt;9&lt;/_number&gt;&lt;_pages&gt;773-778&lt;/_pages&gt;&lt;_social_category&gt;医学：内科(1)&lt;/_social_category&gt;&lt;_subject_headings&gt;Blood Glucose/metabolism; Diabetes Mellitus/blood/*mortality; Heart Failure/blood/mortality; Hospital Mortality; Humans; Hyperglycemia/blood/*complications/mortality; Myocardial Infarction/blood/*mortality; Risk; Stress, Physiological/blood/*complications&lt;/_subject_headings&gt;&lt;_tertiary_title&gt;The Lancet&lt;/_tertiary_title&gt;&lt;_type_work&gt;Journal Article; Systematic Review&lt;/_type_work&gt;&lt;_url&gt;https://linkinghub.elsevier.com/retrieve/pii/S0140673699084159_x000d__x000a_https://api.elsevier.com/content/article/PII:S0140673699084159?httpAccept=text/xml&lt;/_url&gt;&lt;_volume&gt;355&lt;/_volume&gt;&lt;/Details&gt;&lt;Extra&gt;&lt;DBUID&gt;{0595FEED-06EC-4465-A92A-123F8040CA41}&lt;/DBUID&gt;&lt;/Extra&gt;&lt;/Item&gt;&lt;/References&gt;&lt;/Group&gt;&lt;/Citation&gt;_x000a_"/>
    <w:docVar w:name="NE.Ref{FD825252-A4D7-47CC-840E-46FE9449B405}" w:val=" ADDIN NE.Ref.{FD825252-A4D7-47CC-840E-46FE9449B405}&lt;Citation&gt;&lt;Group&gt;&lt;References&gt;&lt;Item&gt;&lt;ID&gt;2618&lt;/ID&gt;&lt;UID&gt;{59382426-AA28-4C2C-A1C1-2A7AF6C695D4}&lt;/UID&gt;&lt;Title&gt;Intensive versus Conventional Glucose Control in Critically Ill Patients&lt;/Title&gt;&lt;Template&gt;Journal Article&lt;/Template&gt;&lt;Star&gt;0&lt;/Star&gt;&lt;Tag&gt;0&lt;/Tag&gt;&lt;Author&gt;Finfer, Simon; Chittock, Dean R; Su, Steve Yu-Shuo; Blair, Deborah; Foster, Denise; Dhingra, Vinay; Bellomo, Rinaldo; Cook, Deborah; Dodek, Peter; Henderson, William R; Hébert, Paul C; Heritier, Stephane; Heyland, Daren K; McArthur, Colin; McDonald, Ellen; Mitchell, Imogen; Myburgh, John A; Norton, Robyn; Potter, Julie; Robinson, Bruce G; Ronco, Juan J&lt;/Author&gt;&lt;Year&gt;2009&lt;/Year&gt;&lt;Details&gt;&lt;_accessed&gt;66401362&lt;/_accessed&gt;&lt;_accession_num&gt;19318384&lt;/_accession_num&gt;&lt;_collection_scope&gt;SCIE&lt;/_collection_scope&gt;&lt;_created&gt;66401350&lt;/_created&gt;&lt;_date&gt;57450240&lt;/_date&gt;&lt;_date_display&gt;2009 Mar 26&lt;/_date_display&gt;&lt;_db_updated&gt;CrossRef&lt;/_db_updated&gt;&lt;_doi&gt;10.1056/NEJMoa0810625&lt;/_doi&gt;&lt;_impact_factor&gt;  96.300&lt;/_impact_factor&gt;&lt;_isbn&gt;0028-4793&lt;/_isbn&gt;&lt;_issue&gt;13&lt;/_issue&gt;&lt;_journal&gt;New England Journal of Medicine&lt;/_journal&gt;&lt;_language&gt;eng&lt;/_language&gt;&lt;_modified&gt;66401436&lt;/_modified&gt;&lt;_number&gt;41&lt;/_number&gt;&lt;_ori_publication&gt;2009 Massachusetts Medical Society&lt;/_ori_publication&gt;&lt;_pages&gt;1283-1297&lt;/_pages&gt;&lt;_social_category&gt;医学：内科(1)&lt;/_social_category&gt;&lt;_subject_headings&gt;Adrenal Cortex Hormones/therapeutic use; *Blood Glucose/analysis; Critical Care/*methods; Critical Illness/mortality/*therapy; Female; Humans; Hyperglycemia/*drug therapy; Hypoglycemia/chemically induced; Hypoglycemic Agents/adverse effects/*therapeutic use; Insulin/adverse effects/*therapeutic use; Intensive Care Units; Kaplan-Meier Estimate; Length of Stay; Male; Middle Aged&lt;/_subject_headings&gt;&lt;_tertiary_title&gt;N Engl J Med&lt;/_tertiary_title&gt;&lt;_type_work&gt;Comparative Study; Journal Article; Randomized Controlled Trial; Research Support, Non-U.S. Gov&amp;apos;t&lt;/_type_work&gt;&lt;_url&gt;http://www.nejm.org/doi/abs/10.1056/NEJMoa0810625_x000d__x000a_http://www.nejm.org/doi/pdf/10.1056/NEJMoa0810625&lt;/_url&gt;&lt;_volume&gt;360&lt;/_volume&gt;&lt;/Details&gt;&lt;Extra&gt;&lt;DBUID&gt;{0595FEED-06EC-4465-A92A-123F8040CA41}&lt;/DBUID&gt;&lt;/Extra&gt;&lt;/Item&gt;&lt;/References&gt;&lt;/Group&gt;&lt;/Citation&gt;_x000a_"/>
    <w:docVar w:name="ne_docsoft" w:val="MSWord"/>
    <w:docVar w:name="ne_docversion" w:val="NoteExpress 2.0"/>
    <w:docVar w:name="ne_stylename" w:val="Vancouver style New"/>
  </w:docVars>
  <w:rsids>
    <w:rsidRoot w:val="00172A27"/>
    <w:rsid w:val="00172A27"/>
    <w:rsid w:val="002F52E7"/>
    <w:rsid w:val="00324A4F"/>
    <w:rsid w:val="00CB1EB4"/>
    <w:rsid w:val="00CF5559"/>
    <w:rsid w:val="00D237B9"/>
    <w:rsid w:val="00D72F31"/>
    <w:rsid w:val="00E72632"/>
    <w:rsid w:val="01D94210"/>
    <w:rsid w:val="01E83992"/>
    <w:rsid w:val="024B6E08"/>
    <w:rsid w:val="03156FEF"/>
    <w:rsid w:val="0342555B"/>
    <w:rsid w:val="03C44B8E"/>
    <w:rsid w:val="045849ED"/>
    <w:rsid w:val="05EC1583"/>
    <w:rsid w:val="06F255F0"/>
    <w:rsid w:val="07200EF5"/>
    <w:rsid w:val="07745D07"/>
    <w:rsid w:val="079A71A9"/>
    <w:rsid w:val="08601134"/>
    <w:rsid w:val="08C319A9"/>
    <w:rsid w:val="0A1D11E2"/>
    <w:rsid w:val="0A462EFC"/>
    <w:rsid w:val="0AF92C93"/>
    <w:rsid w:val="0B284FC6"/>
    <w:rsid w:val="0CCF7FA8"/>
    <w:rsid w:val="0CD8245D"/>
    <w:rsid w:val="1000055C"/>
    <w:rsid w:val="102355A2"/>
    <w:rsid w:val="14661880"/>
    <w:rsid w:val="14EB3B17"/>
    <w:rsid w:val="15773A02"/>
    <w:rsid w:val="15A62399"/>
    <w:rsid w:val="15AB56D4"/>
    <w:rsid w:val="15E33FBB"/>
    <w:rsid w:val="16314110"/>
    <w:rsid w:val="16DC3986"/>
    <w:rsid w:val="170B625B"/>
    <w:rsid w:val="171A34EE"/>
    <w:rsid w:val="1AEA73EE"/>
    <w:rsid w:val="1B430B6D"/>
    <w:rsid w:val="1B7E1BA5"/>
    <w:rsid w:val="1CAF0413"/>
    <w:rsid w:val="1D204318"/>
    <w:rsid w:val="1DC86A0C"/>
    <w:rsid w:val="1E514FD2"/>
    <w:rsid w:val="1F7D7B8F"/>
    <w:rsid w:val="204B6115"/>
    <w:rsid w:val="2063580D"/>
    <w:rsid w:val="20B56578"/>
    <w:rsid w:val="20D06DBE"/>
    <w:rsid w:val="213C55CF"/>
    <w:rsid w:val="22954AE9"/>
    <w:rsid w:val="234D218D"/>
    <w:rsid w:val="23E77E34"/>
    <w:rsid w:val="24A31545"/>
    <w:rsid w:val="256B599E"/>
    <w:rsid w:val="259C60DB"/>
    <w:rsid w:val="26183B21"/>
    <w:rsid w:val="266841AD"/>
    <w:rsid w:val="27356C8B"/>
    <w:rsid w:val="27E91F94"/>
    <w:rsid w:val="28025869"/>
    <w:rsid w:val="28810900"/>
    <w:rsid w:val="28900988"/>
    <w:rsid w:val="28FD13C9"/>
    <w:rsid w:val="295250C8"/>
    <w:rsid w:val="296F51B3"/>
    <w:rsid w:val="297F03BF"/>
    <w:rsid w:val="29DD6910"/>
    <w:rsid w:val="2A2A72BA"/>
    <w:rsid w:val="2AE34C92"/>
    <w:rsid w:val="2B314DBC"/>
    <w:rsid w:val="2C1556FC"/>
    <w:rsid w:val="2CC47634"/>
    <w:rsid w:val="2D0E769D"/>
    <w:rsid w:val="2D2F2E57"/>
    <w:rsid w:val="2D7B18F5"/>
    <w:rsid w:val="2D8769C9"/>
    <w:rsid w:val="2FF34B5F"/>
    <w:rsid w:val="2FF4401B"/>
    <w:rsid w:val="30067342"/>
    <w:rsid w:val="30A77050"/>
    <w:rsid w:val="30F1114E"/>
    <w:rsid w:val="3165717A"/>
    <w:rsid w:val="32031DBA"/>
    <w:rsid w:val="324B4E9B"/>
    <w:rsid w:val="32AD1EC7"/>
    <w:rsid w:val="32B97F02"/>
    <w:rsid w:val="34A42532"/>
    <w:rsid w:val="34BC56BC"/>
    <w:rsid w:val="34D272FE"/>
    <w:rsid w:val="35812A24"/>
    <w:rsid w:val="35D8191F"/>
    <w:rsid w:val="36282B2F"/>
    <w:rsid w:val="364D0DD8"/>
    <w:rsid w:val="36B01093"/>
    <w:rsid w:val="371E4032"/>
    <w:rsid w:val="372B5CCE"/>
    <w:rsid w:val="37494F26"/>
    <w:rsid w:val="38C70752"/>
    <w:rsid w:val="38F00EB3"/>
    <w:rsid w:val="39073C42"/>
    <w:rsid w:val="3BF41FF5"/>
    <w:rsid w:val="3CBF617B"/>
    <w:rsid w:val="3F671F53"/>
    <w:rsid w:val="40495B2C"/>
    <w:rsid w:val="40C223AB"/>
    <w:rsid w:val="417E4C81"/>
    <w:rsid w:val="41972102"/>
    <w:rsid w:val="41E55EC5"/>
    <w:rsid w:val="43162488"/>
    <w:rsid w:val="441A3F36"/>
    <w:rsid w:val="49C425C9"/>
    <w:rsid w:val="4A9E38E2"/>
    <w:rsid w:val="4AEE5B50"/>
    <w:rsid w:val="4F4677D9"/>
    <w:rsid w:val="50ED0658"/>
    <w:rsid w:val="510B5B6C"/>
    <w:rsid w:val="519B67D4"/>
    <w:rsid w:val="51EE53EE"/>
    <w:rsid w:val="52A35472"/>
    <w:rsid w:val="539E6B93"/>
    <w:rsid w:val="54253792"/>
    <w:rsid w:val="54C13A9D"/>
    <w:rsid w:val="55C61DE9"/>
    <w:rsid w:val="584368B0"/>
    <w:rsid w:val="58622F32"/>
    <w:rsid w:val="58927DE5"/>
    <w:rsid w:val="591B5742"/>
    <w:rsid w:val="596A6CE9"/>
    <w:rsid w:val="5A872B44"/>
    <w:rsid w:val="5C6C4408"/>
    <w:rsid w:val="5DB1564F"/>
    <w:rsid w:val="5DC664B8"/>
    <w:rsid w:val="5E1C667C"/>
    <w:rsid w:val="5E942EFB"/>
    <w:rsid w:val="5EA01C9E"/>
    <w:rsid w:val="5EFC3252"/>
    <w:rsid w:val="5F29033C"/>
    <w:rsid w:val="5F6C644B"/>
    <w:rsid w:val="5F8B7D59"/>
    <w:rsid w:val="5FA345E7"/>
    <w:rsid w:val="5FDC1FC3"/>
    <w:rsid w:val="60266FF4"/>
    <w:rsid w:val="604932AF"/>
    <w:rsid w:val="6165775E"/>
    <w:rsid w:val="63051199"/>
    <w:rsid w:val="63116F06"/>
    <w:rsid w:val="63EF123E"/>
    <w:rsid w:val="641C4055"/>
    <w:rsid w:val="64340620"/>
    <w:rsid w:val="654F56BB"/>
    <w:rsid w:val="65857B66"/>
    <w:rsid w:val="66C20165"/>
    <w:rsid w:val="676C7608"/>
    <w:rsid w:val="678965EB"/>
    <w:rsid w:val="68812F57"/>
    <w:rsid w:val="68E32614"/>
    <w:rsid w:val="6BA1113C"/>
    <w:rsid w:val="6C117498"/>
    <w:rsid w:val="6C4D10B3"/>
    <w:rsid w:val="6CAF07D0"/>
    <w:rsid w:val="6CCE4B92"/>
    <w:rsid w:val="6CF66663"/>
    <w:rsid w:val="6E9C6431"/>
    <w:rsid w:val="6EFA271F"/>
    <w:rsid w:val="6FB10D76"/>
    <w:rsid w:val="7306290A"/>
    <w:rsid w:val="73A75712"/>
    <w:rsid w:val="73D74804"/>
    <w:rsid w:val="746D3650"/>
    <w:rsid w:val="7540040F"/>
    <w:rsid w:val="75AD3EB9"/>
    <w:rsid w:val="764D53F5"/>
    <w:rsid w:val="76CA2E40"/>
    <w:rsid w:val="77F57C6E"/>
    <w:rsid w:val="78996266"/>
    <w:rsid w:val="78B0058B"/>
    <w:rsid w:val="79A731EA"/>
    <w:rsid w:val="7A8765C7"/>
    <w:rsid w:val="7BA7469E"/>
    <w:rsid w:val="7C8836F2"/>
    <w:rsid w:val="7CF368F7"/>
    <w:rsid w:val="7DC47C46"/>
    <w:rsid w:val="7EC17569"/>
    <w:rsid w:val="7F4F7A53"/>
    <w:rsid w:val="7FC92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05F7"/>
  <w15:docId w15:val="{FBE2AA39-F98A-48CC-9C5E-2F5D33310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qFormat="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sz w:val="24"/>
      <w:szCs w:val="24"/>
      <w:lang w:val="en-US" w:eastAsia="en-US"/>
    </w:rPr>
  </w:style>
  <w:style w:type="paragraph" w:styleId="Heading1">
    <w:name w:val="heading 1"/>
    <w:basedOn w:val="Normal"/>
    <w:next w:val="Normal"/>
    <w:link w:val="Heading1Char"/>
    <w:uiPriority w:val="9"/>
    <w:qFormat/>
    <w:pPr>
      <w:keepNext/>
      <w:keepLines/>
      <w:numPr>
        <w:numId w:val="1"/>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semiHidden/>
    <w:unhideWhenUsed/>
    <w:qFormat/>
    <w:pPr>
      <w:keepNext/>
      <w:keepLines/>
      <w:numPr>
        <w:ilvl w:val="1"/>
        <w:numId w:val="1"/>
      </w:num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pPr>
      <w:keepNext/>
      <w:keepLines/>
      <w:numPr>
        <w:ilvl w:val="2"/>
        <w:numId w:val="1"/>
      </w:numPr>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Pr>
      <w:rFonts w:ascii="Arial" w:eastAsia="SimHei" w:hAnsi="Arial"/>
      <w:sz w:val="20"/>
    </w:rPr>
  </w:style>
  <w:style w:type="paragraph" w:styleId="BalloonText">
    <w:name w:val="Balloon Text"/>
    <w:basedOn w:val="Normal"/>
    <w:link w:val="BalloonTextChar"/>
    <w:uiPriority w:val="99"/>
    <w:semiHidden/>
    <w:unhideWhenUsed/>
    <w:qFormat/>
    <w:rPr>
      <w:rFonts w:ascii="Lucida Casual Regular" w:hAnsi="Lucida Casual Regular"/>
      <w:sz w:val="18"/>
      <w:szCs w:val="18"/>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40"/>
    </w:pPr>
  </w:style>
  <w:style w:type="paragraph" w:styleId="NormalWeb">
    <w:name w:val="Normal (Web)"/>
    <w:basedOn w:val="Normal"/>
    <w:uiPriority w:val="99"/>
    <w:semiHidden/>
    <w:unhideWhenUsed/>
    <w:qFormat/>
    <w:pPr>
      <w:spacing w:beforeAutospacing="1" w:afterAutospacing="1"/>
    </w:pPr>
    <w:rPr>
      <w:rFonts w:cs="Times New Roman"/>
      <w:lang w:eastAsia="zh-CN"/>
    </w:rPr>
  </w:style>
  <w:style w:type="table" w:styleId="TableProfessional">
    <w:name w:val="Table Professional"/>
    <w:basedOn w:val="TableNormal"/>
    <w:uiPriority w:val="99"/>
    <w:semiHidden/>
    <w:unhideWhenUsed/>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Strong">
    <w:name w:val="Strong"/>
    <w:basedOn w:val="DefaultParagraphFont"/>
    <w:uiPriority w:val="22"/>
    <w:qFormat/>
    <w:rPr>
      <w:b/>
    </w:rPr>
  </w:style>
  <w:style w:type="character" w:styleId="Emphasis">
    <w:name w:val="Emphasis"/>
    <w:basedOn w:val="DefaultParagraphFont"/>
    <w:uiPriority w:val="20"/>
    <w:qFormat/>
    <w:rPr>
      <w:i/>
    </w:rPr>
  </w:style>
  <w:style w:type="character" w:customStyle="1" w:styleId="Strong1">
    <w:name w:val="Strong1"/>
    <w:basedOn w:val="DefaultParagraphFont"/>
    <w:uiPriority w:val="1"/>
    <w:qFormat/>
    <w:rPr>
      <w:b/>
    </w:rPr>
  </w:style>
  <w:style w:type="paragraph" w:customStyle="1" w:styleId="centered">
    <w:name w:val="centered"/>
    <w:basedOn w:val="Normal"/>
    <w:qFormat/>
    <w:pPr>
      <w:jc w:val="center"/>
    </w:pPr>
  </w:style>
  <w:style w:type="table" w:customStyle="1" w:styleId="tabletemplate">
    <w:name w:val="table_template"/>
    <w:basedOn w:val="TableNormal"/>
    <w:uiPriority w:val="59"/>
    <w:qFormat/>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rPr>
  </w:style>
  <w:style w:type="paragraph" w:customStyle="1" w:styleId="ImageCaption">
    <w:name w:val="Image Caption"/>
    <w:basedOn w:val="Normal"/>
    <w:qFormat/>
    <w:pPr>
      <w:jc w:val="center"/>
    </w:pPr>
    <w:rPr>
      <w:b/>
      <w:i/>
    </w:rPr>
  </w:style>
  <w:style w:type="paragraph" w:customStyle="1" w:styleId="TableCaption">
    <w:name w:val="Table Caption"/>
    <w:basedOn w:val="ImageCaption"/>
    <w:qFormat/>
  </w:style>
  <w:style w:type="character" w:customStyle="1" w:styleId="BalloonTextChar">
    <w:name w:val="Balloon Text Char"/>
    <w:basedOn w:val="DefaultParagraphFont"/>
    <w:link w:val="BalloonText"/>
    <w:uiPriority w:val="99"/>
    <w:semiHidden/>
    <w:qFormat/>
    <w:rPr>
      <w:rFonts w:ascii="Lucida Casual Regular" w:hAnsi="Lucida Casual Regular"/>
      <w:sz w:val="18"/>
      <w:szCs w:val="18"/>
    </w:rPr>
  </w:style>
  <w:style w:type="character" w:customStyle="1" w:styleId="referenceid">
    <w:name w:val="reference_id"/>
    <w:basedOn w:val="DefaultParagraphFont"/>
    <w:uiPriority w:val="1"/>
    <w:qFormat/>
    <w:rPr>
      <w:vertAlign w:val="superscript"/>
    </w:rPr>
  </w:style>
  <w:style w:type="paragraph" w:customStyle="1" w:styleId="graphictitle">
    <w:name w:val="graphic title"/>
    <w:basedOn w:val="ImageCaption"/>
    <w:next w:val="Normal"/>
    <w:qFormat/>
  </w:style>
  <w:style w:type="paragraph" w:customStyle="1" w:styleId="tabletitle">
    <w:name w:val="table title"/>
    <w:basedOn w:val="TableCaption"/>
    <w:next w:val="Normal"/>
    <w:qFormat/>
  </w:style>
  <w:style w:type="character" w:styleId="LineNumber">
    <w:name w:val="line number"/>
    <w:basedOn w:val="DefaultParagraphFont"/>
    <w:uiPriority w:val="99"/>
    <w:semiHidden/>
    <w:unhideWhenUsed/>
    <w:rsid w:val="00324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14</Pages>
  <Words>2744</Words>
  <Characters>15643</Characters>
  <Application>Microsoft Office Word</Application>
  <DocSecurity>0</DocSecurity>
  <Lines>130</Lines>
  <Paragraphs>36</Paragraphs>
  <ScaleCrop>false</ScaleCrop>
  <Company/>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Bhushan Tandale</cp:lastModifiedBy>
  <cp:revision>10</cp:revision>
  <dcterms:created xsi:type="dcterms:W3CDTF">2017-02-28T11:18:00Z</dcterms:created>
  <dcterms:modified xsi:type="dcterms:W3CDTF">2026-05-27T11:37:00Z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eyJoZGlkIjoiMzhmOWEwOWVhMTI2NmE5OTFhOGUyZmY2MTM0YzBlOWEiLCJ1c2VySWQiOiI0NDA2NjE3MzcifQ==</vt:lpwstr>
  </property>
  <property fmtid="{D5CDD505-2E9C-101B-9397-08002B2CF9AE}" pid="3" name="KSOProductBuildVer">
    <vt:lpwstr>2052-12.1.0.25225</vt:lpwstr>
  </property>
  <property fmtid="{D5CDD505-2E9C-101B-9397-08002B2CF9AE}" pid="4" name="ICV">
    <vt:lpwstr>D1E69FC08E754BA4AA4EE71494A035E5_13</vt:lpwstr>
  </property>
</Properties>
</file>