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5113" w14:textId="77777777" w:rsidR="002A5C07" w:rsidRPr="006B21EA" w:rsidRDefault="000411E1" w:rsidP="007E3B54">
      <w:pPr>
        <w:jc w:val="center"/>
        <w:rPr>
          <w:rFonts w:ascii="Arial" w:hAnsi="Arial" w:cs="Arial"/>
          <w:i/>
          <w:iCs/>
        </w:rPr>
      </w:pPr>
      <w:r>
        <w:rPr>
          <w:rFonts w:ascii="Arial" w:hAnsi="Arial" w:cs="Arial"/>
          <w:i/>
          <w:iCs/>
        </w:rPr>
        <w:t>Supplementary Information for</w:t>
      </w:r>
    </w:p>
    <w:p w14:paraId="236B176D" w14:textId="406A873B" w:rsidR="00B16F01" w:rsidRDefault="00B16F01" w:rsidP="005E5325">
      <w:pPr>
        <w:jc w:val="center"/>
        <w:rPr>
          <w:rFonts w:ascii="Arial" w:hAnsi="Arial" w:cs="Arial"/>
          <w:b/>
          <w:bCs/>
        </w:rPr>
      </w:pPr>
      <w:r>
        <w:rPr>
          <w:rFonts w:ascii="Arial" w:hAnsi="Arial" w:cs="Arial"/>
          <w:b/>
          <w:bCs/>
        </w:rPr>
        <w:t>Decoupled infiltration and isotope signals reveal hidden East Asian monsoon megadroughts</w:t>
      </w:r>
    </w:p>
    <w:p w14:paraId="5E6E7C0D" w14:textId="77777777" w:rsidR="00EF7D69" w:rsidRPr="006B21EA" w:rsidRDefault="00EF7D69" w:rsidP="005E5325">
      <w:pPr>
        <w:jc w:val="center"/>
        <w:rPr>
          <w:rFonts w:ascii="Arial" w:hAnsi="Arial" w:cs="Arial"/>
          <w:i/>
          <w:iCs/>
        </w:rPr>
      </w:pPr>
      <w:r>
        <w:rPr>
          <w:rFonts w:ascii="Arial" w:hAnsi="Arial" w:cs="Arial"/>
          <w:i/>
          <w:iCs/>
        </w:rPr>
        <w:t>Hartland et al.</w:t>
      </w:r>
    </w:p>
    <w:p w14:paraId="4F99D530" w14:textId="77777777" w:rsidR="00577434" w:rsidRPr="006B21EA" w:rsidRDefault="000411E1" w:rsidP="00577434">
      <w:pPr>
        <w:rPr>
          <w:rFonts w:ascii="Arial" w:hAnsi="Arial" w:cs="Arial"/>
        </w:rPr>
      </w:pPr>
      <w:r>
        <w:rPr>
          <w:rFonts w:ascii="Arial" w:hAnsi="Arial" w:cs="Arial"/>
        </w:rPr>
        <w:t xml:space="preserve">This supplement provides detailed derivations, estimation procedures, sensitivity analyses, and supporting data/code for the kinetic proxy model. All code is available at </w:t>
      </w:r>
      <w:proofErr w:type="spellStart"/>
      <w:r>
        <w:rPr>
          <w:rFonts w:ascii="Arial" w:hAnsi="Arial" w:cs="Arial"/>
        </w:rPr>
        <w:t>Github</w:t>
      </w:r>
      <w:proofErr w:type="spellEnd"/>
      <w:r>
        <w:rPr>
          <w:rFonts w:ascii="Arial" w:hAnsi="Arial" w:cs="Arial"/>
        </w:rPr>
        <w:t xml:space="preserve"> [https://github.com/waikatosci/paleodriprates.git]. For persistent access, code and data are archived at </w:t>
      </w:r>
      <w:proofErr w:type="spellStart"/>
      <w:r>
        <w:rPr>
          <w:rFonts w:ascii="Arial" w:hAnsi="Arial" w:cs="Arial"/>
        </w:rPr>
        <w:t>Zenodo</w:t>
      </w:r>
      <w:proofErr w:type="spellEnd"/>
      <w:r>
        <w:rPr>
          <w:rFonts w:ascii="Arial" w:hAnsi="Arial" w:cs="Arial"/>
        </w:rPr>
        <w:t xml:space="preserve"> [DOI: 10.5281/zenodo.16392750]. Key scripts include model.py (dissociation kinetics) and drip_rate_util.py (Bayesian inversion).</w:t>
      </w:r>
    </w:p>
    <w:p w14:paraId="5B9483CD" w14:textId="77777777" w:rsidR="005B4C91" w:rsidRPr="006B21EA" w:rsidRDefault="005B4C91" w:rsidP="005B4C91">
      <w:pPr>
        <w:rPr>
          <w:rFonts w:ascii="Arial" w:hAnsi="Arial" w:cs="Arial"/>
        </w:rPr>
      </w:pPr>
      <w:r>
        <w:rPr>
          <w:rFonts w:ascii="Arial" w:hAnsi="Arial" w:cs="Arial"/>
          <w:b/>
          <w:bCs/>
        </w:rPr>
        <w:t>Dependencies and Reproducibility</w:t>
      </w:r>
      <w:r>
        <w:rPr>
          <w:rFonts w:ascii="Arial" w:hAnsi="Arial" w:cs="Arial"/>
        </w:rPr>
        <w:t xml:space="preserve"> To reanalyse/reproduce our data and results requires Python 3.12 with </w:t>
      </w:r>
      <w:proofErr w:type="spellStart"/>
      <w:r>
        <w:rPr>
          <w:rFonts w:ascii="Arial" w:hAnsi="Arial" w:cs="Arial"/>
        </w:rPr>
        <w:t>numpy</w:t>
      </w:r>
      <w:proofErr w:type="spellEnd"/>
      <w:r>
        <w:rPr>
          <w:rFonts w:ascii="Arial" w:hAnsi="Arial" w:cs="Arial"/>
        </w:rPr>
        <w:t xml:space="preserve">, pandas, matplotlib, </w:t>
      </w:r>
      <w:proofErr w:type="spellStart"/>
      <w:r>
        <w:rPr>
          <w:rFonts w:ascii="Arial" w:hAnsi="Arial" w:cs="Arial"/>
        </w:rPr>
        <w:t>scipy</w:t>
      </w:r>
      <w:proofErr w:type="spellEnd"/>
      <w:r>
        <w:rPr>
          <w:rFonts w:ascii="Arial" w:hAnsi="Arial" w:cs="Arial"/>
        </w:rPr>
        <w:t xml:space="preserve"> (integrate, optimize, interpolate, stats), </w:t>
      </w:r>
      <w:proofErr w:type="spellStart"/>
      <w:r>
        <w:rPr>
          <w:rFonts w:ascii="Arial" w:hAnsi="Arial" w:cs="Arial"/>
        </w:rPr>
        <w:t>openpyxl</w:t>
      </w:r>
      <w:proofErr w:type="spellEnd"/>
      <w:r>
        <w:rPr>
          <w:rFonts w:ascii="Arial" w:hAnsi="Arial" w:cs="Arial"/>
        </w:rPr>
        <w:t xml:space="preserve">, Pillow (PIL), </w:t>
      </w:r>
      <w:proofErr w:type="spellStart"/>
      <w:r>
        <w:rPr>
          <w:rFonts w:ascii="Arial" w:hAnsi="Arial" w:cs="Arial"/>
        </w:rPr>
        <w:t>progressbar</w:t>
      </w:r>
      <w:proofErr w:type="spellEnd"/>
      <w:r>
        <w:rPr>
          <w:rFonts w:ascii="Arial" w:hAnsi="Arial" w:cs="Arial"/>
        </w:rPr>
        <w:t xml:space="preserve"> (for _</w:t>
      </w:r>
      <w:proofErr w:type="spellStart"/>
      <w:r>
        <w:rPr>
          <w:rFonts w:ascii="Arial" w:hAnsi="Arial" w:cs="Arial"/>
        </w:rPr>
        <w:t>progressbar</w:t>
      </w:r>
      <w:proofErr w:type="spellEnd"/>
      <w:r>
        <w:rPr>
          <w:rFonts w:ascii="Arial" w:hAnsi="Arial" w:cs="Arial"/>
        </w:rPr>
        <w:t xml:space="preserve">), and </w:t>
      </w:r>
      <w:proofErr w:type="spellStart"/>
      <w:r>
        <w:rPr>
          <w:rFonts w:ascii="Arial" w:hAnsi="Arial" w:cs="Arial"/>
        </w:rPr>
        <w:t>BayProx</w:t>
      </w:r>
      <w:proofErr w:type="spellEnd"/>
      <w:r>
        <w:rPr>
          <w:rFonts w:ascii="Arial" w:hAnsi="Arial" w:cs="Arial"/>
        </w:rPr>
        <w:t xml:space="preserve"> (custom Bayesian library). No additional installs needed beyond standard imports in the scripts. Full execution requires the xlsx data files. An executable version of the source code with a graphical interface will be published at the repositories upon publication of the main research paper.</w:t>
      </w:r>
    </w:p>
    <w:p w14:paraId="6B9148DB" w14:textId="77777777" w:rsidR="00492D6E" w:rsidRDefault="00492D6E" w:rsidP="002A0B60">
      <w:pPr>
        <w:rPr>
          <w:rFonts w:ascii="Arial" w:hAnsi="Arial" w:cs="Arial"/>
        </w:rPr>
      </w:pPr>
    </w:p>
    <w:p w14:paraId="3FA4DD4A" w14:textId="77777777" w:rsidR="00086F46" w:rsidRDefault="00086F46" w:rsidP="002A0B60">
      <w:pPr>
        <w:rPr>
          <w:rFonts w:ascii="Arial" w:hAnsi="Arial" w:cs="Arial"/>
        </w:rPr>
      </w:pPr>
    </w:p>
    <w:p w14:paraId="32CA30BB" w14:textId="77777777" w:rsidR="00086F46" w:rsidRPr="006B21EA" w:rsidRDefault="00086F46" w:rsidP="002A0B60">
      <w:pPr>
        <w:rPr>
          <w:rFonts w:ascii="Arial" w:hAnsi="Arial" w:cs="Arial"/>
        </w:rPr>
      </w:pPr>
    </w:p>
    <w:p w14:paraId="11BC4F67" w14:textId="77777777" w:rsidR="00492D6E" w:rsidRPr="006B21EA" w:rsidRDefault="00492D6E" w:rsidP="002A0B60">
      <w:pPr>
        <w:rPr>
          <w:rFonts w:ascii="Arial" w:hAnsi="Arial" w:cs="Arial"/>
        </w:rPr>
      </w:pPr>
    </w:p>
    <w:p w14:paraId="003ED141" w14:textId="77777777" w:rsidR="00492D6E" w:rsidRPr="006B21EA" w:rsidRDefault="00492D6E" w:rsidP="002A0B60">
      <w:pPr>
        <w:rPr>
          <w:rFonts w:ascii="Arial" w:hAnsi="Arial" w:cs="Arial"/>
        </w:rPr>
      </w:pPr>
    </w:p>
    <w:p w14:paraId="04EE4BE3" w14:textId="77777777" w:rsidR="00492D6E" w:rsidRPr="006B21EA" w:rsidRDefault="00492D6E" w:rsidP="002A0B60">
      <w:pPr>
        <w:rPr>
          <w:rFonts w:ascii="Arial" w:hAnsi="Arial" w:cs="Arial"/>
        </w:rPr>
      </w:pPr>
    </w:p>
    <w:p w14:paraId="44E1E974" w14:textId="77777777" w:rsidR="00492D6E" w:rsidRPr="006B21EA" w:rsidRDefault="00492D6E" w:rsidP="002A0B60">
      <w:pPr>
        <w:rPr>
          <w:rFonts w:ascii="Arial" w:hAnsi="Arial" w:cs="Arial"/>
        </w:rPr>
      </w:pPr>
    </w:p>
    <w:p w14:paraId="29C5F2E0" w14:textId="77777777" w:rsidR="00492D6E" w:rsidRPr="006B21EA" w:rsidRDefault="00492D6E" w:rsidP="002A0B60">
      <w:pPr>
        <w:rPr>
          <w:rFonts w:ascii="Arial" w:hAnsi="Arial" w:cs="Arial"/>
        </w:rPr>
      </w:pPr>
    </w:p>
    <w:p w14:paraId="2A034601" w14:textId="77777777" w:rsidR="00492D6E" w:rsidRPr="006B21EA" w:rsidRDefault="00492D6E" w:rsidP="002A0B60">
      <w:pPr>
        <w:rPr>
          <w:rFonts w:ascii="Arial" w:hAnsi="Arial" w:cs="Arial"/>
        </w:rPr>
      </w:pPr>
    </w:p>
    <w:p w14:paraId="5AA16AE7" w14:textId="77777777" w:rsidR="00492D6E" w:rsidRPr="006B21EA" w:rsidRDefault="00492D6E" w:rsidP="002A0B60">
      <w:pPr>
        <w:rPr>
          <w:rFonts w:ascii="Arial" w:hAnsi="Arial" w:cs="Arial"/>
        </w:rPr>
      </w:pPr>
    </w:p>
    <w:p w14:paraId="7D8F1840" w14:textId="77777777" w:rsidR="00492D6E" w:rsidRPr="006B21EA" w:rsidRDefault="00492D6E" w:rsidP="002A0B60">
      <w:pPr>
        <w:rPr>
          <w:rFonts w:ascii="Arial" w:hAnsi="Arial" w:cs="Arial"/>
        </w:rPr>
      </w:pPr>
    </w:p>
    <w:p w14:paraId="75A24483" w14:textId="77777777" w:rsidR="00492D6E" w:rsidRPr="006B21EA" w:rsidRDefault="00492D6E" w:rsidP="002A0B60">
      <w:pPr>
        <w:rPr>
          <w:rFonts w:ascii="Arial" w:hAnsi="Arial" w:cs="Arial"/>
        </w:rPr>
      </w:pPr>
    </w:p>
    <w:p w14:paraId="6D2B39C4" w14:textId="77777777" w:rsidR="00492D6E" w:rsidRPr="006B21EA" w:rsidRDefault="00492D6E" w:rsidP="002A0B60">
      <w:pPr>
        <w:rPr>
          <w:rFonts w:ascii="Arial" w:hAnsi="Arial" w:cs="Arial"/>
        </w:rPr>
      </w:pPr>
    </w:p>
    <w:p w14:paraId="2E540EDD" w14:textId="77777777" w:rsidR="00492D6E" w:rsidRPr="006B21EA" w:rsidRDefault="00492D6E" w:rsidP="002A0B60">
      <w:pPr>
        <w:rPr>
          <w:rFonts w:ascii="Arial" w:hAnsi="Arial" w:cs="Arial"/>
        </w:rPr>
      </w:pPr>
    </w:p>
    <w:p w14:paraId="69CAF519" w14:textId="77777777" w:rsidR="00492D6E" w:rsidRPr="006B21EA" w:rsidRDefault="00492D6E" w:rsidP="002A0B60">
      <w:pPr>
        <w:rPr>
          <w:rFonts w:ascii="Arial" w:hAnsi="Arial" w:cs="Arial"/>
        </w:rPr>
      </w:pPr>
    </w:p>
    <w:p w14:paraId="2A299E7E" w14:textId="77777777" w:rsidR="00492D6E" w:rsidRPr="006B21EA" w:rsidRDefault="00492D6E" w:rsidP="002A0B60">
      <w:pPr>
        <w:rPr>
          <w:rFonts w:ascii="Arial" w:hAnsi="Arial" w:cs="Arial"/>
        </w:rPr>
      </w:pPr>
    </w:p>
    <w:p w14:paraId="19B21C85" w14:textId="77777777" w:rsidR="00492D6E" w:rsidRPr="006B21EA" w:rsidRDefault="00492D6E" w:rsidP="002A0B60">
      <w:pPr>
        <w:rPr>
          <w:rFonts w:ascii="Arial" w:hAnsi="Arial" w:cs="Arial"/>
        </w:rPr>
      </w:pPr>
    </w:p>
    <w:p w14:paraId="60FCDE80" w14:textId="77777777" w:rsidR="002A0B60" w:rsidRPr="006B21EA" w:rsidRDefault="002A0B60" w:rsidP="002A0B60">
      <w:pPr>
        <w:rPr>
          <w:rFonts w:ascii="Arial" w:hAnsi="Arial" w:cs="Arial"/>
        </w:rPr>
      </w:pPr>
      <w:r>
        <w:rPr>
          <w:rFonts w:ascii="Arial" w:hAnsi="Arial" w:cs="Arial"/>
          <w:b/>
          <w:bCs/>
        </w:rPr>
        <w:lastRenderedPageBreak/>
        <w:t>Supplementary Methods 1: Derivation of the Kinetic Proxy Model Equations</w:t>
      </w:r>
    </w:p>
    <w:p w14:paraId="5FF0B994" w14:textId="77777777" w:rsidR="002A0B60" w:rsidRPr="006B21EA" w:rsidRDefault="002A0B60" w:rsidP="002A0B60">
      <w:pPr>
        <w:rPr>
          <w:rFonts w:ascii="Arial" w:hAnsi="Arial" w:cs="Arial"/>
        </w:rPr>
      </w:pPr>
      <w:r>
        <w:rPr>
          <w:rFonts w:ascii="Arial" w:hAnsi="Arial" w:cs="Arial"/>
        </w:rPr>
        <w:t>This section provides a step-by-step derivation of the equations used in the kinetic proxy framework for reconstructing drip rates from stalagmite trace metals (Co, Ni). The model exploits the dissociation kinetics of organic metal complexes (OMCs) in cave dripwater, where transition metals (e.g., X = Co or Ni) bind to heterogeneous organic ligands (</w:t>
      </w:r>
      <w:r>
        <w:rPr>
          <w:rFonts w:ascii="Arial" w:hAnsi="Arial" w:cs="Arial"/>
          <w:i/>
          <w:iCs/>
        </w:rPr>
        <w:t>L</w:t>
      </w:r>
      <w:r>
        <w:rPr>
          <w:rFonts w:ascii="Arial" w:hAnsi="Arial" w:cs="Arial"/>
          <w:vertAlign w:val="subscript"/>
        </w:rPr>
        <w:t>i</w:t>
      </w:r>
      <w:r>
        <w:rPr>
          <w:rFonts w:ascii="Arial" w:hAnsi="Arial" w:cs="Arial"/>
        </w:rPr>
        <w:t>), influencing their availability for incorporation into calcite during speleothem growth. We assume a log-normal distribution of dissociation rate constants (</w:t>
      </w:r>
      <w:proofErr w:type="spellStart"/>
      <w:r>
        <w:rPr>
          <w:rFonts w:ascii="Arial" w:hAnsi="Arial" w:cs="Arial"/>
          <w:i/>
          <w:iCs/>
        </w:rPr>
        <w:t>k</w:t>
      </w:r>
      <w:r>
        <w:rPr>
          <w:rFonts w:ascii="Arial" w:hAnsi="Arial" w:cs="Arial"/>
          <w:vertAlign w:val="subscript"/>
        </w:rPr>
        <w:t>d</w:t>
      </w:r>
      <w:proofErr w:type="spellEnd"/>
      <w:r>
        <w:rPr>
          <w:rFonts w:ascii="Arial" w:hAnsi="Arial" w:cs="Arial"/>
        </w:rPr>
        <w:t>) for the complexes, reflecting the heterogeneity of dissolved organic matter (DOM).</w:t>
      </w:r>
    </w:p>
    <w:p w14:paraId="310C3DE1" w14:textId="77777777" w:rsidR="00417893" w:rsidRPr="006B21EA" w:rsidRDefault="00417893" w:rsidP="002A0B60">
      <w:pPr>
        <w:rPr>
          <w:rFonts w:ascii="Arial" w:hAnsi="Arial" w:cs="Arial"/>
        </w:rPr>
      </w:pPr>
    </w:p>
    <w:p w14:paraId="3DAEB5C8" w14:textId="70E45695" w:rsidR="002A0B60" w:rsidRPr="008E2BBC" w:rsidRDefault="008E2BBC" w:rsidP="002A0B60">
      <w:pPr>
        <w:rPr>
          <w:rFonts w:ascii="Arial" w:hAnsi="Arial" w:cs="Arial"/>
          <w:i/>
          <w:iCs/>
        </w:rPr>
      </w:pPr>
      <w:r>
        <w:rPr>
          <w:rFonts w:ascii="Arial" w:hAnsi="Arial" w:cs="Arial"/>
          <w:i/>
          <w:iCs/>
        </w:rPr>
        <w:t>S1.1 Equilibrium Binding of Metals to Ligands</w:t>
      </w:r>
    </w:p>
    <w:p w14:paraId="728099B6" w14:textId="77777777" w:rsidR="002A0B60" w:rsidRPr="006B21EA" w:rsidRDefault="002A0B60" w:rsidP="002A0B60">
      <w:pPr>
        <w:rPr>
          <w:rFonts w:ascii="Arial" w:hAnsi="Arial" w:cs="Arial"/>
        </w:rPr>
      </w:pPr>
      <w:r>
        <w:rPr>
          <w:rFonts w:ascii="Arial" w:hAnsi="Arial" w:cs="Arial"/>
        </w:rPr>
        <w:t>Transition metals (M) in dripwater form complexes with organic ligands (L</w:t>
      </w:r>
      <w:r>
        <w:rPr>
          <w:rFonts w:ascii="Arial" w:hAnsi="Arial" w:cs="Arial"/>
          <w:vertAlign w:val="subscript"/>
        </w:rPr>
        <w:t>i</w:t>
      </w:r>
      <w:r>
        <w:rPr>
          <w:rFonts w:ascii="Arial" w:hAnsi="Arial" w:cs="Arial"/>
        </w:rPr>
        <w:t>):</w:t>
      </w:r>
    </w:p>
    <w:p w14:paraId="4A95D613" w14:textId="77777777" w:rsidR="002A0B60" w:rsidRPr="006B21EA" w:rsidRDefault="00F077E8" w:rsidP="002A0B60">
      <w:pPr>
        <w:rPr>
          <w:rFonts w:ascii="Arial" w:hAnsi="Arial" w:cs="Arial"/>
        </w:rPr>
      </w:pPr>
      <w:r>
        <w:rPr>
          <w:rFonts w:ascii="Arial" w:hAnsi="Arial" w:cs="Arial"/>
          <w:noProof/>
        </w:rPr>
        <w:drawing>
          <wp:inline distT="0" distB="0" distL="0" distR="0" wp14:anchorId="03E8B013" wp14:editId="50D68C26">
            <wp:extent cx="5394971" cy="914402"/>
            <wp:effectExtent l="0" t="0" r="0" b="0"/>
            <wp:docPr id="598352814" name="Picture 2" descr="A black text on a white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52814" name="Picture 2" descr="A black text on a white background  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4971" cy="914402"/>
                    </a:xfrm>
                    <a:prstGeom prst="rect">
                      <a:avLst/>
                    </a:prstGeom>
                  </pic:spPr>
                </pic:pic>
              </a:graphicData>
            </a:graphic>
          </wp:inline>
        </w:drawing>
      </w:r>
    </w:p>
    <w:p w14:paraId="71427396" w14:textId="77777777" w:rsidR="00C0083A" w:rsidRPr="006B21EA" w:rsidRDefault="002A0B60" w:rsidP="002A0B60">
      <w:pPr>
        <w:rPr>
          <w:rFonts w:ascii="Arial" w:hAnsi="Arial" w:cs="Arial"/>
        </w:rPr>
      </w:pPr>
      <w:r>
        <w:rPr>
          <w:rFonts w:ascii="Arial" w:hAnsi="Arial" w:cs="Arial"/>
        </w:rPr>
        <w:t xml:space="preserve">The stability constant for each complex is: </w:t>
      </w:r>
      <m:oMath>
        <m:r>
          <w:rPr>
            <w:rFonts w:ascii="Cambria Math" w:hAnsi="Cambria Math" w:cs="Arial"/>
          </w:rPr>
          <m:t xml:space="preserve">k =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[ML</m:t>
                </m:r>
              </m:e>
              <m:sub>
                <m:r>
                  <w:rPr>
                    <w:rFonts w:ascii="Cambria Math" w:hAnsi="Cambria Math" w:cs="Arial"/>
                  </w:rPr>
                  <m:t>i</m:t>
                </m:r>
              </m:sub>
            </m:sSub>
            <m:r>
              <w:rPr>
                <w:rFonts w:ascii="Cambria Math" w:hAnsi="Cambria Math" w:cs="Arial"/>
              </w:rPr>
              <m:t>]</m:t>
            </m:r>
          </m:num>
          <m:den>
            <m:r>
              <w:rPr>
                <w:rFonts w:ascii="Cambria Math" w:hAnsi="Cambria Math" w:cs="Arial"/>
              </w:rPr>
              <m:t>[M][</m:t>
            </m:r>
            <m:sSub>
              <m:sSubPr>
                <m:ctrlPr>
                  <w:rPr>
                    <w:rFonts w:ascii="Cambria Math" w:hAnsi="Cambria Math" w:cs="Arial"/>
                    <w:i/>
                  </w:rPr>
                </m:ctrlPr>
              </m:sSubPr>
              <m:e>
                <m:r>
                  <w:rPr>
                    <w:rFonts w:ascii="Cambria Math" w:hAnsi="Cambria Math" w:cs="Arial"/>
                  </w:rPr>
                  <m:t>L</m:t>
                </m:r>
              </m:e>
              <m:sub>
                <m:r>
                  <w:rPr>
                    <w:rFonts w:ascii="Cambria Math" w:hAnsi="Cambria Math" w:cs="Arial"/>
                  </w:rPr>
                  <m:t>i</m:t>
                </m:r>
              </m:sub>
            </m:sSub>
            <m:r>
              <w:rPr>
                <w:rFonts w:ascii="Cambria Math" w:hAnsi="Cambria Math" w:cs="Arial"/>
              </w:rPr>
              <m:t>]</m:t>
            </m:r>
          </m:den>
        </m:f>
      </m:oMath>
      <w:r>
        <w:rPr>
          <w:rFonts w:ascii="Arial" w:hAnsi="Arial" w:cs="Arial"/>
        </w:rPr>
        <w:t xml:space="preserve">, where brackets denote concentrations. The forward (association) rate constant is </w:t>
      </w:r>
      <w:proofErr w:type="spellStart"/>
      <w:proofErr w:type="gramStart"/>
      <w:r>
        <w:rPr>
          <w:rFonts w:ascii="Arial" w:hAnsi="Arial" w:cs="Arial"/>
          <w:i/>
          <w:iCs/>
        </w:rPr>
        <w:t>k</w:t>
      </w:r>
      <w:r>
        <w:rPr>
          <w:rFonts w:ascii="Arial" w:hAnsi="Arial" w:cs="Arial"/>
          <w:vertAlign w:val="subscript"/>
        </w:rPr>
        <w:t>f,i</w:t>
      </w:r>
      <w:proofErr w:type="spellEnd"/>
      <w:proofErr w:type="gramEnd"/>
      <w:r>
        <w:rPr>
          <w:rFonts w:ascii="Arial" w:hAnsi="Arial" w:cs="Arial"/>
        </w:rPr>
        <w:t xml:space="preserve">, and the reverse (dissociation) rate constant is </w:t>
      </w:r>
      <w:proofErr w:type="spellStart"/>
      <w:proofErr w:type="gramStart"/>
      <w:r>
        <w:rPr>
          <w:rFonts w:ascii="Arial" w:hAnsi="Arial" w:cs="Arial"/>
          <w:i/>
          <w:iCs/>
        </w:rPr>
        <w:t>k</w:t>
      </w:r>
      <w:r>
        <w:rPr>
          <w:rFonts w:ascii="Arial" w:hAnsi="Arial" w:cs="Arial"/>
          <w:vertAlign w:val="subscript"/>
        </w:rPr>
        <w:t>d,i</w:t>
      </w:r>
      <w:proofErr w:type="spellEnd"/>
      <w:proofErr w:type="gramEnd"/>
      <w:r>
        <w:rPr>
          <w:rFonts w:ascii="Arial" w:hAnsi="Arial" w:cs="Arial"/>
        </w:rPr>
        <w:t>:</w:t>
      </w:r>
    </w:p>
    <w:p w14:paraId="1D5935C9" w14:textId="77777777" w:rsidR="00F077E8" w:rsidRPr="006B21EA" w:rsidRDefault="00F077E8" w:rsidP="002A0B60">
      <w:pPr>
        <w:rPr>
          <w:rFonts w:ascii="Arial" w:hAnsi="Arial" w:cs="Arial"/>
        </w:rPr>
      </w:pPr>
      <w:r>
        <w:rPr>
          <w:rFonts w:ascii="Arial" w:hAnsi="Arial" w:cs="Arial"/>
          <w:noProof/>
        </w:rPr>
        <w:drawing>
          <wp:inline distT="0" distB="0" distL="0" distR="0" wp14:anchorId="5F938E6E" wp14:editId="679B6DF7">
            <wp:extent cx="5394971" cy="914402"/>
            <wp:effectExtent l="0" t="0" r="0" b="0"/>
            <wp:docPr id="1831961864" name="Picture 3" descr="A black text on a white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61864" name="Picture 3" descr="A black text on a white background  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94971" cy="914402"/>
                    </a:xfrm>
                    <a:prstGeom prst="rect">
                      <a:avLst/>
                    </a:prstGeom>
                  </pic:spPr>
                </pic:pic>
              </a:graphicData>
            </a:graphic>
          </wp:inline>
        </w:drawing>
      </w:r>
    </w:p>
    <w:p w14:paraId="02710FE7" w14:textId="77777777" w:rsidR="002A0B60" w:rsidRPr="006B21EA" w:rsidRDefault="002A0B60" w:rsidP="002A0B60">
      <w:pPr>
        <w:rPr>
          <w:rFonts w:ascii="Arial" w:hAnsi="Arial" w:cs="Arial"/>
        </w:rPr>
      </w:pPr>
      <w:r>
        <w:rPr>
          <w:rFonts w:ascii="Arial" w:hAnsi="Arial" w:cs="Arial"/>
        </w:rPr>
        <w:t xml:space="preserve">In natural systems, ligands exhibit a continuum of binding strengths, leading to a distribution of </w:t>
      </w:r>
      <w:proofErr w:type="spellStart"/>
      <w:r>
        <w:rPr>
          <w:rFonts w:ascii="Arial" w:hAnsi="Arial" w:cs="Arial"/>
          <w:i/>
          <w:iCs/>
        </w:rPr>
        <w:t>k</w:t>
      </w:r>
      <w:r>
        <w:rPr>
          <w:rFonts w:ascii="Arial" w:hAnsi="Arial" w:cs="Arial"/>
          <w:vertAlign w:val="subscript"/>
        </w:rPr>
        <w:t>d</w:t>
      </w:r>
      <w:proofErr w:type="spellEnd"/>
      <w:r>
        <w:rPr>
          <w:rFonts w:ascii="Arial" w:hAnsi="Arial" w:cs="Arial"/>
        </w:rPr>
        <w:t xml:space="preserve"> values. We model this as a log-normal probability density function </w:t>
      </w:r>
      <w:proofErr w:type="gramStart"/>
      <w:r>
        <w:rPr>
          <w:rFonts w:ascii="Arial" w:hAnsi="Arial" w:cs="Arial"/>
          <w:i/>
          <w:iCs/>
        </w:rPr>
        <w:t>f</w:t>
      </w:r>
      <w:r>
        <w:rPr>
          <w:rFonts w:ascii="Arial" w:hAnsi="Arial" w:cs="Arial"/>
        </w:rPr>
        <w:t>(</w:t>
      </w:r>
      <w:proofErr w:type="gramEnd"/>
      <w:r>
        <w:rPr>
          <w:rFonts w:ascii="Arial" w:hAnsi="Arial" w:cs="Arial"/>
        </w:rPr>
        <w:t xml:space="preserve">ln </w:t>
      </w:r>
      <w:proofErr w:type="spellStart"/>
      <w:r>
        <w:rPr>
          <w:rFonts w:ascii="Arial" w:hAnsi="Arial" w:cs="Arial"/>
          <w:i/>
          <w:iCs/>
        </w:rPr>
        <w:t>k</w:t>
      </w:r>
      <w:r>
        <w:rPr>
          <w:rFonts w:ascii="Arial" w:hAnsi="Arial" w:cs="Arial"/>
          <w:vertAlign w:val="subscript"/>
        </w:rPr>
        <w:t>d</w:t>
      </w:r>
      <w:proofErr w:type="spellEnd"/>
      <w:r>
        <w:rPr>
          <w:rFonts w:ascii="Arial" w:hAnsi="Arial" w:cs="Arial"/>
        </w:rPr>
        <w:t>), with mean μ and standard deviation σ (optimized via calibration).</w:t>
      </w:r>
    </w:p>
    <w:p w14:paraId="467BC704" w14:textId="77777777" w:rsidR="00F077E8" w:rsidRPr="006B21EA" w:rsidRDefault="00F077E8" w:rsidP="002A0B60">
      <w:pPr>
        <w:rPr>
          <w:rFonts w:ascii="Arial" w:hAnsi="Arial" w:cs="Arial"/>
        </w:rPr>
      </w:pPr>
    </w:p>
    <w:p w14:paraId="158EC3D8" w14:textId="3AB9D304" w:rsidR="002A0B60" w:rsidRPr="008E2BBC" w:rsidRDefault="008E2BBC" w:rsidP="002A0B60">
      <w:pPr>
        <w:rPr>
          <w:rFonts w:ascii="Arial" w:hAnsi="Arial" w:cs="Arial"/>
          <w:i/>
          <w:iCs/>
        </w:rPr>
      </w:pPr>
      <w:r>
        <w:rPr>
          <w:rFonts w:ascii="Arial" w:hAnsi="Arial" w:cs="Arial"/>
          <w:i/>
          <w:iCs/>
        </w:rPr>
        <w:t>S1.2. Dissociation in a Distributed System</w:t>
      </w:r>
    </w:p>
    <w:p w14:paraId="20FBE25A" w14:textId="77777777" w:rsidR="00C0083A" w:rsidRPr="006B21EA" w:rsidRDefault="002A0B60" w:rsidP="002A0B60">
      <w:pPr>
        <w:rPr>
          <w:rFonts w:ascii="Arial" w:hAnsi="Arial" w:cs="Arial"/>
          <w:iCs/>
        </w:rPr>
      </w:pPr>
      <w:r>
        <w:rPr>
          <w:rFonts w:ascii="Arial" w:hAnsi="Arial" w:cs="Arial"/>
        </w:rPr>
        <w:t xml:space="preserve">For a single complex, the concentration of labile (free or rapidly dissociating) metal at time </w:t>
      </w:r>
      <w:r>
        <w:rPr>
          <w:rFonts w:ascii="Arial" w:hAnsi="Arial" w:cs="Arial"/>
          <w:i/>
          <w:iCs/>
        </w:rPr>
        <w:t>t</w:t>
      </w:r>
      <w:r>
        <w:rPr>
          <w:rFonts w:ascii="Arial" w:hAnsi="Arial" w:cs="Arial"/>
        </w:rPr>
        <w:t xml:space="preserve"> is governed by first-order dissociation kinetics: </w:t>
      </w:r>
      <m:oMath>
        <m:f>
          <m:fPr>
            <m:ctrlPr>
              <w:rPr>
                <w:rFonts w:ascii="Cambria Math" w:hAnsi="Cambria Math" w:cs="Arial"/>
                <w:i/>
              </w:rPr>
            </m:ctrlPr>
          </m:fPr>
          <m:num>
            <m:r>
              <w:rPr>
                <w:rFonts w:ascii="Cambria Math" w:hAnsi="Cambria Math" w:cs="Arial"/>
              </w:rPr>
              <m:t>d[ML]</m:t>
            </m:r>
          </m:num>
          <m:den>
            <m:r>
              <w:rPr>
                <w:rFonts w:ascii="Cambria Math" w:hAnsi="Cambria Math" w:cs="Arial"/>
              </w:rPr>
              <m:t>dt</m:t>
            </m:r>
          </m:den>
        </m:f>
        <m:r>
          <w:rPr>
            <w:rFonts w:ascii="Cambria Math" w:hAnsi="Cambria Math" w:cs="Arial"/>
          </w:rPr>
          <m:t>=</m:t>
        </m:r>
        <m:sSub>
          <m:sSubPr>
            <m:ctrlPr>
              <w:rPr>
                <w:rFonts w:ascii="Cambria Math" w:hAnsi="Cambria Math" w:cs="Arial"/>
                <w:iCs/>
              </w:rPr>
            </m:ctrlPr>
          </m:sSubPr>
          <m:e>
            <m:r>
              <w:rPr>
                <w:rFonts w:ascii="Cambria Math" w:hAnsi="Cambria Math" w:cs="Arial"/>
              </w:rPr>
              <m:t>-k</m:t>
            </m:r>
          </m:e>
          <m:sub>
            <m:r>
              <w:rPr>
                <w:rFonts w:ascii="Cambria Math" w:hAnsi="Cambria Math" w:cs="Arial"/>
              </w:rPr>
              <m:t>d</m:t>
            </m:r>
          </m:sub>
        </m:sSub>
        <m:r>
          <w:rPr>
            <w:rFonts w:ascii="Cambria Math" w:hAnsi="Cambria Math" w:cs="Arial"/>
          </w:rPr>
          <m:t>[ML]</m:t>
        </m:r>
      </m:oMath>
      <w:r>
        <w:rPr>
          <w:rFonts w:ascii="Arial" w:hAnsi="Arial" w:cs="Arial"/>
        </w:rPr>
        <w:t>, yielding</w:t>
      </w:r>
      <w:r>
        <w:rPr>
          <w:rFonts w:ascii="Arial" w:hAnsi="Arial" w:cs="Arial"/>
          <w:i/>
        </w:rPr>
        <w:t xml:space="preserve"> </w:t>
      </w:r>
      <m:oMath>
        <m:sSub>
          <m:sSubPr>
            <m:ctrlPr>
              <w:rPr>
                <w:rFonts w:ascii="Cambria Math" w:hAnsi="Cambria Math" w:cs="Arial"/>
                <w:i/>
              </w:rPr>
            </m:ctrlPr>
          </m:sSubPr>
          <m:e>
            <m:r>
              <w:rPr>
                <w:rFonts w:ascii="Cambria Math" w:hAnsi="Cambria Math" w:cs="Arial"/>
              </w:rPr>
              <m:t>[ML]</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m:t>
            </m:r>
            <m:r>
              <w:rPr>
                <w:rFonts w:ascii="Cambria Math" w:hAnsi="Cambria Math" w:cs="Arial"/>
              </w:rPr>
              <m:t>ML</m:t>
            </m:r>
            <m:r>
              <m:rPr>
                <m:sty m:val="p"/>
              </m:rPr>
              <w:rPr>
                <w:rFonts w:ascii="Cambria Math" w:hAnsi="Cambria Math" w:cs="Arial"/>
              </w:rPr>
              <m:t>]</m:t>
            </m:r>
          </m:e>
          <m:sub>
            <m:r>
              <w:rPr>
                <w:rFonts w:ascii="Cambria Math" w:hAnsi="Cambria Math" w:cs="Arial"/>
              </w:rPr>
              <m:t>0</m:t>
            </m:r>
          </m:sub>
        </m:sSub>
        <m:sSup>
          <m:sSupPr>
            <m:ctrlPr>
              <w:rPr>
                <w:rFonts w:ascii="Cambria Math" w:hAnsi="Cambria Math" w:cs="Arial"/>
                <w:i/>
              </w:rPr>
            </m:ctrlPr>
          </m:sSupPr>
          <m:e>
            <m:r>
              <w:rPr>
                <w:rFonts w:ascii="Cambria Math" w:hAnsi="Cambria Math" w:cs="Arial"/>
              </w:rPr>
              <m:t>e</m:t>
            </m:r>
          </m:e>
          <m:sup>
            <m:sSub>
              <m:sSubPr>
                <m:ctrlPr>
                  <w:rPr>
                    <w:rFonts w:ascii="Cambria Math" w:hAnsi="Cambria Math" w:cs="Arial"/>
                    <w:i/>
                  </w:rPr>
                </m:ctrlPr>
              </m:sSubPr>
              <m:e>
                <m:r>
                  <w:rPr>
                    <w:rFonts w:ascii="Cambria Math" w:hAnsi="Cambria Math" w:cs="Arial"/>
                  </w:rPr>
                  <m:t>-k</m:t>
                </m:r>
              </m:e>
              <m:sub>
                <m:r>
                  <w:rPr>
                    <w:rFonts w:ascii="Cambria Math" w:hAnsi="Cambria Math" w:cs="Arial"/>
                  </w:rPr>
                  <m:t>d</m:t>
                </m:r>
              </m:sub>
            </m:sSub>
            <m:r>
              <w:rPr>
                <w:rFonts w:ascii="Cambria Math" w:hAnsi="Cambria Math" w:cs="Arial"/>
              </w:rPr>
              <m:t>t</m:t>
            </m:r>
          </m:sup>
        </m:sSup>
      </m:oMath>
      <w:r>
        <w:rPr>
          <w:rFonts w:ascii="Arial" w:hAnsi="Arial" w:cs="Arial"/>
          <w:i/>
        </w:rPr>
        <w:t>.</w:t>
      </w:r>
    </w:p>
    <w:p w14:paraId="7A2768F7" w14:textId="77777777" w:rsidR="002A0B60" w:rsidRPr="006B21EA" w:rsidRDefault="00C0083A" w:rsidP="002A0B60">
      <w:pPr>
        <w:rPr>
          <w:rFonts w:ascii="Arial" w:hAnsi="Arial" w:cs="Arial"/>
        </w:rPr>
      </w:pPr>
      <w:r>
        <w:rPr>
          <w:rFonts w:ascii="Arial" w:hAnsi="Arial" w:cs="Arial"/>
        </w:rPr>
        <w:t xml:space="preserve">In the presence of a suitable sink (such as calcite), the remaining bound metal decreases exponentially, so the dissociated (labile) fraction increases as </w:t>
      </w:r>
      <m:oMath>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d</m:t>
                </m:r>
              </m:sub>
            </m:sSub>
            <m:r>
              <w:rPr>
                <w:rFonts w:ascii="Cambria Math" w:hAnsi="Cambria Math" w:cs="Arial"/>
              </w:rPr>
              <m:t>t</m:t>
            </m:r>
          </m:sup>
        </m:sSup>
      </m:oMath>
      <w:r>
        <w:rPr>
          <w:rFonts w:ascii="Arial" w:hAnsi="Arial" w:cs="Arial"/>
          <w:i/>
        </w:rPr>
        <w:t>.</w:t>
      </w:r>
      <w:r>
        <w:rPr>
          <w:rFonts w:ascii="Arial" w:hAnsi="Arial" w:cs="Arial"/>
        </w:rPr>
        <w:t xml:space="preserve"> For the full distribution, the total concentration of dissociated metal </w:t>
      </w:r>
      <w:r>
        <w:rPr>
          <w:rFonts w:ascii="Arial" w:hAnsi="Arial" w:cs="Arial"/>
          <w:i/>
          <w:iCs/>
        </w:rPr>
        <w:t>C</w:t>
      </w:r>
      <w:r>
        <w:rPr>
          <w:rFonts w:ascii="Arial" w:hAnsi="Arial" w:cs="Arial"/>
          <w:vertAlign w:val="subscript"/>
        </w:rPr>
        <w:t>t</w:t>
      </w:r>
      <w:r>
        <w:rPr>
          <w:rFonts w:ascii="Arial" w:hAnsi="Arial" w:cs="Arial"/>
        </w:rPr>
        <w:t xml:space="preserve"> from an initial bound concentration </w:t>
      </w:r>
      <w:r>
        <w:rPr>
          <w:rFonts w:ascii="Arial" w:hAnsi="Arial" w:cs="Arial"/>
          <w:i/>
          <w:iCs/>
        </w:rPr>
        <w:t>C</w:t>
      </w:r>
      <w:r>
        <w:rPr>
          <w:rFonts w:ascii="Arial" w:hAnsi="Arial" w:cs="Arial"/>
          <w:vertAlign w:val="subscript"/>
        </w:rPr>
        <w:t>0</w:t>
      </w:r>
      <w:r>
        <w:rPr>
          <w:rFonts w:ascii="Arial" w:hAnsi="Arial" w:cs="Arial"/>
        </w:rPr>
        <w:t xml:space="preserve"> is:</w:t>
      </w:r>
    </w:p>
    <w:p w14:paraId="54F2B681" w14:textId="77777777" w:rsidR="00E425D2" w:rsidRPr="006B21EA" w:rsidRDefault="00E425D2" w:rsidP="002A0B60">
      <w:pPr>
        <w:rPr>
          <w:rFonts w:ascii="Arial" w:hAnsi="Arial" w:cs="Arial"/>
        </w:rPr>
      </w:pPr>
      <w:r>
        <w:rPr>
          <w:rFonts w:ascii="Arial" w:hAnsi="Arial" w:cs="Arial"/>
          <w:noProof/>
        </w:rPr>
        <w:lastRenderedPageBreak/>
        <w:drawing>
          <wp:inline distT="0" distB="0" distL="0" distR="0" wp14:anchorId="4DE1139F" wp14:editId="4E94CC02">
            <wp:extent cx="5394971" cy="914402"/>
            <wp:effectExtent l="0" t="0" r="0" b="0"/>
            <wp:docPr id="679007418" name="Picture 5" descr="A black text on a white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07418" name="Picture 5" descr="A black text on a white background  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4971" cy="914402"/>
                    </a:xfrm>
                    <a:prstGeom prst="rect">
                      <a:avLst/>
                    </a:prstGeom>
                  </pic:spPr>
                </pic:pic>
              </a:graphicData>
            </a:graphic>
          </wp:inline>
        </w:drawing>
      </w:r>
    </w:p>
    <w:p w14:paraId="7E50468E" w14:textId="77777777" w:rsidR="002A0B60" w:rsidRPr="006B21EA" w:rsidRDefault="002A0B60" w:rsidP="002A0B60">
      <w:pPr>
        <w:rPr>
          <w:rFonts w:ascii="Arial" w:hAnsi="Arial" w:cs="Arial"/>
        </w:rPr>
      </w:pPr>
      <w:r>
        <w:rPr>
          <w:rFonts w:ascii="Arial" w:hAnsi="Arial" w:cs="Arial"/>
        </w:rPr>
        <w:t xml:space="preserve">However, in dripwater, a small "fast" fraction </w:t>
      </w:r>
      <w:bookmarkStart w:id="0" w:name="_Hlk205801640"/>
      <w:r>
        <w:rPr>
          <w:rFonts w:ascii="Arial" w:hAnsi="Arial" w:cs="Arial"/>
        </w:rPr>
        <w:t>(</w:t>
      </w:r>
      <w:proofErr w:type="spellStart"/>
      <w:r>
        <w:rPr>
          <w:rFonts w:ascii="Arial" w:hAnsi="Arial" w:cs="Arial"/>
          <w:i/>
          <w:iCs/>
        </w:rPr>
        <w:t>λ</w:t>
      </w:r>
      <w:r>
        <w:rPr>
          <w:rFonts w:ascii="Arial" w:hAnsi="Arial" w:cs="Arial"/>
          <w:vertAlign w:val="subscript"/>
        </w:rPr>
        <w:t>F</w:t>
      </w:r>
      <w:proofErr w:type="spellEnd"/>
      <w:r>
        <w:rPr>
          <w:rFonts w:ascii="Arial" w:hAnsi="Arial" w:cs="Arial"/>
        </w:rPr>
        <w:t xml:space="preserve"> ≈ 0.001–0.01)</w:t>
      </w:r>
      <w:bookmarkEnd w:id="0"/>
      <w:r>
        <w:rPr>
          <w:rFonts w:ascii="Arial" w:hAnsi="Arial" w:cs="Arial"/>
        </w:rPr>
        <w:t xml:space="preserve"> of metals is inherently labile (e.g., free ions or very weak complexes), dissociating instantaneously; and a larger inert fraction (</w:t>
      </w:r>
      <w:proofErr w:type="spellStart"/>
      <w:r>
        <w:rPr>
          <w:rFonts w:ascii="Arial" w:hAnsi="Arial" w:cs="Arial"/>
          <w:i/>
          <w:iCs/>
        </w:rPr>
        <w:t>λ</w:t>
      </w:r>
      <w:r>
        <w:rPr>
          <w:rFonts w:ascii="Arial" w:hAnsi="Arial" w:cs="Arial"/>
          <w:vertAlign w:val="subscript"/>
        </w:rPr>
        <w:t>I</w:t>
      </w:r>
      <w:proofErr w:type="spellEnd"/>
      <w:r>
        <w:rPr>
          <w:rFonts w:ascii="Arial" w:hAnsi="Arial" w:cs="Arial"/>
        </w:rPr>
        <w:t xml:space="preserve"> ≈ 0.4 for Co, </w:t>
      </w:r>
      <w:proofErr w:type="spellStart"/>
      <w:r>
        <w:rPr>
          <w:rFonts w:ascii="Arial" w:hAnsi="Arial" w:cs="Arial"/>
          <w:i/>
          <w:iCs/>
        </w:rPr>
        <w:t>λ</w:t>
      </w:r>
      <w:r>
        <w:rPr>
          <w:rFonts w:ascii="Arial" w:hAnsi="Arial" w:cs="Arial"/>
          <w:vertAlign w:val="subscript"/>
        </w:rPr>
        <w:t>I</w:t>
      </w:r>
      <w:proofErr w:type="spellEnd"/>
      <w:r>
        <w:rPr>
          <w:rFonts w:ascii="Arial" w:hAnsi="Arial" w:cs="Arial"/>
          <w:vertAlign w:val="subscript"/>
        </w:rPr>
        <w:t xml:space="preserve"> </w:t>
      </w:r>
      <w:r>
        <w:rPr>
          <w:rFonts w:ascii="Arial" w:hAnsi="Arial" w:cs="Arial"/>
        </w:rPr>
        <w:t xml:space="preserve">≈ 0.15 for Ni) ensures that labile concentrations asymptote as drip rates approach zero. Accordingly, the slow fraction is (1 – </w:t>
      </w:r>
      <w:proofErr w:type="spellStart"/>
      <w:r>
        <w:rPr>
          <w:rFonts w:ascii="Arial" w:hAnsi="Arial" w:cs="Arial"/>
        </w:rPr>
        <w:t>λ</w:t>
      </w:r>
      <w:r>
        <w:rPr>
          <w:rFonts w:ascii="Arial" w:hAnsi="Arial" w:cs="Arial"/>
          <w:vertAlign w:val="subscript"/>
        </w:rPr>
        <w:t>I</w:t>
      </w:r>
      <w:proofErr w:type="spellEnd"/>
      <w:r>
        <w:rPr>
          <w:rFonts w:ascii="Arial" w:hAnsi="Arial" w:cs="Arial"/>
        </w:rPr>
        <w:t xml:space="preserve"> - </w:t>
      </w:r>
      <w:proofErr w:type="spellStart"/>
      <w:r>
        <w:rPr>
          <w:rFonts w:ascii="Arial" w:hAnsi="Arial" w:cs="Arial"/>
        </w:rPr>
        <w:t>λ</w:t>
      </w:r>
      <w:r>
        <w:rPr>
          <w:rFonts w:ascii="Arial" w:hAnsi="Arial" w:cs="Arial"/>
          <w:vertAlign w:val="subscript"/>
        </w:rPr>
        <w:t>F</w:t>
      </w:r>
      <w:proofErr w:type="spellEnd"/>
      <w:r>
        <w:rPr>
          <w:rFonts w:ascii="Arial" w:hAnsi="Arial" w:cs="Arial"/>
        </w:rPr>
        <w:t xml:space="preserve">). Thus, the total labile aqueous metal </w:t>
      </w:r>
      <m:oMath>
        <m:sSubSup>
          <m:sSubSupPr>
            <m:ctrlPr>
              <w:rPr>
                <w:rFonts w:ascii="Cambria Math" w:hAnsi="Cambria Math" w:cs="Arial"/>
                <w:i/>
              </w:rPr>
            </m:ctrlPr>
          </m:sSubSupPr>
          <m:e>
            <m:r>
              <w:rPr>
                <w:rFonts w:ascii="Cambria Math" w:hAnsi="Cambria Math" w:cs="Arial"/>
              </w:rPr>
              <m:t>[X]</m:t>
            </m:r>
          </m:e>
          <m:sub>
            <m:r>
              <w:rPr>
                <w:rFonts w:ascii="Cambria Math" w:hAnsi="Cambria Math" w:cs="Arial"/>
              </w:rPr>
              <m:t>aq</m:t>
            </m:r>
          </m:sub>
          <m:sup>
            <m:r>
              <w:rPr>
                <w:rFonts w:ascii="Cambria Math" w:hAnsi="Cambria Math" w:cs="Arial"/>
              </w:rPr>
              <m:t>la</m:t>
            </m:r>
          </m:sup>
        </m:sSubSup>
      </m:oMath>
      <w:r>
        <w:rPr>
          <w:rFonts w:ascii="Arial" w:hAnsi="Arial" w:cs="Arial"/>
        </w:rPr>
        <w:t xml:space="preserve"> at time </w:t>
      </w:r>
      <w:r>
        <w:rPr>
          <w:rFonts w:ascii="Arial" w:hAnsi="Arial" w:cs="Arial"/>
          <w:i/>
          <w:iCs/>
        </w:rPr>
        <w:t>t</w:t>
      </w:r>
      <w:r>
        <w:rPr>
          <w:rFonts w:ascii="Arial" w:hAnsi="Arial" w:cs="Arial"/>
        </w:rPr>
        <w:t xml:space="preserve"> is:</w:t>
      </w:r>
    </w:p>
    <w:p w14:paraId="68AFB1AA" w14:textId="77777777" w:rsidR="002A0B60" w:rsidRPr="006B21EA" w:rsidRDefault="00F53DA1" w:rsidP="002A0B60">
      <w:pPr>
        <w:rPr>
          <w:rFonts w:ascii="Arial" w:hAnsi="Arial" w:cs="Arial"/>
        </w:rPr>
      </w:pPr>
      <w:r>
        <w:rPr>
          <w:rFonts w:ascii="Arial" w:hAnsi="Arial" w:cs="Arial"/>
          <w:noProof/>
        </w:rPr>
        <w:drawing>
          <wp:inline distT="0" distB="0" distL="0" distR="0" wp14:anchorId="1E8EB99F" wp14:editId="69501B76">
            <wp:extent cx="5394971" cy="914402"/>
            <wp:effectExtent l="0" t="0" r="0" b="0"/>
            <wp:docPr id="2022295811" name="Picture 2" descr="A black text on a white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95811" name="Picture 2" descr="A black text on a white background  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1" cy="914402"/>
                    </a:xfrm>
                    <a:prstGeom prst="rect">
                      <a:avLst/>
                    </a:prstGeom>
                  </pic:spPr>
                </pic:pic>
              </a:graphicData>
            </a:graphic>
          </wp:inline>
        </w:drawing>
      </w:r>
      <w:r>
        <w:rPr>
          <w:rFonts w:ascii="Arial" w:hAnsi="Arial" w:cs="Arial"/>
        </w:rPr>
        <w:t>where</w:t>
      </w:r>
      <w:r>
        <w:rPr>
          <w:rFonts w:ascii="Arial" w:hAnsi="Arial" w:cs="Arial"/>
          <w:i/>
        </w:rPr>
        <w:t xml:space="preserve"> </w:t>
      </w:r>
      <m:oMath>
        <m:sSubSup>
          <m:sSubSupPr>
            <m:ctrlPr>
              <w:rPr>
                <w:rFonts w:ascii="Cambria Math" w:hAnsi="Cambria Math" w:cs="Arial"/>
                <w:i/>
              </w:rPr>
            </m:ctrlPr>
          </m:sSubSupPr>
          <m:e>
            <m:r>
              <w:rPr>
                <w:rFonts w:ascii="Cambria Math" w:hAnsi="Cambria Math" w:cs="Arial"/>
              </w:rPr>
              <m:t>[X]</m:t>
            </m:r>
          </m:e>
          <m:sub>
            <m:r>
              <w:rPr>
                <w:rFonts w:ascii="Cambria Math" w:hAnsi="Cambria Math" w:cs="Arial"/>
              </w:rPr>
              <m:t>aq</m:t>
            </m:r>
          </m:sub>
          <m:sup>
            <m:r>
              <w:rPr>
                <w:rFonts w:ascii="Cambria Math" w:hAnsi="Cambria Math" w:cs="Arial"/>
              </w:rPr>
              <m:t>sl</m:t>
            </m:r>
          </m:sup>
        </m:sSubSup>
      </m:oMath>
      <w:r>
        <w:rPr>
          <w:rFonts w:ascii="Arial" w:hAnsi="Arial" w:cs="Arial"/>
        </w:rPr>
        <w:t xml:space="preserve">is the slow (bound) fraction and  </w:t>
      </w:r>
      <m:oMath>
        <m:sSubSup>
          <m:sSubSupPr>
            <m:ctrlPr>
              <w:rPr>
                <w:rFonts w:ascii="Cambria Math" w:hAnsi="Cambria Math" w:cs="Arial"/>
                <w:i/>
              </w:rPr>
            </m:ctrlPr>
          </m:sSubSupPr>
          <m:e>
            <m:r>
              <w:rPr>
                <w:rFonts w:ascii="Cambria Math" w:hAnsi="Cambria Math" w:cs="Arial"/>
              </w:rPr>
              <m:t>[X]</m:t>
            </m:r>
          </m:e>
          <m:sub>
            <m:r>
              <w:rPr>
                <w:rFonts w:ascii="Cambria Math" w:hAnsi="Cambria Math" w:cs="Arial"/>
              </w:rPr>
              <m:t>fa</m:t>
            </m:r>
          </m:sub>
          <m:sup>
            <m:r>
              <w:rPr>
                <w:rFonts w:ascii="Cambria Math" w:hAnsi="Cambria Math" w:cs="Arial"/>
              </w:rPr>
              <m:t>aq</m:t>
            </m:r>
          </m:sup>
        </m:sSubSup>
      </m:oMath>
      <w:r>
        <w:rPr>
          <w:rFonts w:ascii="Arial" w:hAnsi="Arial" w:cs="Arial"/>
          <w:i/>
        </w:rPr>
        <w:t xml:space="preserve"> </w:t>
      </w:r>
      <w:r>
        <w:rPr>
          <w:rFonts w:ascii="Arial" w:hAnsi="Arial" w:cs="Arial"/>
        </w:rPr>
        <w:t xml:space="preserve">is the fast fraction. Substituting the fractions in terms of total aqueous metal </w:t>
      </w:r>
      <m:oMath>
        <m:sSubSup>
          <m:sSubSupPr>
            <m:ctrlPr>
              <w:rPr>
                <w:rFonts w:ascii="Cambria Math" w:hAnsi="Cambria Math" w:cs="Arial"/>
                <w:i/>
              </w:rPr>
            </m:ctrlPr>
          </m:sSubSupPr>
          <m:e>
            <m:r>
              <w:rPr>
                <w:rFonts w:ascii="Cambria Math" w:hAnsi="Cambria Math" w:cs="Arial"/>
              </w:rPr>
              <m:t>[X]</m:t>
            </m:r>
          </m:e>
          <m:sub>
            <m:r>
              <w:rPr>
                <w:rFonts w:ascii="Cambria Math" w:hAnsi="Cambria Math" w:cs="Arial"/>
              </w:rPr>
              <m:t>tot</m:t>
            </m:r>
          </m:sub>
          <m:sup>
            <m:r>
              <w:rPr>
                <w:rFonts w:ascii="Cambria Math" w:hAnsi="Cambria Math" w:cs="Arial"/>
              </w:rPr>
              <m:t>aq</m:t>
            </m:r>
          </m:sup>
        </m:sSubSup>
      </m:oMath>
      <w:r>
        <w:rPr>
          <w:rFonts w:ascii="Arial" w:hAnsi="Arial" w:cs="Arial"/>
        </w:rPr>
        <w:t>:</w:t>
      </w:r>
    </w:p>
    <w:p w14:paraId="373FBF2B" w14:textId="77777777" w:rsidR="007802E9" w:rsidRPr="006B21EA" w:rsidRDefault="00F53DA1" w:rsidP="002A0B60">
      <w:pPr>
        <w:rPr>
          <w:rFonts w:ascii="Arial" w:hAnsi="Arial" w:cs="Arial"/>
        </w:rPr>
      </w:pPr>
      <w:r>
        <w:rPr>
          <w:rFonts w:ascii="Arial" w:hAnsi="Arial" w:cs="Arial"/>
          <w:noProof/>
        </w:rPr>
        <w:drawing>
          <wp:inline distT="0" distB="0" distL="0" distR="0" wp14:anchorId="7FA7019D" wp14:editId="37FC68E0">
            <wp:extent cx="5394971" cy="914402"/>
            <wp:effectExtent l="0" t="0" r="0" b="0"/>
            <wp:docPr id="1894549885" name="Picture 3" descr="A black text on a white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49885" name="Picture 3" descr="A black text on a white background  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4971" cy="914402"/>
                    </a:xfrm>
                    <a:prstGeom prst="rect">
                      <a:avLst/>
                    </a:prstGeom>
                  </pic:spPr>
                </pic:pic>
              </a:graphicData>
            </a:graphic>
          </wp:inline>
        </w:drawing>
      </w:r>
    </w:p>
    <w:p w14:paraId="2395AA7E" w14:textId="77777777" w:rsidR="007802E9" w:rsidRPr="006B21EA" w:rsidRDefault="007802E9" w:rsidP="002A0B60">
      <w:pPr>
        <w:rPr>
          <w:rFonts w:ascii="Arial" w:hAnsi="Arial" w:cs="Arial"/>
        </w:rPr>
      </w:pPr>
      <w:r>
        <w:rPr>
          <w:rFonts w:ascii="Arial" w:hAnsi="Arial" w:cs="Arial"/>
          <w:noProof/>
        </w:rPr>
        <w:drawing>
          <wp:inline distT="0" distB="0" distL="0" distR="0" wp14:anchorId="438AF284" wp14:editId="1BD74CFE">
            <wp:extent cx="5394971" cy="914402"/>
            <wp:effectExtent l="0" t="0" r="0" b="0"/>
            <wp:docPr id="1424482718" name="Picture 8" descr="A black text with black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82718" name="Picture 8" descr="A black text with black letters  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94971" cy="914402"/>
                    </a:xfrm>
                    <a:prstGeom prst="rect">
                      <a:avLst/>
                    </a:prstGeom>
                  </pic:spPr>
                </pic:pic>
              </a:graphicData>
            </a:graphic>
          </wp:inline>
        </w:drawing>
      </w:r>
    </w:p>
    <w:p w14:paraId="3FBA5D65" w14:textId="77777777" w:rsidR="00F53DA1" w:rsidRPr="006B21EA" w:rsidRDefault="00F53DA1" w:rsidP="002A0B60">
      <w:pPr>
        <w:rPr>
          <w:rFonts w:ascii="Arial" w:hAnsi="Arial" w:cs="Arial"/>
        </w:rPr>
      </w:pPr>
      <w:r>
        <w:rPr>
          <w:rFonts w:ascii="Arial" w:hAnsi="Arial" w:cs="Arial"/>
          <w:noProof/>
        </w:rPr>
        <w:drawing>
          <wp:inline distT="0" distB="0" distL="0" distR="0" wp14:anchorId="7B053C03" wp14:editId="0F93E672">
            <wp:extent cx="5394971" cy="914402"/>
            <wp:effectExtent l="0" t="0" r="0" b="0"/>
            <wp:docPr id="1492155210" name="Picture 4" descr="A math equation with numb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55210" name="Picture 4" descr="A math equation with numbers  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4971" cy="914402"/>
                    </a:xfrm>
                    <a:prstGeom prst="rect">
                      <a:avLst/>
                    </a:prstGeom>
                  </pic:spPr>
                </pic:pic>
              </a:graphicData>
            </a:graphic>
          </wp:inline>
        </w:drawing>
      </w:r>
    </w:p>
    <w:p w14:paraId="6B9DB951" w14:textId="77777777" w:rsidR="002A0B60" w:rsidRPr="006B21EA" w:rsidRDefault="002A0B60" w:rsidP="002A0B60">
      <w:pPr>
        <w:rPr>
          <w:rFonts w:ascii="Arial" w:hAnsi="Arial" w:cs="Arial"/>
        </w:rPr>
      </w:pPr>
      <w:r>
        <w:rPr>
          <w:rFonts w:ascii="Arial" w:hAnsi="Arial" w:cs="Arial"/>
        </w:rPr>
        <w:t>yields:</w:t>
      </w:r>
    </w:p>
    <w:p w14:paraId="1CDB3929" w14:textId="77777777" w:rsidR="007802E9" w:rsidRPr="006B21EA" w:rsidRDefault="00F53DA1" w:rsidP="002A0B60">
      <w:pPr>
        <w:rPr>
          <w:rFonts w:ascii="Arial" w:hAnsi="Arial" w:cs="Arial"/>
        </w:rPr>
      </w:pPr>
      <w:r>
        <w:rPr>
          <w:rFonts w:ascii="Arial" w:hAnsi="Arial" w:cs="Arial"/>
          <w:noProof/>
        </w:rPr>
        <w:drawing>
          <wp:inline distT="0" distB="0" distL="0" distR="0" wp14:anchorId="54C1C93D" wp14:editId="0CA7772E">
            <wp:extent cx="5394971" cy="914402"/>
            <wp:effectExtent l="0" t="0" r="0" b="0"/>
            <wp:docPr id="429562857" name="Picture 5" descr="A black text on a white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62857" name="Picture 5" descr="A black text on a white background  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94971" cy="914402"/>
                    </a:xfrm>
                    <a:prstGeom prst="rect">
                      <a:avLst/>
                    </a:prstGeom>
                  </pic:spPr>
                </pic:pic>
              </a:graphicData>
            </a:graphic>
          </wp:inline>
        </w:drawing>
      </w:r>
    </w:p>
    <w:p w14:paraId="212CA08E" w14:textId="77777777" w:rsidR="002A0B60" w:rsidRPr="006B21EA" w:rsidRDefault="002A0B60" w:rsidP="002A0B60">
      <w:pPr>
        <w:rPr>
          <w:rFonts w:ascii="Arial" w:hAnsi="Arial" w:cs="Arial"/>
        </w:rPr>
      </w:pPr>
      <w:r>
        <w:rPr>
          <w:rFonts w:ascii="Arial" w:hAnsi="Arial" w:cs="Arial"/>
        </w:rPr>
        <w:t>For the distributed case, replace the single exponential with the integral over the distribution.</w:t>
      </w:r>
    </w:p>
    <w:p w14:paraId="61799379" w14:textId="3503AB87" w:rsidR="002A0B60" w:rsidRPr="008E2BBC" w:rsidRDefault="008E2BBC" w:rsidP="002A0B60">
      <w:pPr>
        <w:rPr>
          <w:rFonts w:ascii="Arial" w:hAnsi="Arial" w:cs="Arial"/>
          <w:i/>
          <w:iCs/>
        </w:rPr>
      </w:pPr>
      <w:r>
        <w:rPr>
          <w:rFonts w:ascii="Arial" w:hAnsi="Arial" w:cs="Arial"/>
          <w:i/>
          <w:iCs/>
        </w:rPr>
        <w:lastRenderedPageBreak/>
        <w:t>S1.3. Linking to Drip Rate and Residence Time</w:t>
      </w:r>
    </w:p>
    <w:p w14:paraId="101B6A5E" w14:textId="77777777" w:rsidR="002A0B60" w:rsidRPr="006B21EA" w:rsidRDefault="002A0B60" w:rsidP="002A0B60">
      <w:pPr>
        <w:rPr>
          <w:rFonts w:ascii="Arial" w:hAnsi="Arial" w:cs="Arial"/>
        </w:rPr>
      </w:pPr>
      <w:r>
        <w:rPr>
          <w:rFonts w:ascii="Arial" w:hAnsi="Arial" w:cs="Arial"/>
        </w:rPr>
        <w:t>In the thin water film on a growing stalagmite, the kinetic window for dissociation is approximated by the residence time τ in seconds (60/</w:t>
      </w:r>
      <w:r>
        <w:rPr>
          <w:rFonts w:ascii="Arial" w:hAnsi="Arial" w:cs="Arial"/>
          <w:i/>
          <w:iCs/>
        </w:rPr>
        <w:t>d</w:t>
      </w:r>
      <w:r>
        <w:rPr>
          <w:rFonts w:ascii="Arial" w:hAnsi="Arial" w:cs="Arial"/>
        </w:rPr>
        <w:t xml:space="preserve">, where </w:t>
      </w:r>
      <w:r>
        <w:rPr>
          <w:rFonts w:ascii="Arial" w:hAnsi="Arial" w:cs="Arial"/>
          <w:i/>
          <w:iCs/>
        </w:rPr>
        <w:t>d</w:t>
      </w:r>
      <w:r>
        <w:rPr>
          <w:rFonts w:ascii="Arial" w:hAnsi="Arial" w:cs="Arial"/>
        </w:rPr>
        <w:t xml:space="preserve"> = drips per minute). If </w:t>
      </w:r>
      <w:r>
        <w:rPr>
          <w:rFonts w:ascii="Arial" w:hAnsi="Arial" w:cs="Arial"/>
          <w:i/>
          <w:iCs/>
        </w:rPr>
        <w:t>N</w:t>
      </w:r>
      <w:r>
        <w:rPr>
          <w:rFonts w:ascii="Arial" w:hAnsi="Arial" w:cs="Arial"/>
        </w:rPr>
        <w:t xml:space="preserve"> drips occur over time </w:t>
      </w:r>
      <w:r>
        <w:rPr>
          <w:rFonts w:ascii="Arial" w:hAnsi="Arial" w:cs="Arial"/>
          <w:i/>
          <w:iCs/>
        </w:rPr>
        <w:t>t</w:t>
      </w:r>
      <w:r>
        <w:rPr>
          <w:rFonts w:ascii="Arial" w:hAnsi="Arial" w:cs="Arial"/>
        </w:rPr>
        <w:t>:</w:t>
      </w:r>
    </w:p>
    <w:p w14:paraId="06CC50B9" w14:textId="77777777" w:rsidR="00092B61" w:rsidRPr="006B21EA" w:rsidRDefault="00F53DA1" w:rsidP="002A0B60">
      <w:pPr>
        <w:rPr>
          <w:rFonts w:ascii="Arial" w:hAnsi="Arial" w:cs="Arial"/>
        </w:rPr>
      </w:pPr>
      <w:r>
        <w:rPr>
          <w:rFonts w:ascii="Arial" w:hAnsi="Arial" w:cs="Arial"/>
          <w:noProof/>
        </w:rPr>
        <w:drawing>
          <wp:inline distT="0" distB="0" distL="0" distR="0" wp14:anchorId="3B0FC00E" wp14:editId="235846F9">
            <wp:extent cx="5394971" cy="914402"/>
            <wp:effectExtent l="0" t="0" r="0" b="0"/>
            <wp:docPr id="1908564382" name="Picture 7" descr="A black text on a white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64382" name="Picture 7" descr="A black text on a white background  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94971" cy="914402"/>
                    </a:xfrm>
                    <a:prstGeom prst="rect">
                      <a:avLst/>
                    </a:prstGeom>
                  </pic:spPr>
                </pic:pic>
              </a:graphicData>
            </a:graphic>
          </wp:inline>
        </w:drawing>
      </w:r>
    </w:p>
    <w:p w14:paraId="67418200" w14:textId="77777777" w:rsidR="00092B61" w:rsidRPr="006B21EA" w:rsidRDefault="00F53DA1" w:rsidP="002A0B60">
      <w:pPr>
        <w:rPr>
          <w:rFonts w:ascii="Arial" w:hAnsi="Arial" w:cs="Arial"/>
        </w:rPr>
      </w:pPr>
      <w:r>
        <w:rPr>
          <w:rFonts w:ascii="Arial" w:hAnsi="Arial" w:cs="Arial"/>
          <w:noProof/>
        </w:rPr>
        <w:drawing>
          <wp:inline distT="0" distB="0" distL="0" distR="0" wp14:anchorId="3C113E97" wp14:editId="40B964AE">
            <wp:extent cx="5394971" cy="914402"/>
            <wp:effectExtent l="0" t="0" r="0" b="0"/>
            <wp:docPr id="637467977" name="Picture 8" descr="A black and white image of a mathematical equation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467977" name="Picture 8" descr="A black and white image of a mathematical equation  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394971" cy="914402"/>
                    </a:xfrm>
                    <a:prstGeom prst="rect">
                      <a:avLst/>
                    </a:prstGeom>
                  </pic:spPr>
                </pic:pic>
              </a:graphicData>
            </a:graphic>
          </wp:inline>
        </w:drawing>
      </w:r>
    </w:p>
    <w:p w14:paraId="57252E10" w14:textId="77777777" w:rsidR="002A0B60" w:rsidRPr="006B21EA" w:rsidRDefault="002A0B60" w:rsidP="002A0B60">
      <w:pPr>
        <w:rPr>
          <w:rFonts w:ascii="Arial" w:hAnsi="Arial" w:cs="Arial"/>
        </w:rPr>
      </w:pPr>
      <w:r>
        <w:rPr>
          <w:rFonts w:ascii="Arial" w:hAnsi="Arial" w:cs="Arial"/>
        </w:rPr>
        <w:t xml:space="preserve">Substituting </w:t>
      </w:r>
      <w:r>
        <w:rPr>
          <w:rFonts w:ascii="Arial" w:hAnsi="Arial" w:cs="Arial"/>
          <w:i/>
          <w:iCs/>
        </w:rPr>
        <w:t>τ</w:t>
      </w:r>
      <w:r>
        <w:rPr>
          <w:rFonts w:ascii="Arial" w:hAnsi="Arial" w:cs="Arial"/>
        </w:rPr>
        <w:t xml:space="preserve"> (x 60 s/min to have consistent units with </w:t>
      </w:r>
      <w:r>
        <w:rPr>
          <w:rFonts w:ascii="Arial" w:hAnsi="Arial" w:cs="Arial"/>
          <w:i/>
          <w:iCs/>
        </w:rPr>
        <w:t>k</w:t>
      </w:r>
      <w:r>
        <w:rPr>
          <w:rFonts w:ascii="Arial" w:hAnsi="Arial" w:cs="Arial"/>
        </w:rPr>
        <w:t xml:space="preserve">) for </w:t>
      </w:r>
      <w:r>
        <w:rPr>
          <w:rFonts w:ascii="Arial" w:hAnsi="Arial" w:cs="Arial"/>
          <w:i/>
          <w:iCs/>
        </w:rPr>
        <w:t>t</w:t>
      </w:r>
      <w:r>
        <w:rPr>
          <w:rFonts w:ascii="Arial" w:hAnsi="Arial" w:cs="Arial"/>
        </w:rPr>
        <w:t xml:space="preserve"> in the labile equation:</w:t>
      </w:r>
    </w:p>
    <w:p w14:paraId="48650383" w14:textId="77777777" w:rsidR="002A0B60" w:rsidRPr="006B21EA" w:rsidRDefault="00F53DA1" w:rsidP="002A0B60">
      <w:pPr>
        <w:rPr>
          <w:rFonts w:ascii="Arial" w:hAnsi="Arial" w:cs="Arial"/>
        </w:rPr>
      </w:pPr>
      <w:r>
        <w:rPr>
          <w:rFonts w:ascii="Arial" w:hAnsi="Arial" w:cs="Arial"/>
          <w:noProof/>
        </w:rPr>
        <w:drawing>
          <wp:inline distT="0" distB="0" distL="0" distR="0" wp14:anchorId="36CA5740" wp14:editId="10C06A44">
            <wp:extent cx="5394971" cy="914402"/>
            <wp:effectExtent l="0" t="0" r="0" b="0"/>
            <wp:docPr id="244912417" name="Picture 9" descr="A black text on a white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12417" name="Picture 9" descr="A black text on a white background  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394971" cy="914402"/>
                    </a:xfrm>
                    <a:prstGeom prst="rect">
                      <a:avLst/>
                    </a:prstGeom>
                  </pic:spPr>
                </pic:pic>
              </a:graphicData>
            </a:graphic>
          </wp:inline>
        </w:drawing>
      </w:r>
    </w:p>
    <w:p w14:paraId="6644A16A" w14:textId="0D3E8C19" w:rsidR="002A0B60" w:rsidRPr="008E2BBC" w:rsidRDefault="008E2BBC" w:rsidP="002A0B60">
      <w:pPr>
        <w:rPr>
          <w:rFonts w:ascii="Arial" w:hAnsi="Arial" w:cs="Arial"/>
          <w:i/>
          <w:iCs/>
        </w:rPr>
      </w:pPr>
      <w:r>
        <w:rPr>
          <w:rFonts w:ascii="Arial" w:hAnsi="Arial" w:cs="Arial"/>
          <w:i/>
          <w:iCs/>
        </w:rPr>
        <w:t>S1.4. Incorporation into Calcite</w:t>
      </w:r>
    </w:p>
    <w:p w14:paraId="71F13DC4" w14:textId="77777777" w:rsidR="002A0B60" w:rsidRPr="006B21EA" w:rsidRDefault="002A0B60" w:rsidP="002A0B60">
      <w:pPr>
        <w:rPr>
          <w:rFonts w:ascii="Arial" w:hAnsi="Arial" w:cs="Arial"/>
        </w:rPr>
      </w:pPr>
      <w:r>
        <w:rPr>
          <w:rFonts w:ascii="Arial" w:hAnsi="Arial" w:cs="Arial"/>
        </w:rPr>
        <w:t xml:space="preserve">Labile metals partition into calcite with coefficient </w:t>
      </w:r>
      <w:proofErr w:type="spellStart"/>
      <w:r>
        <w:rPr>
          <w:rFonts w:ascii="Arial" w:hAnsi="Arial" w:cs="Arial"/>
          <w:i/>
          <w:iCs/>
        </w:rPr>
        <w:t>K</w:t>
      </w:r>
      <w:r>
        <w:rPr>
          <w:rFonts w:ascii="Arial" w:hAnsi="Arial" w:cs="Arial"/>
          <w:vertAlign w:val="subscript"/>
        </w:rPr>
        <w:t>p</w:t>
      </w:r>
      <w:proofErr w:type="spellEnd"/>
      <w:r>
        <w:rPr>
          <w:rFonts w:ascii="Arial" w:hAnsi="Arial" w:cs="Arial"/>
        </w:rPr>
        <w:t>:</w:t>
      </w:r>
    </w:p>
    <w:p w14:paraId="4EDB7560" w14:textId="77777777" w:rsidR="002A0B60" w:rsidRPr="006B21EA" w:rsidRDefault="00F84A73" w:rsidP="002A0B60">
      <w:pPr>
        <w:rPr>
          <w:rFonts w:ascii="Arial" w:hAnsi="Arial" w:cs="Arial"/>
        </w:rPr>
      </w:pPr>
      <w:r>
        <w:rPr>
          <w:rFonts w:ascii="Arial" w:hAnsi="Arial" w:cs="Arial"/>
          <w:noProof/>
        </w:rPr>
        <w:drawing>
          <wp:inline distT="0" distB="0" distL="0" distR="0" wp14:anchorId="53DBAA83" wp14:editId="2F3AEF62">
            <wp:extent cx="5394971" cy="914402"/>
            <wp:effectExtent l="0" t="0" r="0" b="0"/>
            <wp:docPr id="1232901282" name="Picture 1" descr="A black text on a white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01282" name="Picture 1" descr="A black text on a white background  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94971" cy="914402"/>
                    </a:xfrm>
                    <a:prstGeom prst="rect">
                      <a:avLst/>
                    </a:prstGeom>
                  </pic:spPr>
                </pic:pic>
              </a:graphicData>
            </a:graphic>
          </wp:inline>
        </w:drawing>
      </w:r>
      <w:r>
        <w:rPr>
          <w:rFonts w:ascii="Arial" w:hAnsi="Arial" w:cs="Arial"/>
        </w:rPr>
        <w:t xml:space="preserve">where subscripts </w:t>
      </w:r>
      <w:r>
        <w:rPr>
          <w:rFonts w:ascii="Arial" w:hAnsi="Arial" w:cs="Arial"/>
          <w:i/>
          <w:iCs/>
        </w:rPr>
        <w:t>s</w:t>
      </w:r>
      <w:r>
        <w:rPr>
          <w:rFonts w:ascii="Arial" w:hAnsi="Arial" w:cs="Arial"/>
        </w:rPr>
        <w:t xml:space="preserve"> and </w:t>
      </w:r>
      <w:r>
        <w:rPr>
          <w:rFonts w:ascii="Arial" w:hAnsi="Arial" w:cs="Arial"/>
          <w:i/>
          <w:iCs/>
        </w:rPr>
        <w:t>aq</w:t>
      </w:r>
      <w:r>
        <w:rPr>
          <w:rFonts w:ascii="Arial" w:hAnsi="Arial" w:cs="Arial"/>
        </w:rPr>
        <w:t xml:space="preserve"> denote solid (stalagmite) and aqueous phases. Assuming [</w:t>
      </w:r>
      <w:proofErr w:type="spellStart"/>
      <w:r>
        <w:rPr>
          <w:rFonts w:ascii="Arial" w:hAnsi="Arial" w:cs="Arial"/>
          <w:i/>
          <w:iCs/>
        </w:rPr>
        <w:t>X</w:t>
      </w:r>
      <w:r>
        <w:rPr>
          <w:rFonts w:ascii="Arial" w:hAnsi="Arial" w:cs="Arial"/>
          <w:vertAlign w:val="subscript"/>
        </w:rPr>
        <w:t>aq</w:t>
      </w:r>
      <w:proofErr w:type="spellEnd"/>
      <w:r>
        <w:rPr>
          <w:rFonts w:ascii="Arial" w:hAnsi="Arial" w:cs="Arial"/>
        </w:rPr>
        <w:t xml:space="preserve">] ≈ </w:t>
      </w:r>
      <m:oMath>
        <m:sSubSup>
          <m:sSubSupPr>
            <m:ctrlPr>
              <w:rPr>
                <w:rFonts w:ascii="Cambria Math" w:hAnsi="Cambria Math" w:cs="Arial"/>
                <w:i/>
              </w:rPr>
            </m:ctrlPr>
          </m:sSubSupPr>
          <m:e>
            <m:r>
              <w:rPr>
                <w:rFonts w:ascii="Cambria Math" w:hAnsi="Cambria Math" w:cs="Arial"/>
              </w:rPr>
              <m:t>[X]</m:t>
            </m:r>
          </m:e>
          <m:sub>
            <m:r>
              <w:rPr>
                <w:rFonts w:ascii="Cambria Math" w:hAnsi="Cambria Math" w:cs="Arial"/>
              </w:rPr>
              <m:t>la</m:t>
            </m:r>
          </m:sub>
          <m:sup>
            <m:r>
              <w:rPr>
                <w:rFonts w:ascii="Cambria Math" w:hAnsi="Cambria Math" w:cs="Arial"/>
              </w:rPr>
              <m:t>aq</m:t>
            </m:r>
          </m:sup>
        </m:sSubSup>
      </m:oMath>
      <w:r>
        <w:rPr>
          <w:rFonts w:ascii="Arial" w:hAnsi="Arial" w:cs="Arial"/>
        </w:rPr>
        <w:t xml:space="preserve"> (labile fractions dominate incorporation) and constant [Ca</w:t>
      </w:r>
      <w:r>
        <w:rPr>
          <w:rFonts w:ascii="Arial" w:hAnsi="Arial" w:cs="Arial"/>
          <w:vertAlign w:val="subscript"/>
        </w:rPr>
        <w:t>s</w:t>
      </w:r>
      <w:r>
        <w:rPr>
          <w:rFonts w:ascii="Arial" w:hAnsi="Arial" w:cs="Arial"/>
        </w:rPr>
        <w:t>] ≈ 1 (calcite CaCO</w:t>
      </w:r>
      <w:r>
        <w:rPr>
          <w:rFonts w:ascii="Arial" w:hAnsi="Arial" w:cs="Arial"/>
          <w:vertAlign w:val="subscript"/>
        </w:rPr>
        <w:t>3</w:t>
      </w:r>
      <w:r>
        <w:rPr>
          <w:rFonts w:ascii="Arial" w:hAnsi="Arial" w:cs="Arial"/>
        </w:rPr>
        <w:t xml:space="preserve"> matrix), the stalagmite concentration [</w:t>
      </w:r>
      <w:proofErr w:type="spellStart"/>
      <w:r>
        <w:rPr>
          <w:rFonts w:ascii="Arial" w:hAnsi="Arial" w:cs="Arial"/>
          <w:i/>
          <w:iCs/>
        </w:rPr>
        <w:t>X</w:t>
      </w:r>
      <w:r>
        <w:rPr>
          <w:rFonts w:ascii="Arial" w:hAnsi="Arial" w:cs="Arial"/>
          <w:vertAlign w:val="subscript"/>
        </w:rPr>
        <w:t>s</w:t>
      </w:r>
      <w:proofErr w:type="spellEnd"/>
      <w:r>
        <w:rPr>
          <w:rFonts w:ascii="Arial" w:hAnsi="Arial" w:cs="Arial"/>
        </w:rPr>
        <w:t>] is:</w:t>
      </w:r>
    </w:p>
    <w:p w14:paraId="5432B060" w14:textId="77777777" w:rsidR="00903C32" w:rsidRPr="006B21EA" w:rsidRDefault="006B7FC7" w:rsidP="002A0B60">
      <w:pPr>
        <w:rPr>
          <w:rFonts w:ascii="Arial" w:hAnsi="Arial" w:cs="Arial"/>
        </w:rPr>
      </w:pPr>
      <w:r>
        <w:rPr>
          <w:rFonts w:ascii="Arial" w:hAnsi="Arial" w:cs="Arial"/>
          <w:noProof/>
        </w:rPr>
        <w:drawing>
          <wp:inline distT="0" distB="0" distL="0" distR="0" wp14:anchorId="51642DD1" wp14:editId="53D0E2DB">
            <wp:extent cx="5486411" cy="365761"/>
            <wp:effectExtent l="0" t="0" r="0" b="0"/>
            <wp:docPr id="1089968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68299" name="Picture 108996829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86411" cy="365761"/>
                    </a:xfrm>
                    <a:prstGeom prst="rect">
                      <a:avLst/>
                    </a:prstGeom>
                  </pic:spPr>
                </pic:pic>
              </a:graphicData>
            </a:graphic>
          </wp:inline>
        </w:drawing>
      </w:r>
    </w:p>
    <w:p w14:paraId="594EFC05" w14:textId="6796C018" w:rsidR="002A0B60" w:rsidRPr="006B21EA" w:rsidRDefault="002A0B60" w:rsidP="002A0B60">
      <w:pPr>
        <w:rPr>
          <w:rFonts w:ascii="Arial" w:hAnsi="Arial" w:cs="Arial"/>
        </w:rPr>
      </w:pPr>
      <w:r>
        <w:rPr>
          <w:rFonts w:ascii="Arial" w:hAnsi="Arial" w:cs="Arial"/>
        </w:rPr>
        <w:t>This shows [</w:t>
      </w:r>
      <w:proofErr w:type="spellStart"/>
      <w:r>
        <w:rPr>
          <w:rFonts w:ascii="Arial" w:hAnsi="Arial" w:cs="Arial"/>
          <w:i/>
          <w:iCs/>
        </w:rPr>
        <w:t>X</w:t>
      </w:r>
      <w:r>
        <w:rPr>
          <w:rFonts w:ascii="Arial" w:hAnsi="Arial" w:cs="Arial"/>
          <w:i/>
          <w:iCs/>
          <w:vertAlign w:val="subscript"/>
        </w:rPr>
        <w:t>s</w:t>
      </w:r>
      <w:proofErr w:type="spellEnd"/>
      <w:r>
        <w:rPr>
          <w:rFonts w:ascii="Arial" w:hAnsi="Arial" w:cs="Arial"/>
        </w:rPr>
        <w:t xml:space="preserve">] as an inverse function of drip rate (via </w:t>
      </w:r>
      <w:r>
        <w:rPr>
          <w:rFonts w:ascii="Arial" w:hAnsi="Arial" w:cs="Arial"/>
          <w:i/>
          <w:iCs/>
        </w:rPr>
        <w:t>τ</w:t>
      </w:r>
      <w:r>
        <w:rPr>
          <w:rFonts w:ascii="Arial" w:hAnsi="Arial" w:cs="Arial"/>
        </w:rPr>
        <w:t>), sensitive at lower drip rates (τ large). The assumption that labile fractions dominate [</w:t>
      </w:r>
      <w:proofErr w:type="spellStart"/>
      <w:r>
        <w:rPr>
          <w:rFonts w:ascii="Arial" w:hAnsi="Arial" w:cs="Arial"/>
          <w:i/>
          <w:iCs/>
        </w:rPr>
        <w:t>X</w:t>
      </w:r>
      <w:r>
        <w:rPr>
          <w:rFonts w:ascii="Arial" w:hAnsi="Arial" w:cs="Arial"/>
          <w:vertAlign w:val="subscript"/>
        </w:rPr>
        <w:t>s</w:t>
      </w:r>
      <w:proofErr w:type="spellEnd"/>
      <w:r>
        <w:rPr>
          <w:rFonts w:ascii="Arial" w:hAnsi="Arial" w:cs="Arial"/>
        </w:rPr>
        <w:t>] holds if drip rates remain &gt; 0.2 drips min</w:t>
      </w:r>
      <w:r>
        <w:rPr>
          <w:rFonts w:ascii="Arial" w:hAnsi="Arial" w:cs="Arial"/>
          <w:vertAlign w:val="superscript"/>
        </w:rPr>
        <w:t>-1</w:t>
      </w:r>
      <w:r>
        <w:rPr>
          <w:rFonts w:ascii="Arial" w:hAnsi="Arial" w:cs="Arial"/>
        </w:rPr>
        <w:t>, as shown in Fig. 3 (drip rate sensitivity, main text). As rates approach zero, τ expands exponentially, and inert metal fractions become increasingly important but are assumed to have negligible relevance in this treatment, due to the much higher baseflow (median of 17 drips min</w:t>
      </w:r>
      <w:r>
        <w:rPr>
          <w:rFonts w:ascii="Arial" w:hAnsi="Arial" w:cs="Arial"/>
          <w:vertAlign w:val="superscript"/>
        </w:rPr>
        <w:t>-1</w:t>
      </w:r>
      <w:r>
        <w:rPr>
          <w:rFonts w:ascii="Arial" w:hAnsi="Arial" w:cs="Arial"/>
        </w:rPr>
        <w:t>, 2004-2014) to HS4 (Fig. 2, main text).</w:t>
      </w:r>
    </w:p>
    <w:p w14:paraId="46272415" w14:textId="62081EBB" w:rsidR="002A0B60" w:rsidRPr="008E2BBC" w:rsidRDefault="008E2BBC" w:rsidP="002A0B60">
      <w:pPr>
        <w:rPr>
          <w:rFonts w:ascii="Arial" w:hAnsi="Arial" w:cs="Arial"/>
          <w:i/>
          <w:iCs/>
        </w:rPr>
      </w:pPr>
      <w:r>
        <w:rPr>
          <w:rFonts w:ascii="Arial" w:hAnsi="Arial" w:cs="Arial"/>
          <w:i/>
          <w:iCs/>
        </w:rPr>
        <w:lastRenderedPageBreak/>
        <w:t>S1.5. Inversion for Drip Rate</w:t>
      </w:r>
    </w:p>
    <w:p w14:paraId="66A0126B" w14:textId="77777777" w:rsidR="002A0B60" w:rsidRPr="006B21EA" w:rsidRDefault="002A0B60" w:rsidP="002A0B60">
      <w:pPr>
        <w:rPr>
          <w:rFonts w:ascii="Arial" w:hAnsi="Arial" w:cs="Arial"/>
        </w:rPr>
      </w:pPr>
      <w:r>
        <w:rPr>
          <w:rFonts w:ascii="Arial" w:hAnsi="Arial" w:cs="Arial"/>
        </w:rPr>
        <w:t xml:space="preserve">To reconstruct </w:t>
      </w:r>
      <w:r>
        <w:rPr>
          <w:rFonts w:ascii="Arial" w:hAnsi="Arial" w:cs="Arial"/>
          <w:i/>
          <w:iCs/>
        </w:rPr>
        <w:t>τ</w:t>
      </w:r>
      <w:r>
        <w:rPr>
          <w:rFonts w:ascii="Arial" w:hAnsi="Arial" w:cs="Arial"/>
        </w:rPr>
        <w:t xml:space="preserve"> (or </w:t>
      </w:r>
      <w:r>
        <w:rPr>
          <w:rFonts w:ascii="Arial" w:hAnsi="Arial" w:cs="Arial"/>
          <w:i/>
          <w:iCs/>
        </w:rPr>
        <w:t xml:space="preserve">d = </w:t>
      </w:r>
      <w:r>
        <w:rPr>
          <w:rFonts w:ascii="Arial" w:hAnsi="Arial" w:cs="Arial"/>
        </w:rPr>
        <w:t>1</w:t>
      </w:r>
      <w:r>
        <w:rPr>
          <w:rFonts w:ascii="Arial" w:hAnsi="Arial" w:cs="Arial"/>
          <w:i/>
          <w:iCs/>
        </w:rPr>
        <w:t>/τ</w:t>
      </w:r>
      <w:r>
        <w:rPr>
          <w:rFonts w:ascii="Arial" w:hAnsi="Arial" w:cs="Arial"/>
        </w:rPr>
        <w:t>) from measured [</w:t>
      </w:r>
      <w:proofErr w:type="spellStart"/>
      <w:r>
        <w:rPr>
          <w:rFonts w:ascii="Arial" w:hAnsi="Arial" w:cs="Arial"/>
          <w:i/>
          <w:iCs/>
        </w:rPr>
        <w:t>X</w:t>
      </w:r>
      <w:r>
        <w:rPr>
          <w:rFonts w:ascii="Arial" w:hAnsi="Arial" w:cs="Arial"/>
          <w:i/>
          <w:iCs/>
          <w:vertAlign w:val="subscript"/>
        </w:rPr>
        <w:t>s</w:t>
      </w:r>
      <w:proofErr w:type="spellEnd"/>
      <w:r>
        <w:rPr>
          <w:rFonts w:ascii="Arial" w:hAnsi="Arial" w:cs="Arial"/>
        </w:rPr>
        <w:t xml:space="preserve">], we invert Eq. (13) using Bayesian methods (detailed in Supp. Methods 2), yielding posteriors </w:t>
      </w:r>
      <w:proofErr w:type="gramStart"/>
      <w:r>
        <w:rPr>
          <w:rFonts w:ascii="Arial" w:hAnsi="Arial" w:cs="Arial"/>
          <w:i/>
          <w:iCs/>
        </w:rPr>
        <w:t>p(</w:t>
      </w:r>
      <w:proofErr w:type="gramEnd"/>
      <w:r>
        <w:rPr>
          <w:rFonts w:ascii="Arial" w:hAnsi="Arial" w:cs="Arial"/>
          <w:i/>
          <w:iCs/>
        </w:rPr>
        <w:t xml:space="preserve">τ | </w:t>
      </w:r>
      <w:r>
        <w:rPr>
          <w:rFonts w:ascii="Arial" w:hAnsi="Arial" w:cs="Arial"/>
        </w:rPr>
        <w:t>[</w:t>
      </w:r>
      <w:proofErr w:type="spellStart"/>
      <w:r>
        <w:rPr>
          <w:rFonts w:ascii="Arial" w:hAnsi="Arial" w:cs="Arial"/>
          <w:i/>
          <w:iCs/>
        </w:rPr>
        <w:t>X</w:t>
      </w:r>
      <w:r>
        <w:rPr>
          <w:rFonts w:ascii="Arial" w:hAnsi="Arial" w:cs="Arial"/>
          <w:i/>
          <w:iCs/>
          <w:vertAlign w:val="subscript"/>
        </w:rPr>
        <w:t>s</w:t>
      </w:r>
      <w:proofErr w:type="spellEnd"/>
      <w:r>
        <w:rPr>
          <w:rFonts w:ascii="Arial" w:hAnsi="Arial" w:cs="Arial"/>
        </w:rPr>
        <w:t>]</w:t>
      </w:r>
      <w:r>
        <w:rPr>
          <w:rFonts w:ascii="Arial" w:hAnsi="Arial" w:cs="Arial"/>
          <w:i/>
          <w:iCs/>
        </w:rPr>
        <w:t>)</w:t>
      </w:r>
      <w:r>
        <w:rPr>
          <w:rFonts w:ascii="Arial" w:hAnsi="Arial" w:cs="Arial"/>
        </w:rPr>
        <w:t>:</w:t>
      </w:r>
    </w:p>
    <w:p w14:paraId="25EF7614" w14:textId="77777777" w:rsidR="000349F3" w:rsidRPr="006B21EA" w:rsidRDefault="00F53DA1" w:rsidP="002A0B60">
      <w:pPr>
        <w:rPr>
          <w:rFonts w:ascii="Arial" w:hAnsi="Arial" w:cs="Arial"/>
        </w:rPr>
      </w:pPr>
      <w:r>
        <w:rPr>
          <w:rFonts w:ascii="Arial" w:hAnsi="Arial" w:cs="Arial"/>
          <w:noProof/>
        </w:rPr>
        <w:drawing>
          <wp:inline distT="0" distB="0" distL="0" distR="0" wp14:anchorId="75FDCDFD" wp14:editId="50C455E8">
            <wp:extent cx="5394971" cy="914402"/>
            <wp:effectExtent l="0" t="0" r="0" b="0"/>
            <wp:docPr id="227972448" name="Picture 12" descr="A black and white math symbol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972448" name="Picture 12" descr="A black and white math symbol  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394971" cy="914402"/>
                    </a:xfrm>
                    <a:prstGeom prst="rect">
                      <a:avLst/>
                    </a:prstGeom>
                  </pic:spPr>
                </pic:pic>
              </a:graphicData>
            </a:graphic>
          </wp:inline>
        </w:drawing>
      </w:r>
    </w:p>
    <w:p w14:paraId="6E91A39F" w14:textId="77777777" w:rsidR="000411E1" w:rsidRPr="006B21EA" w:rsidRDefault="002A0B60" w:rsidP="002A0B60">
      <w:pPr>
        <w:rPr>
          <w:rFonts w:ascii="Arial" w:hAnsi="Arial" w:cs="Arial"/>
        </w:rPr>
      </w:pPr>
      <w:r>
        <w:rPr>
          <w:rFonts w:ascii="Arial" w:hAnsi="Arial" w:cs="Arial"/>
        </w:rPr>
        <w:t xml:space="preserve">Assumptions include constant </w:t>
      </w:r>
      <m:oMath>
        <m:sSubSup>
          <m:sSubSupPr>
            <m:ctrlPr>
              <w:rPr>
                <w:rFonts w:ascii="Cambria Math" w:hAnsi="Cambria Math" w:cs="Arial"/>
                <w:i/>
              </w:rPr>
            </m:ctrlPr>
          </m:sSubSupPr>
          <m:e>
            <m:r>
              <w:rPr>
                <w:rFonts w:ascii="Cambria Math" w:hAnsi="Cambria Math" w:cs="Arial"/>
              </w:rPr>
              <m:t>[X]</m:t>
            </m:r>
          </m:e>
          <m:sub>
            <m:r>
              <w:rPr>
                <w:rFonts w:ascii="Cambria Math" w:hAnsi="Cambria Math" w:cs="Arial"/>
              </w:rPr>
              <m:t>aq</m:t>
            </m:r>
          </m:sub>
          <m:sup>
            <m:r>
              <w:rPr>
                <w:rFonts w:ascii="Cambria Math" w:hAnsi="Cambria Math" w:cs="Arial"/>
              </w:rPr>
              <m:t>tot</m:t>
            </m:r>
          </m:sup>
        </m:sSubSup>
      </m:oMath>
      <w:r>
        <w:rPr>
          <w:rFonts w:ascii="Arial" w:hAnsi="Arial" w:cs="Arial"/>
        </w:rPr>
        <w:t>, [Ca</w:t>
      </w:r>
      <w:r>
        <w:rPr>
          <w:rFonts w:ascii="Arial" w:hAnsi="Arial" w:cs="Arial"/>
          <w:vertAlign w:val="subscript"/>
        </w:rPr>
        <w:t>aq</w:t>
      </w:r>
      <w:r>
        <w:rPr>
          <w:rFonts w:ascii="Arial" w:hAnsi="Arial" w:cs="Arial"/>
        </w:rPr>
        <w:t xml:space="preserve">], and </w:t>
      </w:r>
      <w:proofErr w:type="spellStart"/>
      <w:r>
        <w:rPr>
          <w:rFonts w:ascii="Arial" w:hAnsi="Arial" w:cs="Arial"/>
          <w:i/>
          <w:iCs/>
        </w:rPr>
        <w:t>K</w:t>
      </w:r>
      <w:r>
        <w:rPr>
          <w:rFonts w:ascii="Arial" w:hAnsi="Arial" w:cs="Arial"/>
          <w:vertAlign w:val="subscript"/>
        </w:rPr>
        <w:t>p</w:t>
      </w:r>
      <w:proofErr w:type="spellEnd"/>
      <w:r>
        <w:rPr>
          <w:rFonts w:ascii="Arial" w:hAnsi="Arial" w:cs="Arial"/>
        </w:rPr>
        <w:t>; sensitivities are tested in Supp. Methods 3.</w:t>
      </w:r>
    </w:p>
    <w:p w14:paraId="643EFA1A" w14:textId="77777777" w:rsidR="00F53DA1" w:rsidRPr="006B21EA" w:rsidRDefault="00F53DA1" w:rsidP="00FC36F2">
      <w:pPr>
        <w:rPr>
          <w:rFonts w:ascii="Arial" w:hAnsi="Arial" w:cs="Arial"/>
          <w:b/>
          <w:bCs/>
        </w:rPr>
      </w:pPr>
    </w:p>
    <w:p w14:paraId="5F0DB4A6" w14:textId="77777777" w:rsidR="00FC36F2" w:rsidRPr="006B21EA" w:rsidRDefault="00FC36F2" w:rsidP="00FC36F2">
      <w:pPr>
        <w:rPr>
          <w:rFonts w:ascii="Arial" w:hAnsi="Arial" w:cs="Arial"/>
          <w:b/>
          <w:bCs/>
        </w:rPr>
      </w:pPr>
      <w:r>
        <w:rPr>
          <w:rFonts w:ascii="Arial" w:hAnsi="Arial" w:cs="Arial"/>
          <w:b/>
          <w:bCs/>
        </w:rPr>
        <w:t>Supplementary Methods 2: Numerical Integration of Dissociated Fraction</w:t>
      </w:r>
    </w:p>
    <w:p w14:paraId="2BD83227" w14:textId="77777777" w:rsidR="00FC36F2" w:rsidRPr="006B21EA" w:rsidRDefault="00FC36F2" w:rsidP="00FC36F2">
      <w:pPr>
        <w:rPr>
          <w:rFonts w:ascii="Arial" w:hAnsi="Arial" w:cs="Arial"/>
        </w:rPr>
      </w:pPr>
      <w:r>
        <w:rPr>
          <w:rFonts w:ascii="Arial" w:hAnsi="Arial" w:cs="Arial"/>
        </w:rPr>
        <w:t>The integral in Eq. (13) represents the expected dissociated fraction over the log-normal distribution of dissociation rates:</w:t>
      </w:r>
    </w:p>
    <w:p w14:paraId="2008C096" w14:textId="77777777" w:rsidR="00EC0198" w:rsidRPr="006B21EA" w:rsidRDefault="00EC0198" w:rsidP="00FC36F2">
      <w:pPr>
        <w:rPr>
          <w:rFonts w:ascii="Arial" w:hAnsi="Arial" w:cs="Arial"/>
        </w:rPr>
      </w:pPr>
      <w:r>
        <w:rPr>
          <w:rFonts w:ascii="Arial" w:hAnsi="Arial" w:cs="Arial"/>
          <w:noProof/>
        </w:rPr>
        <w:drawing>
          <wp:inline distT="0" distB="0" distL="0" distR="0" wp14:anchorId="4AC3D828" wp14:editId="5EDD1C86">
            <wp:extent cx="5394971" cy="914402"/>
            <wp:effectExtent l="0" t="0" r="0" b="0"/>
            <wp:docPr id="1552375695" name="Picture 16" descr="A black text on a white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75695" name="Picture 16" descr="A black text on a white background  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394971" cy="914402"/>
                    </a:xfrm>
                    <a:prstGeom prst="rect">
                      <a:avLst/>
                    </a:prstGeom>
                  </pic:spPr>
                </pic:pic>
              </a:graphicData>
            </a:graphic>
          </wp:inline>
        </w:drawing>
      </w:r>
    </w:p>
    <w:p w14:paraId="0AD0F9BC" w14:textId="77777777" w:rsidR="00E831BC" w:rsidRPr="006B21EA" w:rsidRDefault="00E831BC" w:rsidP="00FC36F2">
      <w:pPr>
        <w:rPr>
          <w:rFonts w:ascii="Arial" w:hAnsi="Arial" w:cs="Arial"/>
        </w:rPr>
      </w:pPr>
      <w:r>
        <w:rPr>
          <w:rFonts w:ascii="Arial" w:hAnsi="Arial" w:cs="Arial"/>
        </w:rPr>
        <w:t>The expectation E1 for dissociation is computed by numerical quadrature over the log-normal distribution of rate constants (see model.py, functions integrand_1 and expectation_1).</w:t>
      </w:r>
    </w:p>
    <w:p w14:paraId="0E096077" w14:textId="77777777" w:rsidR="00EC0198" w:rsidRPr="006B21EA" w:rsidRDefault="00A87711" w:rsidP="00A87711">
      <w:pPr>
        <w:rPr>
          <w:rFonts w:ascii="Arial" w:hAnsi="Arial" w:cs="Arial"/>
        </w:rPr>
      </w:pPr>
      <w:r>
        <w:rPr>
          <w:rFonts w:ascii="Arial" w:hAnsi="Arial" w:cs="Arial"/>
        </w:rPr>
        <w:t xml:space="preserve">The full labile concentration computation adds </w:t>
      </w:r>
      <w:proofErr w:type="spellStart"/>
      <w:r>
        <w:rPr>
          <w:rFonts w:ascii="Arial" w:hAnsi="Arial" w:cs="Arial"/>
          <w:i/>
          <w:iCs/>
        </w:rPr>
        <w:t>λ</w:t>
      </w:r>
      <w:r>
        <w:rPr>
          <w:rFonts w:ascii="Arial" w:hAnsi="Arial" w:cs="Arial"/>
          <w:vertAlign w:val="subscript"/>
        </w:rPr>
        <w:t>I</w:t>
      </w:r>
      <w:proofErr w:type="spellEnd"/>
      <w:r>
        <w:rPr>
          <w:rFonts w:ascii="Arial" w:hAnsi="Arial" w:cs="Arial"/>
          <w:i/>
          <w:iCs/>
        </w:rPr>
        <w:t xml:space="preserve"> </w:t>
      </w:r>
      <w:r>
        <w:rPr>
          <w:rFonts w:ascii="Arial" w:hAnsi="Arial" w:cs="Arial"/>
        </w:rPr>
        <w:t>and</w:t>
      </w:r>
      <w:r>
        <w:rPr>
          <w:rFonts w:ascii="Arial" w:hAnsi="Arial" w:cs="Arial"/>
          <w:i/>
          <w:iCs/>
        </w:rPr>
        <w:t xml:space="preserve"> </w:t>
      </w:r>
      <w:proofErr w:type="spellStart"/>
      <w:r>
        <w:rPr>
          <w:rFonts w:ascii="Arial" w:hAnsi="Arial" w:cs="Arial"/>
          <w:i/>
          <w:iCs/>
        </w:rPr>
        <w:t>λ</w:t>
      </w:r>
      <w:r>
        <w:rPr>
          <w:rFonts w:ascii="Arial" w:hAnsi="Arial" w:cs="Arial"/>
          <w:vertAlign w:val="subscript"/>
        </w:rPr>
        <w:t>F</w:t>
      </w:r>
      <w:proofErr w:type="spellEnd"/>
      <w:r>
        <w:rPr>
          <w:rFonts w:ascii="Arial" w:hAnsi="Arial" w:cs="Arial"/>
        </w:rPr>
        <w:t xml:space="preserve">: </w:t>
      </w:r>
      <w:proofErr w:type="spellStart"/>
      <w:r>
        <w:rPr>
          <w:rFonts w:ascii="Arial" w:hAnsi="Arial" w:cs="Arial"/>
          <w:i/>
          <w:iCs/>
        </w:rPr>
        <w:t>f</w:t>
      </w:r>
      <w:r>
        <w:rPr>
          <w:rFonts w:ascii="Arial" w:hAnsi="Arial" w:cs="Arial"/>
          <w:vertAlign w:val="subscript"/>
        </w:rPr>
        <w:t>la</w:t>
      </w:r>
      <w:proofErr w:type="spellEnd"/>
      <w:r>
        <w:rPr>
          <w:rFonts w:ascii="Arial" w:hAnsi="Arial" w:cs="Arial"/>
        </w:rPr>
        <w:t xml:space="preserve"> = </w:t>
      </w:r>
      <w:proofErr w:type="spellStart"/>
      <w:r>
        <w:rPr>
          <w:rFonts w:ascii="Arial" w:hAnsi="Arial" w:cs="Arial"/>
          <w:i/>
          <w:iCs/>
        </w:rPr>
        <w:t>λ</w:t>
      </w:r>
      <w:r>
        <w:rPr>
          <w:rFonts w:ascii="Arial" w:hAnsi="Arial" w:cs="Arial"/>
          <w:vertAlign w:val="subscript"/>
        </w:rPr>
        <w:t>F</w:t>
      </w:r>
      <w:proofErr w:type="spellEnd"/>
      <w:r>
        <w:rPr>
          <w:rFonts w:ascii="Arial" w:hAnsi="Arial" w:cs="Arial"/>
        </w:rPr>
        <w:t xml:space="preserve"> + (1 - </w:t>
      </w:r>
      <w:proofErr w:type="spellStart"/>
      <w:r>
        <w:rPr>
          <w:rFonts w:ascii="Arial" w:hAnsi="Arial" w:cs="Arial"/>
          <w:i/>
          <w:iCs/>
        </w:rPr>
        <w:t>λ</w:t>
      </w:r>
      <w:r>
        <w:rPr>
          <w:rFonts w:ascii="Arial" w:hAnsi="Arial" w:cs="Arial"/>
          <w:vertAlign w:val="subscript"/>
        </w:rPr>
        <w:t>F</w:t>
      </w:r>
      <w:proofErr w:type="spellEnd"/>
      <w:r>
        <w:rPr>
          <w:rFonts w:ascii="Arial" w:hAnsi="Arial" w:cs="Arial"/>
          <w:vertAlign w:val="subscript"/>
        </w:rPr>
        <w:t xml:space="preserve"> </w:t>
      </w:r>
      <w:r>
        <w:rPr>
          <w:rFonts w:ascii="Arial" w:hAnsi="Arial" w:cs="Arial"/>
        </w:rPr>
        <w:t xml:space="preserve">– </w:t>
      </w:r>
      <w:proofErr w:type="spellStart"/>
      <w:r>
        <w:rPr>
          <w:rFonts w:ascii="Arial" w:hAnsi="Arial" w:cs="Arial"/>
          <w:i/>
          <w:iCs/>
        </w:rPr>
        <w:t>λ</w:t>
      </w:r>
      <w:r>
        <w:rPr>
          <w:rFonts w:ascii="Arial" w:hAnsi="Arial" w:cs="Arial"/>
          <w:vertAlign w:val="subscript"/>
        </w:rPr>
        <w:t>I</w:t>
      </w:r>
      <w:proofErr w:type="spellEnd"/>
      <w:r>
        <w:rPr>
          <w:rFonts w:ascii="Arial" w:hAnsi="Arial" w:cs="Arial"/>
        </w:rPr>
        <w:t xml:space="preserve">) * </w:t>
      </w:r>
      <w:proofErr w:type="spellStart"/>
      <w:r>
        <w:rPr>
          <w:rFonts w:ascii="Arial" w:hAnsi="Arial" w:cs="Arial"/>
          <w:i/>
          <w:iCs/>
        </w:rPr>
        <w:t>f</w:t>
      </w:r>
      <w:r>
        <w:rPr>
          <w:rFonts w:ascii="Arial" w:hAnsi="Arial" w:cs="Arial"/>
          <w:vertAlign w:val="subscript"/>
        </w:rPr>
        <w:t>diss</w:t>
      </w:r>
      <w:proofErr w:type="spellEnd"/>
      <w:r>
        <w:rPr>
          <w:rFonts w:ascii="Arial" w:hAnsi="Arial" w:cs="Arial"/>
        </w:rPr>
        <w:t xml:space="preserve"> (</w:t>
      </w:r>
      <w:r>
        <w:rPr>
          <w:rFonts w:ascii="Arial" w:hAnsi="Arial" w:cs="Arial"/>
          <w:i/>
          <w:iCs/>
        </w:rPr>
        <w:t>τ</w:t>
      </w:r>
      <w:r>
        <w:rPr>
          <w:rFonts w:ascii="Arial" w:hAnsi="Arial" w:cs="Arial"/>
        </w:rPr>
        <w:t>, m, s)</w:t>
      </w:r>
    </w:p>
    <w:p w14:paraId="18C66D6E" w14:textId="77777777" w:rsidR="0090465F" w:rsidRPr="006B21EA" w:rsidRDefault="00A87711">
      <w:pPr>
        <w:rPr>
          <w:rFonts w:ascii="Arial" w:hAnsi="Arial" w:cs="Arial"/>
        </w:rPr>
      </w:pPr>
      <w:r>
        <w:rPr>
          <w:rFonts w:ascii="Arial" w:hAnsi="Arial" w:cs="Arial"/>
        </w:rPr>
        <w:t>Infinite limits are handled by quad's adaptive algorithm; truncation (e.g., μ ± 5σ) yields similar results for efficiency.</w:t>
      </w:r>
    </w:p>
    <w:p w14:paraId="0F60D148" w14:textId="77777777" w:rsidR="00E831BC" w:rsidRPr="006B21EA" w:rsidRDefault="00E831BC" w:rsidP="00753AB9">
      <w:pPr>
        <w:rPr>
          <w:rFonts w:ascii="Arial" w:hAnsi="Arial" w:cs="Arial"/>
          <w:b/>
          <w:bCs/>
        </w:rPr>
      </w:pPr>
    </w:p>
    <w:p w14:paraId="1049731A" w14:textId="77777777" w:rsidR="00753AB9" w:rsidRPr="006B21EA" w:rsidRDefault="00753AB9" w:rsidP="00753AB9">
      <w:pPr>
        <w:rPr>
          <w:rFonts w:ascii="Arial" w:hAnsi="Arial" w:cs="Arial"/>
          <w:b/>
          <w:bCs/>
        </w:rPr>
      </w:pPr>
      <w:r>
        <w:rPr>
          <w:rFonts w:ascii="Arial" w:hAnsi="Arial" w:cs="Arial"/>
          <w:b/>
          <w:bCs/>
        </w:rPr>
        <w:t>Supplementary Methods 3: Data Filtering and Estimation (From drip_rate_util.py)</w:t>
      </w:r>
    </w:p>
    <w:p w14:paraId="02A00001" w14:textId="02A00001" w:rsidR="00753AB9" w:rsidRDefault="00753AB9" w:rsidP="00753AB9">
      <w:pPr>
        <w:rPr>
          <w:rFonts w:ascii="Arial" w:hAnsi="Arial" w:cs="Arial"/>
          <w:b/>
          <w:bCs/>
          <w:i/>
          <w:iCs/>
        </w:rPr>
      </w:pPr>
      <w:r>
        <w:rPr>
          <w:rFonts w:ascii="Arial" w:hAnsi="Arial" w:cs="Arial"/>
          <w:i/>
          <w:iCs/>
        </w:rPr>
        <w:t>S3.1 Outlier detection and removal</w:t>
      </w:r>
    </w:p>
    <w:p w14:paraId="02A00002" w14:textId="02A00002" w:rsidR="00753AB9" w:rsidRDefault="00753AB9" w:rsidP="00753AB9">
      <w:pPr>
        <w:rPr>
          <w:rFonts w:ascii="Arial" w:hAnsi="Arial" w:cs="Arial"/>
        </w:rPr>
      </w:pPr>
      <w:r>
        <w:rPr>
          <w:rFonts w:ascii="Arial" w:hAnsi="Arial" w:cs="Arial"/>
        </w:rPr>
        <w:t xml:space="preserve">Prior to Bayesian inversion, trace metal concentration series (Co, Ni) were screened for outliers using an adaptive modified Hampel filter with Pareto-based tail detection, implemented in the </w:t>
      </w:r>
      <w:proofErr w:type="spellStart"/>
      <w:r>
        <w:rPr>
          <w:rFonts w:ascii="Arial" w:hAnsi="Arial" w:cs="Arial"/>
        </w:rPr>
        <w:t>detect_</w:t>
      </w:r>
      <w:proofErr w:type="gramStart"/>
      <w:r>
        <w:rPr>
          <w:rFonts w:ascii="Arial" w:hAnsi="Arial" w:cs="Arial"/>
        </w:rPr>
        <w:t>outliers</w:t>
      </w:r>
      <w:proofErr w:type="spellEnd"/>
      <w:proofErr w:type="gramEnd"/>
      <w:r>
        <w:rPr>
          <w:rFonts w:ascii="Arial" w:hAnsi="Arial" w:cs="Arial"/>
        </w:rPr>
        <w:t xml:space="preserve"> function of drip_rate_util.py. The procedure comprises four steps:</w:t>
      </w:r>
    </w:p>
    <w:p w14:paraId="02A00003" w14:textId="02A00003" w:rsidR="00753AB9" w:rsidRDefault="00753AB9" w:rsidP="00753AB9">
      <w:pPr>
        <w:rPr>
          <w:rFonts w:ascii="Arial" w:hAnsi="Arial" w:cs="Arial"/>
        </w:rPr>
      </w:pPr>
      <w:r>
        <w:rPr>
          <w:rFonts w:ascii="Arial" w:hAnsi="Arial" w:cs="Arial"/>
        </w:rPr>
        <w:t xml:space="preserve">(1) Local anomaly scoring. For each data point, the absolute deviation from the local median is computed within a sliding window of size W (set by </w:t>
      </w:r>
      <w:r>
        <w:rPr>
          <w:rFonts w:ascii="Arial" w:hAnsi="Arial" w:cs="Arial"/>
        </w:rPr>
        <w:lastRenderedPageBreak/>
        <w:t>OUTLIER_WINDOW_SIZE in params.py) and scaled by the window’s median absolute deviation (MAD), yielding a dimensionless anomaly score. Where MAD falls below a zero-tolerance threshold (</w:t>
      </w:r>
      <w:proofErr w:type="spellStart"/>
      <w:r>
        <w:rPr>
          <w:rFonts w:ascii="Arial" w:hAnsi="Arial" w:cs="Arial"/>
        </w:rPr>
        <w:t>zero_tol</w:t>
      </w:r>
      <w:proofErr w:type="spellEnd"/>
      <w:r>
        <w:rPr>
          <w:rFonts w:ascii="Arial" w:hAnsi="Arial" w:cs="Arial"/>
        </w:rPr>
        <w:t xml:space="preserve"> = 10⁻³), the score is set to zero to avoid division by near-zero values. This step is implemented in the __</w:t>
      </w:r>
      <w:proofErr w:type="spellStart"/>
      <w:r>
        <w:rPr>
          <w:rFonts w:ascii="Arial" w:hAnsi="Arial" w:cs="Arial"/>
        </w:rPr>
        <w:t>like_hampel</w:t>
      </w:r>
      <w:proofErr w:type="spellEnd"/>
      <w:r>
        <w:rPr>
          <w:rFonts w:ascii="Arial" w:hAnsi="Arial" w:cs="Arial"/>
        </w:rPr>
        <w:t xml:space="preserve"> helper function.</w:t>
      </w:r>
    </w:p>
    <w:p w14:paraId="02A00004" w14:textId="02A00004" w:rsidR="00753AB9" w:rsidRDefault="00753AB9" w:rsidP="00753AB9">
      <w:pPr>
        <w:rPr>
          <w:rFonts w:ascii="Arial" w:hAnsi="Arial" w:cs="Arial"/>
        </w:rPr>
      </w:pPr>
      <w:r>
        <w:rPr>
          <w:rFonts w:ascii="Arial" w:hAnsi="Arial" w:cs="Arial"/>
        </w:rPr>
        <w:t>(2) Distribution fitting. The anomaly scores are shifted by +1 (to permit logarithmic transformation), binned on a logarithmic scale using Doane’s formula for optimal bin count (__</w:t>
      </w:r>
      <w:proofErr w:type="spellStart"/>
      <w:r>
        <w:rPr>
          <w:rFonts w:ascii="Arial" w:hAnsi="Arial" w:cs="Arial"/>
        </w:rPr>
        <w:t>doane</w:t>
      </w:r>
      <w:proofErr w:type="spellEnd"/>
      <w:r>
        <w:rPr>
          <w:rFonts w:ascii="Arial" w:hAnsi="Arial" w:cs="Arial"/>
        </w:rPr>
        <w:t xml:space="preserve"> function), and a generalised Pareto distribution is fitted to the resulting sample via </w:t>
      </w:r>
      <w:proofErr w:type="spellStart"/>
      <w:r>
        <w:rPr>
          <w:rFonts w:ascii="Arial" w:hAnsi="Arial" w:cs="Arial"/>
        </w:rPr>
        <w:t>scipy.stats.pareto.fit</w:t>
      </w:r>
      <w:proofErr w:type="spellEnd"/>
      <w:r>
        <w:rPr>
          <w:rFonts w:ascii="Arial" w:hAnsi="Arial" w:cs="Arial"/>
        </w:rPr>
        <w:t>.</w:t>
      </w:r>
    </w:p>
    <w:p w14:paraId="02A00005" w14:textId="02A00005" w:rsidR="00753AB9" w:rsidRDefault="00753AB9" w:rsidP="00753AB9">
      <w:pPr>
        <w:rPr>
          <w:rFonts w:ascii="Arial" w:hAnsi="Arial" w:cs="Arial"/>
        </w:rPr>
      </w:pPr>
      <w:r>
        <w:rPr>
          <w:rFonts w:ascii="Arial" w:hAnsi="Arial" w:cs="Arial"/>
        </w:rPr>
        <w:t xml:space="preserve">(3) Tail detection. Histogram bins where the observed density exceeds the fitted Pareto probability density function by a factor ≥ </w:t>
      </w:r>
      <w:proofErr w:type="spellStart"/>
      <w:r>
        <w:rPr>
          <w:rFonts w:ascii="Arial" w:hAnsi="Arial" w:cs="Arial"/>
        </w:rPr>
        <w:t>pdf_tol</w:t>
      </w:r>
      <w:proofErr w:type="spellEnd"/>
      <w:r>
        <w:rPr>
          <w:rFonts w:ascii="Arial" w:hAnsi="Arial" w:cs="Arial"/>
        </w:rPr>
        <w:t xml:space="preserve"> (default = 10) are flagged as anomalous. This criterion identifies concentrations of data points in the distributional tails that are not explained by the expected heavy-tailed behaviour of the anomaly score distribution.</w:t>
      </w:r>
    </w:p>
    <w:p w14:paraId="02A00006" w14:textId="02A00006" w:rsidR="00753AB9" w:rsidRDefault="00753AB9" w:rsidP="00753AB9">
      <w:pPr>
        <w:rPr>
          <w:rFonts w:ascii="Arial" w:hAnsi="Arial" w:cs="Arial"/>
        </w:rPr>
      </w:pPr>
      <w:r>
        <w:rPr>
          <w:rFonts w:ascii="Arial" w:hAnsi="Arial" w:cs="Arial"/>
        </w:rPr>
        <w:t>(4) Outlier identification. All data points whose anomaly scores fall within the flagged bins are returned as outlier indices and excluded from subsequent analysis. For the HS4 record, this procedure identified two outliers (Supplementary Fig. 4), which exhibited anomalous Co or Ni concentrations relative to their local neighbourhood and deviated from the expected exponential Co–Ni covariance relationship.</w:t>
      </w:r>
    </w:p>
    <w:p w14:paraId="02A00007" w14:textId="02A00007" w:rsidR="00753AB9" w:rsidRDefault="00753AB9" w:rsidP="00753AB9">
      <w:pPr>
        <w:rPr>
          <w:rFonts w:ascii="Arial" w:hAnsi="Arial" w:cs="Arial"/>
        </w:rPr>
      </w:pPr>
      <w:r>
        <w:rPr>
          <w:rFonts w:ascii="Arial" w:hAnsi="Arial" w:cs="Arial"/>
        </w:rPr>
        <w:t xml:space="preserve">The approach is adaptive in two respects: the Hampel step adjusts to local variance structure along the record (avoiding fixed-threshold artefacts in non-stationary series), and the Pareto tail test uses the data’s own distributional properties to define the outlier criterion rather than an arbitrary cut-off. The window size W and tolerance parameters </w:t>
      </w:r>
      <w:proofErr w:type="spellStart"/>
      <w:r>
        <w:rPr>
          <w:rFonts w:ascii="Arial" w:hAnsi="Arial" w:cs="Arial"/>
        </w:rPr>
        <w:t>pdf_tol</w:t>
      </w:r>
      <w:proofErr w:type="spellEnd"/>
      <w:r>
        <w:rPr>
          <w:rFonts w:ascii="Arial" w:hAnsi="Arial" w:cs="Arial"/>
        </w:rPr>
        <w:t xml:space="preserve"> and </w:t>
      </w:r>
      <w:proofErr w:type="spellStart"/>
      <w:r>
        <w:rPr>
          <w:rFonts w:ascii="Arial" w:hAnsi="Arial" w:cs="Arial"/>
        </w:rPr>
        <w:t>zero_tol</w:t>
      </w:r>
      <w:proofErr w:type="spellEnd"/>
      <w:r>
        <w:rPr>
          <w:rFonts w:ascii="Arial" w:hAnsi="Arial" w:cs="Arial"/>
        </w:rPr>
        <w:t xml:space="preserve"> are configurable in params.py.</w:t>
      </w:r>
    </w:p>
    <w:p w14:paraId="02A00008" w14:textId="02A00008" w:rsidR="00753AB9" w:rsidRDefault="00753AB9" w:rsidP="00753AB9">
      <w:pPr>
        <w:rPr>
          <w:rFonts w:ascii="Arial" w:hAnsi="Arial" w:cs="Arial"/>
          <w:i/>
          <w:iCs/>
        </w:rPr>
      </w:pPr>
      <w:r>
        <w:rPr>
          <w:rFonts w:ascii="Arial" w:hAnsi="Arial" w:cs="Arial"/>
          <w:i/>
          <w:iCs/>
        </w:rPr>
        <w:t>S3.2 Bayesian estimation of drip rates</w:t>
      </w:r>
    </w:p>
    <w:p w14:paraId="6CD16BE8" w14:textId="77777777" w:rsidR="00753AB9" w:rsidRPr="006B21EA" w:rsidRDefault="00753AB9" w:rsidP="00753AB9">
      <w:pPr>
        <w:rPr>
          <w:rFonts w:ascii="Arial" w:hAnsi="Arial" w:cs="Arial"/>
        </w:rPr>
      </w:pPr>
      <w:r>
        <w:rPr>
          <w:rFonts w:ascii="Arial" w:hAnsi="Arial" w:cs="Arial"/>
        </w:rPr>
        <w:t xml:space="preserve">Drip rates are estimated probabilistically from trace metal posteriors using Bayesian inversion. Proxy records (Co and Ni concentrations), after outlier removal (S3.1), are processed for age-depth uncertainties via </w:t>
      </w:r>
      <w:proofErr w:type="spellStart"/>
      <w:r>
        <w:rPr>
          <w:rFonts w:ascii="Arial" w:hAnsi="Arial" w:cs="Arial"/>
        </w:rPr>
        <w:t>BayProx</w:t>
      </w:r>
      <w:proofErr w:type="spellEnd"/>
      <w:r>
        <w:rPr>
          <w:rFonts w:ascii="Arial" w:hAnsi="Arial" w:cs="Arial"/>
        </w:rPr>
        <w:t>, yielding PDFs at unified depths. Inversion solves the model equation for τ given observed [</w:t>
      </w:r>
      <w:proofErr w:type="spellStart"/>
      <w:r>
        <w:rPr>
          <w:rFonts w:ascii="Arial" w:hAnsi="Arial" w:cs="Arial"/>
        </w:rPr>
        <w:t>X</w:t>
      </w:r>
      <w:r>
        <w:rPr>
          <w:rFonts w:ascii="Arial" w:hAnsi="Arial" w:cs="Arial"/>
          <w:vertAlign w:val="subscript"/>
        </w:rPr>
        <w:t>s</w:t>
      </w:r>
      <w:proofErr w:type="spellEnd"/>
      <w:r>
        <w:rPr>
          <w:rFonts w:ascii="Arial" w:hAnsi="Arial" w:cs="Arial"/>
        </w:rPr>
        <w:t xml:space="preserve">], sampling from priors on parameters (μ, σ, </w:t>
      </w:r>
      <w:proofErr w:type="spellStart"/>
      <w:r>
        <w:rPr>
          <w:rFonts w:ascii="Arial" w:hAnsi="Arial" w:cs="Arial"/>
        </w:rPr>
        <w:t>λ</w:t>
      </w:r>
      <w:r>
        <w:rPr>
          <w:rFonts w:ascii="Arial" w:hAnsi="Arial" w:cs="Arial"/>
          <w:vertAlign w:val="subscript"/>
        </w:rPr>
        <w:t>F</w:t>
      </w:r>
      <w:proofErr w:type="spellEnd"/>
      <w:r>
        <w:rPr>
          <w:rFonts w:ascii="Arial" w:hAnsi="Arial" w:cs="Arial"/>
        </w:rPr>
        <w:t>).</w:t>
      </w:r>
    </w:p>
    <w:p w14:paraId="39259DB7" w14:textId="77777777" w:rsidR="00AD3665" w:rsidRPr="006B21EA" w:rsidRDefault="00AD3665" w:rsidP="00AD3665">
      <w:pPr>
        <w:rPr>
          <w:rFonts w:ascii="Arial" w:hAnsi="Arial" w:cs="Arial"/>
        </w:rPr>
      </w:pPr>
      <w:r>
        <w:rPr>
          <w:rFonts w:ascii="Arial" w:hAnsi="Arial" w:cs="Arial"/>
        </w:rPr>
        <w:t xml:space="preserve">The estimation algorithm (implemented in drip_rate_util.py, functions </w:t>
      </w:r>
      <w:proofErr w:type="spellStart"/>
      <w:r>
        <w:rPr>
          <w:rFonts w:ascii="Arial" w:hAnsi="Arial" w:cs="Arial"/>
        </w:rPr>
        <w:t>driprates</w:t>
      </w:r>
      <w:proofErr w:type="spellEnd"/>
      <w:r>
        <w:rPr>
          <w:rFonts w:ascii="Arial" w:hAnsi="Arial" w:cs="Arial"/>
        </w:rPr>
        <w:t xml:space="preserve"> and </w:t>
      </w:r>
      <w:proofErr w:type="spellStart"/>
      <w:r>
        <w:rPr>
          <w:rFonts w:ascii="Arial" w:hAnsi="Arial" w:cs="Arial"/>
        </w:rPr>
        <w:t>get_proxy_percentile</w:t>
      </w:r>
      <w:proofErr w:type="spellEnd"/>
      <w:r>
        <w:rPr>
          <w:rFonts w:ascii="Arial" w:hAnsi="Arial" w:cs="Arial"/>
        </w:rPr>
        <w:t>) proceeds as follows: for each age horizon, the proxy posterior PDF is transformed through the inverse of the forward model to yield a drip rate posterior, sampled across the full parameter uncertainty space.</w:t>
      </w:r>
    </w:p>
    <w:p w14:paraId="732047D3" w14:textId="77777777" w:rsidR="00BF27B2" w:rsidRDefault="00BF27B2" w:rsidP="00302814">
      <w:pPr>
        <w:rPr>
          <w:rFonts w:ascii="Arial" w:hAnsi="Arial" w:cs="Arial"/>
          <w:b/>
          <w:bCs/>
        </w:rPr>
      </w:pPr>
    </w:p>
    <w:p w14:paraId="7EED32A0" w14:textId="77777777" w:rsidR="00212F14" w:rsidRDefault="00212F14" w:rsidP="00302814">
      <w:pPr>
        <w:rPr>
          <w:rFonts w:ascii="Arial" w:hAnsi="Arial" w:cs="Arial"/>
          <w:b/>
          <w:bCs/>
        </w:rPr>
      </w:pPr>
    </w:p>
    <w:p w14:paraId="09B631A9" w14:textId="77777777" w:rsidR="00212F14" w:rsidRDefault="00212F14" w:rsidP="00302814">
      <w:pPr>
        <w:rPr>
          <w:rFonts w:ascii="Arial" w:hAnsi="Arial" w:cs="Arial"/>
          <w:b/>
          <w:bCs/>
        </w:rPr>
      </w:pPr>
    </w:p>
    <w:p w14:paraId="50328BA1" w14:textId="77777777" w:rsidR="00212F14" w:rsidRPr="006B21EA" w:rsidRDefault="00212F14" w:rsidP="00302814">
      <w:pPr>
        <w:rPr>
          <w:rFonts w:ascii="Arial" w:hAnsi="Arial" w:cs="Arial"/>
          <w:b/>
          <w:bCs/>
        </w:rPr>
      </w:pPr>
    </w:p>
    <w:p w14:paraId="38705B65" w14:textId="77777777" w:rsidR="00302814" w:rsidRPr="006B21EA" w:rsidRDefault="00302814" w:rsidP="00302814">
      <w:pPr>
        <w:rPr>
          <w:rFonts w:ascii="Arial" w:hAnsi="Arial" w:cs="Arial"/>
          <w:b/>
          <w:bCs/>
        </w:rPr>
      </w:pPr>
      <w:r>
        <w:rPr>
          <w:rFonts w:ascii="Arial" w:hAnsi="Arial" w:cs="Arial"/>
          <w:b/>
          <w:bCs/>
        </w:rPr>
        <w:lastRenderedPageBreak/>
        <w:t xml:space="preserve">Supplementary Methods 4: Sensitivity (Varying </w:t>
      </w:r>
      <w:proofErr w:type="spellStart"/>
      <w:r>
        <w:rPr>
          <w:rFonts w:ascii="Arial" w:hAnsi="Arial" w:cs="Arial"/>
          <w:b/>
          <w:bCs/>
        </w:rPr>
        <w:t>λ</w:t>
      </w:r>
      <w:r>
        <w:rPr>
          <w:rFonts w:ascii="Arial" w:hAnsi="Arial" w:cs="Arial"/>
          <w:b/>
          <w:bCs/>
          <w:vertAlign w:val="subscript"/>
        </w:rPr>
        <w:t>F</w:t>
      </w:r>
      <w:proofErr w:type="spellEnd"/>
      <w:r>
        <w:rPr>
          <w:rFonts w:ascii="Arial" w:hAnsi="Arial" w:cs="Arial"/>
          <w:b/>
          <w:bCs/>
        </w:rPr>
        <w:t xml:space="preserve"> in </w:t>
      </w:r>
      <w:proofErr w:type="spellStart"/>
      <w:proofErr w:type="gramStart"/>
      <w:r>
        <w:rPr>
          <w:rFonts w:ascii="Arial" w:hAnsi="Arial" w:cs="Arial"/>
          <w:b/>
          <w:bCs/>
        </w:rPr>
        <w:t>model.dr</w:t>
      </w:r>
      <w:proofErr w:type="gramEnd"/>
      <w:r>
        <w:rPr>
          <w:rFonts w:ascii="Arial" w:hAnsi="Arial" w:cs="Arial"/>
          <w:b/>
          <w:bCs/>
        </w:rPr>
        <w:t>_pdfseries</w:t>
      </w:r>
      <w:proofErr w:type="spellEnd"/>
      <w:r>
        <w:rPr>
          <w:rFonts w:ascii="Arial" w:hAnsi="Arial" w:cs="Arial"/>
          <w:b/>
          <w:bCs/>
        </w:rPr>
        <w:t>)</w:t>
      </w:r>
    </w:p>
    <w:p w14:paraId="496F0157" w14:textId="77777777" w:rsidR="00302814" w:rsidRPr="006B21EA" w:rsidRDefault="00302814" w:rsidP="00302814">
      <w:pPr>
        <w:rPr>
          <w:rFonts w:ascii="Arial" w:hAnsi="Arial" w:cs="Arial"/>
        </w:rPr>
      </w:pPr>
      <w:r>
        <w:rPr>
          <w:rFonts w:ascii="Arial" w:hAnsi="Arial" w:cs="Arial"/>
        </w:rPr>
        <w:t xml:space="preserve">To assess robustness, we varied </w:t>
      </w:r>
      <w:proofErr w:type="spellStart"/>
      <w:r>
        <w:rPr>
          <w:rFonts w:ascii="Arial" w:hAnsi="Arial" w:cs="Arial"/>
        </w:rPr>
        <w:t>λ</w:t>
      </w:r>
      <w:r>
        <w:rPr>
          <w:rFonts w:ascii="Arial" w:hAnsi="Arial" w:cs="Arial"/>
          <w:vertAlign w:val="subscript"/>
        </w:rPr>
        <w:t>F</w:t>
      </w:r>
      <w:proofErr w:type="spellEnd"/>
      <w:r>
        <w:rPr>
          <w:rFonts w:ascii="Arial" w:hAnsi="Arial" w:cs="Arial"/>
        </w:rPr>
        <w:t xml:space="preserve"> (fast fraction, base 0.001) from 0.0001 to 0.01 in the model (</w:t>
      </w:r>
      <w:proofErr w:type="spellStart"/>
      <w:r>
        <w:rPr>
          <w:rFonts w:ascii="Arial" w:hAnsi="Arial" w:cs="Arial"/>
        </w:rPr>
        <w:t>dr_pdfseries</w:t>
      </w:r>
      <w:proofErr w:type="spellEnd"/>
      <w:r>
        <w:rPr>
          <w:rFonts w:ascii="Arial" w:hAnsi="Arial" w:cs="Arial"/>
        </w:rPr>
        <w:t xml:space="preserve"> function), recomputing drip rate PDFs for HS4. Lower </w:t>
      </w:r>
      <w:proofErr w:type="spellStart"/>
      <w:r>
        <w:rPr>
          <w:rFonts w:ascii="Arial" w:hAnsi="Arial" w:cs="Arial"/>
        </w:rPr>
        <w:t>λ</w:t>
      </w:r>
      <w:r>
        <w:rPr>
          <w:rFonts w:ascii="Arial" w:hAnsi="Arial" w:cs="Arial"/>
          <w:vertAlign w:val="subscript"/>
        </w:rPr>
        <w:t>F</w:t>
      </w:r>
      <w:proofErr w:type="spellEnd"/>
      <w:r>
        <w:rPr>
          <w:rFonts w:ascii="Arial" w:hAnsi="Arial" w:cs="Arial"/>
        </w:rPr>
        <w:t xml:space="preserve"> increases sensitivity at slow drips (</w:t>
      </w:r>
      <w:r>
        <w:rPr>
          <w:rFonts w:ascii="Arial" w:hAnsi="Arial" w:cs="Arial"/>
          <w:i/>
          <w:iCs/>
        </w:rPr>
        <w:t>d</w:t>
      </w:r>
      <w:r>
        <w:rPr>
          <w:rFonts w:ascii="Arial" w:hAnsi="Arial" w:cs="Arial"/>
        </w:rPr>
        <w:t xml:space="preserve"> &lt; 5 min</w:t>
      </w:r>
      <w:r>
        <w:rPr>
          <w:rFonts w:ascii="Cambria Math" w:hAnsi="Cambria Math" w:cs="Cambria Math"/>
        </w:rPr>
        <w:t>⁻</w:t>
      </w:r>
      <w:r>
        <w:rPr>
          <w:rFonts w:ascii="Arial" w:hAnsi="Arial" w:cs="Arial"/>
        </w:rPr>
        <w:t xml:space="preserve">¹), amplifying aridity signals (e.g., the 5.2 </w:t>
      </w:r>
      <w:proofErr w:type="spellStart"/>
      <w:r>
        <w:rPr>
          <w:rFonts w:ascii="Arial" w:hAnsi="Arial" w:cs="Arial"/>
        </w:rPr>
        <w:t>kyr</w:t>
      </w:r>
      <w:proofErr w:type="spellEnd"/>
      <w:r>
        <w:rPr>
          <w:rFonts w:ascii="Arial" w:hAnsi="Arial" w:cs="Arial"/>
        </w:rPr>
        <w:t xml:space="preserve"> pulse deepens ~10%). Higher </w:t>
      </w:r>
      <w:proofErr w:type="spellStart"/>
      <w:r>
        <w:rPr>
          <w:rFonts w:ascii="Arial" w:hAnsi="Arial" w:cs="Arial"/>
        </w:rPr>
        <w:t>λ</w:t>
      </w:r>
      <w:r>
        <w:rPr>
          <w:rFonts w:ascii="Arial" w:hAnsi="Arial" w:cs="Arial"/>
          <w:vertAlign w:val="subscript"/>
        </w:rPr>
        <w:t>F</w:t>
      </w:r>
      <w:proofErr w:type="spellEnd"/>
      <w:r>
        <w:rPr>
          <w:rFonts w:ascii="Arial" w:hAnsi="Arial" w:cs="Arial"/>
        </w:rPr>
        <w:t xml:space="preserve"> dampens response, widening uncertainties in wet periods. Speciation analysis on transition metal DOM complexes (Hartland &amp; </w:t>
      </w:r>
      <w:proofErr w:type="spellStart"/>
      <w:r>
        <w:rPr>
          <w:rFonts w:ascii="Arial" w:hAnsi="Arial" w:cs="Arial"/>
        </w:rPr>
        <w:t>Zitoun</w:t>
      </w:r>
      <w:proofErr w:type="spellEnd"/>
      <w:r>
        <w:rPr>
          <w:rFonts w:ascii="Arial" w:hAnsi="Arial" w:cs="Arial"/>
        </w:rPr>
        <w:t xml:space="preserve">, 2018) demonstrate the dominant binding of trace-level transition metal ions in dripwater, such that an assumed </w:t>
      </w:r>
      <w:proofErr w:type="spellStart"/>
      <w:r>
        <w:rPr>
          <w:rFonts w:ascii="Arial" w:hAnsi="Arial" w:cs="Arial"/>
        </w:rPr>
        <w:t>λ</w:t>
      </w:r>
      <w:r>
        <w:rPr>
          <w:rFonts w:ascii="Arial" w:hAnsi="Arial" w:cs="Arial"/>
          <w:vertAlign w:val="subscript"/>
        </w:rPr>
        <w:t>F</w:t>
      </w:r>
      <w:proofErr w:type="spellEnd"/>
      <w:r>
        <w:rPr>
          <w:rFonts w:ascii="Arial" w:hAnsi="Arial" w:cs="Arial"/>
          <w:vertAlign w:val="subscript"/>
        </w:rPr>
        <w:t xml:space="preserve"> = </w:t>
      </w:r>
      <w:r>
        <w:rPr>
          <w:rFonts w:ascii="Arial" w:hAnsi="Arial" w:cs="Arial"/>
        </w:rPr>
        <w:t xml:space="preserve">0.01 is likely very conservative. </w:t>
      </w:r>
    </w:p>
    <w:p w14:paraId="429343AB" w14:textId="77777777" w:rsidR="00302814" w:rsidRPr="006B21EA" w:rsidRDefault="00302814" w:rsidP="00302814">
      <w:pPr>
        <w:rPr>
          <w:rFonts w:ascii="Arial" w:hAnsi="Arial" w:cs="Arial"/>
        </w:rPr>
      </w:pPr>
      <w:r>
        <w:rPr>
          <w:rFonts w:ascii="Arial" w:hAnsi="Arial" w:cs="Arial"/>
        </w:rPr>
        <w:t>Supplementary Figure 1 shows the impact of these variations on the labile fraction and Holocene drip rate reconstruction.</w:t>
      </w:r>
    </w:p>
    <w:p w14:paraId="4DBDF6A2" w14:textId="77777777" w:rsidR="00302814" w:rsidRPr="006B21EA" w:rsidRDefault="000F7696" w:rsidP="000F7696">
      <w:pPr>
        <w:jc w:val="center"/>
        <w:rPr>
          <w:rFonts w:ascii="Arial" w:hAnsi="Arial" w:cs="Arial"/>
          <w:b/>
          <w:bCs/>
        </w:rPr>
      </w:pPr>
      <w:r>
        <w:rPr>
          <w:rFonts w:ascii="Arial" w:hAnsi="Arial" w:cs="Arial"/>
          <w:b/>
          <w:bCs/>
          <w:noProof/>
        </w:rPr>
        <w:drawing>
          <wp:inline distT="0" distB="0" distL="0" distR="0" wp14:anchorId="1C60D922" wp14:editId="1346E3FB">
            <wp:extent cx="4200808" cy="2872057"/>
            <wp:effectExtent l="0" t="0" r="0" b="5080"/>
            <wp:docPr id="327814491" name="Picture 17" descr="A graph of a graph of a drop rat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14491" name="Picture 17" descr="A graph of a graph of a drop rate  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213479" cy="2880720"/>
                    </a:xfrm>
                    <a:prstGeom prst="rect">
                      <a:avLst/>
                    </a:prstGeom>
                  </pic:spPr>
                </pic:pic>
              </a:graphicData>
            </a:graphic>
          </wp:inline>
        </w:drawing>
      </w:r>
    </w:p>
    <w:p w14:paraId="0BAB9386" w14:textId="77777777" w:rsidR="0058799B" w:rsidRPr="00C75553" w:rsidRDefault="0058799B" w:rsidP="0058799B">
      <w:pPr>
        <w:rPr>
          <w:rFonts w:ascii="Arial" w:hAnsi="Arial" w:cs="Arial"/>
          <w:sz w:val="20"/>
          <w:szCs w:val="20"/>
        </w:rPr>
      </w:pPr>
      <w:r>
        <w:rPr>
          <w:rFonts w:ascii="Arial" w:hAnsi="Arial" w:cs="Arial"/>
          <w:b/>
          <w:bCs/>
          <w:sz w:val="20"/>
          <w:szCs w:val="20"/>
        </w:rPr>
        <w:t xml:space="preserve">Supplementary Figure 1 | </w:t>
      </w:r>
      <w:r>
        <w:rPr>
          <w:rFonts w:ascii="Arial" w:hAnsi="Arial" w:cs="Arial"/>
          <w:sz w:val="20"/>
          <w:szCs w:val="20"/>
        </w:rPr>
        <w:t xml:space="preserve">Sensitivity of the labile fraction to </w:t>
      </w:r>
      <w:proofErr w:type="spellStart"/>
      <w:r>
        <w:rPr>
          <w:rFonts w:ascii="Arial" w:hAnsi="Arial" w:cs="Arial"/>
          <w:sz w:val="20"/>
          <w:szCs w:val="20"/>
        </w:rPr>
        <w:t>λ</w:t>
      </w:r>
      <w:r>
        <w:rPr>
          <w:rFonts w:ascii="Arial" w:hAnsi="Arial" w:cs="Arial"/>
          <w:sz w:val="20"/>
          <w:szCs w:val="20"/>
          <w:vertAlign w:val="subscript"/>
        </w:rPr>
        <w:t>F</w:t>
      </w:r>
      <w:proofErr w:type="spellEnd"/>
      <w:r>
        <w:rPr>
          <w:rFonts w:ascii="Arial" w:hAnsi="Arial" w:cs="Arial"/>
          <w:sz w:val="20"/>
          <w:szCs w:val="20"/>
        </w:rPr>
        <w:t xml:space="preserve"> variation. Main plot: Labile fraction (y-axis, 0–5) versus drip rate (drips min</w:t>
      </w:r>
      <w:r>
        <w:rPr>
          <w:rFonts w:ascii="Cambria Math" w:hAnsi="Cambria Math" w:cs="Cambria Math"/>
          <w:sz w:val="20"/>
          <w:szCs w:val="20"/>
        </w:rPr>
        <w:t>⁻</w:t>
      </w:r>
      <w:r>
        <w:rPr>
          <w:rFonts w:ascii="Arial" w:hAnsi="Arial" w:cs="Arial"/>
          <w:sz w:val="20"/>
          <w:szCs w:val="20"/>
        </w:rPr>
        <w:t xml:space="preserve">¹, x-axis, log scale 0.1–50) for </w:t>
      </w:r>
      <w:proofErr w:type="spellStart"/>
      <w:r>
        <w:rPr>
          <w:rFonts w:ascii="Arial" w:hAnsi="Arial" w:cs="Arial"/>
          <w:sz w:val="20"/>
          <w:szCs w:val="20"/>
        </w:rPr>
        <w:t>λ</w:t>
      </w:r>
      <w:r>
        <w:rPr>
          <w:rFonts w:ascii="Arial" w:hAnsi="Arial" w:cs="Arial"/>
          <w:sz w:val="20"/>
          <w:szCs w:val="20"/>
          <w:vertAlign w:val="subscript"/>
        </w:rPr>
        <w:t>F</w:t>
      </w:r>
      <w:proofErr w:type="spellEnd"/>
      <w:r>
        <w:rPr>
          <w:rFonts w:ascii="Arial" w:hAnsi="Arial" w:cs="Arial"/>
          <w:sz w:val="20"/>
          <w:szCs w:val="20"/>
        </w:rPr>
        <w:t xml:space="preserve"> = 0.001 (base, black), </w:t>
      </w:r>
      <w:proofErr w:type="spellStart"/>
      <w:r>
        <w:rPr>
          <w:rFonts w:ascii="Arial" w:hAnsi="Arial" w:cs="Arial"/>
          <w:sz w:val="20"/>
          <w:szCs w:val="20"/>
        </w:rPr>
        <w:t>λ</w:t>
      </w:r>
      <w:r>
        <w:rPr>
          <w:rFonts w:ascii="Arial" w:hAnsi="Arial" w:cs="Arial"/>
          <w:sz w:val="20"/>
          <w:szCs w:val="20"/>
          <w:vertAlign w:val="subscript"/>
        </w:rPr>
        <w:t>F</w:t>
      </w:r>
      <w:proofErr w:type="spellEnd"/>
      <w:r>
        <w:rPr>
          <w:rFonts w:ascii="Arial" w:hAnsi="Arial" w:cs="Arial"/>
          <w:sz w:val="20"/>
          <w:szCs w:val="20"/>
        </w:rPr>
        <w:t xml:space="preserve"> = 10</w:t>
      </w:r>
      <w:r>
        <w:rPr>
          <w:rFonts w:ascii="Cambria Math" w:hAnsi="Cambria Math" w:cs="Cambria Math"/>
          <w:sz w:val="20"/>
          <w:szCs w:val="20"/>
        </w:rPr>
        <w:t>⁻</w:t>
      </w:r>
      <w:r>
        <w:rPr>
          <w:rFonts w:ascii="Arial" w:hAnsi="Arial" w:cs="Arial"/>
          <w:sz w:val="20"/>
          <w:szCs w:val="20"/>
        </w:rPr>
        <w:t xml:space="preserve">⁶ (low, blue), and </w:t>
      </w:r>
      <w:proofErr w:type="spellStart"/>
      <w:r>
        <w:rPr>
          <w:rFonts w:ascii="Arial" w:hAnsi="Arial" w:cs="Arial"/>
          <w:sz w:val="20"/>
          <w:szCs w:val="20"/>
        </w:rPr>
        <w:t>λ</w:t>
      </w:r>
      <w:r>
        <w:rPr>
          <w:rFonts w:ascii="Arial" w:hAnsi="Arial" w:cs="Arial"/>
          <w:sz w:val="20"/>
          <w:szCs w:val="20"/>
          <w:vertAlign w:val="subscript"/>
        </w:rPr>
        <w:t>F</w:t>
      </w:r>
      <w:proofErr w:type="spellEnd"/>
      <w:r>
        <w:rPr>
          <w:rFonts w:ascii="Arial" w:hAnsi="Arial" w:cs="Arial"/>
          <w:sz w:val="20"/>
          <w:szCs w:val="20"/>
        </w:rPr>
        <w:t xml:space="preserve"> = 0.05 (high, red), showing increased sensitivity at low drip rates for lower </w:t>
      </w:r>
      <w:proofErr w:type="spellStart"/>
      <w:r>
        <w:rPr>
          <w:rFonts w:ascii="Arial" w:hAnsi="Arial" w:cs="Arial"/>
          <w:sz w:val="20"/>
          <w:szCs w:val="20"/>
        </w:rPr>
        <w:t>λ</w:t>
      </w:r>
      <w:r>
        <w:rPr>
          <w:rFonts w:ascii="Arial" w:hAnsi="Arial" w:cs="Arial"/>
          <w:sz w:val="20"/>
          <w:szCs w:val="20"/>
          <w:vertAlign w:val="subscript"/>
        </w:rPr>
        <w:t>F</w:t>
      </w:r>
      <w:proofErr w:type="spellEnd"/>
      <w:r>
        <w:rPr>
          <w:rFonts w:ascii="Arial" w:hAnsi="Arial" w:cs="Arial"/>
          <w:sz w:val="20"/>
          <w:szCs w:val="20"/>
        </w:rPr>
        <w:t xml:space="preserve"> and dampened response for higher </w:t>
      </w:r>
      <w:proofErr w:type="spellStart"/>
      <w:r>
        <w:rPr>
          <w:rFonts w:ascii="Arial" w:hAnsi="Arial" w:cs="Arial"/>
          <w:sz w:val="20"/>
          <w:szCs w:val="20"/>
        </w:rPr>
        <w:t>λ</w:t>
      </w:r>
      <w:r>
        <w:rPr>
          <w:rFonts w:ascii="Arial" w:hAnsi="Arial" w:cs="Arial"/>
          <w:sz w:val="20"/>
          <w:szCs w:val="20"/>
          <w:vertAlign w:val="subscript"/>
        </w:rPr>
        <w:t>F</w:t>
      </w:r>
      <w:proofErr w:type="spellEnd"/>
      <w:r>
        <w:rPr>
          <w:rFonts w:ascii="Arial" w:hAnsi="Arial" w:cs="Arial"/>
          <w:sz w:val="20"/>
          <w:szCs w:val="20"/>
        </w:rPr>
        <w:t>. Inset: Holocene median drip rate (drips min</w:t>
      </w:r>
      <w:r>
        <w:rPr>
          <w:rFonts w:ascii="Cambria Math" w:hAnsi="Cambria Math" w:cs="Cambria Math"/>
          <w:sz w:val="20"/>
          <w:szCs w:val="20"/>
        </w:rPr>
        <w:t>⁻</w:t>
      </w:r>
      <w:r>
        <w:rPr>
          <w:rFonts w:ascii="Arial" w:hAnsi="Arial" w:cs="Arial"/>
          <w:sz w:val="20"/>
          <w:szCs w:val="20"/>
        </w:rPr>
        <w:t>¹) over time (</w:t>
      </w:r>
      <w:proofErr w:type="spellStart"/>
      <w:r>
        <w:rPr>
          <w:rFonts w:ascii="Arial" w:hAnsi="Arial" w:cs="Arial"/>
          <w:sz w:val="20"/>
          <w:szCs w:val="20"/>
        </w:rPr>
        <w:t>kyr</w:t>
      </w:r>
      <w:proofErr w:type="spellEnd"/>
      <w:r>
        <w:rPr>
          <w:rFonts w:ascii="Arial" w:hAnsi="Arial" w:cs="Arial"/>
          <w:sz w:val="20"/>
          <w:szCs w:val="20"/>
        </w:rPr>
        <w:t xml:space="preserve"> BP), with </w:t>
      </w:r>
      <w:proofErr w:type="spellStart"/>
      <w:r>
        <w:rPr>
          <w:rFonts w:ascii="Arial" w:hAnsi="Arial" w:cs="Arial"/>
          <w:sz w:val="20"/>
          <w:szCs w:val="20"/>
        </w:rPr>
        <w:t>gray</w:t>
      </w:r>
      <w:proofErr w:type="spellEnd"/>
      <w:r>
        <w:rPr>
          <w:rFonts w:ascii="Arial" w:hAnsi="Arial" w:cs="Arial"/>
          <w:sz w:val="20"/>
          <w:szCs w:val="20"/>
        </w:rPr>
        <w:t xml:space="preserve"> shading indicating ±50% </w:t>
      </w:r>
      <w:proofErr w:type="spellStart"/>
      <w:r>
        <w:rPr>
          <w:rFonts w:ascii="Arial" w:hAnsi="Arial" w:cs="Arial"/>
          <w:sz w:val="20"/>
          <w:szCs w:val="20"/>
        </w:rPr>
        <w:t>λ</w:t>
      </w:r>
      <w:r>
        <w:rPr>
          <w:rFonts w:ascii="Arial" w:hAnsi="Arial" w:cs="Arial"/>
          <w:sz w:val="20"/>
          <w:szCs w:val="20"/>
          <w:vertAlign w:val="subscript"/>
        </w:rPr>
        <w:t>F</w:t>
      </w:r>
      <w:proofErr w:type="spellEnd"/>
      <w:r>
        <w:rPr>
          <w:rFonts w:ascii="Arial" w:hAnsi="Arial" w:cs="Arial"/>
          <w:sz w:val="20"/>
          <w:szCs w:val="20"/>
        </w:rPr>
        <w:t xml:space="preserve"> variation (widening ~15–25% at minima), derived from HS4 data in ProxyRecordPlot.xlsx.</w:t>
      </w:r>
    </w:p>
    <w:p w14:paraId="50473A05" w14:textId="77777777" w:rsidR="007E3B54" w:rsidRPr="006B21EA" w:rsidRDefault="007E3B54" w:rsidP="007E3B54">
      <w:pPr>
        <w:rPr>
          <w:rFonts w:ascii="Arial" w:hAnsi="Arial" w:cs="Arial"/>
          <w:b/>
          <w:bCs/>
        </w:rPr>
      </w:pPr>
      <w:r>
        <w:rPr>
          <w:rFonts w:ascii="Arial" w:hAnsi="Arial" w:cs="Arial"/>
          <w:b/>
          <w:bCs/>
        </w:rPr>
        <w:t>Supplementary Methods 5: Precipitation Reconstruction via Chained Regressions and Monte Carlo Propagation</w:t>
      </w:r>
    </w:p>
    <w:p w14:paraId="5789B073" w14:textId="77777777" w:rsidR="007C4E65" w:rsidRPr="006B21EA" w:rsidRDefault="007E3B54" w:rsidP="007C4E65">
      <w:pPr>
        <w:rPr>
          <w:rFonts w:ascii="Arial" w:hAnsi="Arial" w:cs="Arial"/>
        </w:rPr>
      </w:pPr>
      <w:r>
        <w:rPr>
          <w:rFonts w:ascii="Arial" w:hAnsi="Arial" w:cs="Arial"/>
        </w:rPr>
        <w:t>This section details the chained regression approach to derive quantitative annual precipitation (P, in mm yr</w:t>
      </w:r>
      <w:r>
        <w:rPr>
          <w:rFonts w:ascii="Arial" w:hAnsi="Arial" w:cs="Arial"/>
          <w:vertAlign w:val="superscript"/>
        </w:rPr>
        <w:t>-1</w:t>
      </w:r>
      <w:r>
        <w:rPr>
          <w:rFonts w:ascii="Arial" w:hAnsi="Arial" w:cs="Arial"/>
        </w:rPr>
        <w:t xml:space="preserve">) from reconstructed drip rates, incorporating temperature (T) estimates and propagating uncertainties via Monte Carlo sampling. Drip rates are first linked to P/T ratios using site-specific (Heshang Cave) and regional (Yichang meteorological) regressions, then multiplied by T (from bacterial 3-hydroxy fatty acids in stalagmite HS4, with a RMSE = 2.6°C) and annualized (×365.25). Uncertainties arise from </w:t>
      </w:r>
      <w:proofErr w:type="spellStart"/>
      <w:r>
        <w:rPr>
          <w:rFonts w:ascii="Arial" w:hAnsi="Arial" w:cs="Arial"/>
        </w:rPr>
        <w:t>i</w:t>
      </w:r>
      <w:proofErr w:type="spellEnd"/>
      <w:r>
        <w:rPr>
          <w:rFonts w:ascii="Arial" w:hAnsi="Arial" w:cs="Arial"/>
        </w:rPr>
        <w:t xml:space="preserve">) drip rate posteriors (log-normal distributions fitted to medians and 25–75th percentiles); ii) regression coefficients and residuals (normal distributions based on fit statistics); and iii) T (normal distribution with SD = 2.6°C). For each age horizon </w:t>
      </w:r>
      <w:r>
        <w:rPr>
          <w:rFonts w:ascii="Arial" w:hAnsi="Arial" w:cs="Arial"/>
        </w:rPr>
        <w:lastRenderedPageBreak/>
        <w:t>(73–8807 BP, interpolated to RAN-15 T ages), N = 10,000 samples are drawn to compute posteriors, yielding medians and 25–75th percentiles for P.</w:t>
      </w:r>
    </w:p>
    <w:p w14:paraId="5843156D" w14:textId="77777777" w:rsidR="007C4E65" w:rsidRPr="006B21EA" w:rsidRDefault="007C4E65" w:rsidP="009B75F8">
      <w:pPr>
        <w:rPr>
          <w:rFonts w:ascii="Arial" w:hAnsi="Arial" w:cs="Arial"/>
        </w:rPr>
      </w:pPr>
      <w:r>
        <w:rPr>
          <w:rFonts w:ascii="Arial" w:hAnsi="Arial" w:cs="Arial"/>
        </w:rPr>
        <w:t xml:space="preserve">Regression parameters (optimized from 2005–2015 cave monitoring / Yichang data) are provided in Supp. Table </w:t>
      </w:r>
      <w:proofErr w:type="gramStart"/>
      <w:r>
        <w:rPr>
          <w:rFonts w:ascii="Arial" w:hAnsi="Arial" w:cs="Arial"/>
        </w:rPr>
        <w:t>S2;</w:t>
      </w:r>
      <w:proofErr w:type="gramEnd"/>
      <w:r>
        <w:rPr>
          <w:rFonts w:ascii="Arial" w:hAnsi="Arial" w:cs="Arial"/>
        </w:rPr>
        <w:t xml:space="preserve"> with means and SDs for Monte Carlo sampling. The process interpolates drip rates to T ages, fits log-normal distributions to drip medians/quartiles, samples parameters, and computes: </w:t>
      </w:r>
    </w:p>
    <w:p w14:paraId="2099D4C9" w14:textId="77777777" w:rsidR="009B75F8" w:rsidRPr="006B21EA" w:rsidRDefault="009B75F8" w:rsidP="009B75F8">
      <w:pPr>
        <w:rPr>
          <w:rFonts w:ascii="Arial" w:hAnsi="Arial" w:cs="Arial"/>
        </w:rPr>
      </w:pPr>
      <w:r>
        <w:rPr>
          <w:rFonts w:ascii="Arial" w:hAnsi="Arial" w:cs="Arial"/>
        </w:rPr>
        <w:t>P/T</w:t>
      </w:r>
      <w:r>
        <w:rPr>
          <w:rFonts w:ascii="Arial" w:hAnsi="Arial" w:cs="Arial"/>
          <w:vertAlign w:val="subscript"/>
        </w:rPr>
        <w:t>h</w:t>
      </w:r>
      <w:r>
        <w:rPr>
          <w:rFonts w:ascii="Arial" w:hAnsi="Arial" w:cs="Arial"/>
        </w:rPr>
        <w:t xml:space="preserve"> = a</w:t>
      </w:r>
      <w:r>
        <w:rPr>
          <w:rFonts w:ascii="Arial" w:hAnsi="Arial" w:cs="Arial"/>
          <w:vertAlign w:val="subscript"/>
        </w:rPr>
        <w:t>h</w:t>
      </w:r>
      <w:r>
        <w:rPr>
          <w:rFonts w:ascii="Arial" w:hAnsi="Arial" w:cs="Arial"/>
        </w:rPr>
        <w:t xml:space="preserve"> * drip + </w:t>
      </w:r>
      <w:proofErr w:type="spellStart"/>
      <w:r>
        <w:rPr>
          <w:rFonts w:ascii="Arial" w:hAnsi="Arial" w:cs="Arial"/>
        </w:rPr>
        <w:t>b</w:t>
      </w:r>
      <w:r>
        <w:rPr>
          <w:rFonts w:ascii="Arial" w:hAnsi="Arial" w:cs="Arial"/>
          <w:vertAlign w:val="subscript"/>
        </w:rPr>
        <w:t>h</w:t>
      </w:r>
      <w:proofErr w:type="spellEnd"/>
      <w:r>
        <w:rPr>
          <w:rFonts w:ascii="Arial" w:hAnsi="Arial" w:cs="Arial"/>
        </w:rPr>
        <w:t xml:space="preserve"> + </w:t>
      </w:r>
      <w:proofErr w:type="spellStart"/>
      <w:r>
        <w:rPr>
          <w:rFonts w:ascii="Arial" w:hAnsi="Arial" w:cs="Arial"/>
        </w:rPr>
        <w:t>resid</w:t>
      </w:r>
      <w:r>
        <w:rPr>
          <w:rFonts w:ascii="Arial" w:hAnsi="Arial" w:cs="Arial"/>
          <w:vertAlign w:val="subscript"/>
        </w:rPr>
        <w:t>h</w:t>
      </w:r>
      <w:proofErr w:type="spellEnd"/>
      <w:r>
        <w:rPr>
          <w:rFonts w:ascii="Arial" w:hAnsi="Arial" w:cs="Arial"/>
        </w:rPr>
        <w:t xml:space="preserve"> (clipped ≥0), </w:t>
      </w:r>
    </w:p>
    <w:p w14:paraId="4884E2DC" w14:textId="77777777" w:rsidR="009B75F8" w:rsidRPr="006B21EA" w:rsidRDefault="009B75F8" w:rsidP="009B75F8">
      <w:pPr>
        <w:rPr>
          <w:rFonts w:ascii="Arial" w:hAnsi="Arial" w:cs="Arial"/>
        </w:rPr>
      </w:pPr>
      <w:r>
        <w:rPr>
          <w:rFonts w:ascii="Arial" w:hAnsi="Arial" w:cs="Arial"/>
        </w:rPr>
        <w:t>P/T</w:t>
      </w:r>
      <w:r>
        <w:rPr>
          <w:rFonts w:ascii="Arial" w:hAnsi="Arial" w:cs="Arial"/>
          <w:vertAlign w:val="subscript"/>
        </w:rPr>
        <w:t>y</w:t>
      </w:r>
      <w:r>
        <w:rPr>
          <w:rFonts w:ascii="Arial" w:hAnsi="Arial" w:cs="Arial"/>
        </w:rPr>
        <w:t xml:space="preserve"> = a</w:t>
      </w:r>
      <w:r>
        <w:rPr>
          <w:rFonts w:ascii="Arial" w:hAnsi="Arial" w:cs="Arial"/>
          <w:vertAlign w:val="subscript"/>
        </w:rPr>
        <w:t>y</w:t>
      </w:r>
      <w:r>
        <w:rPr>
          <w:rFonts w:ascii="Arial" w:hAnsi="Arial" w:cs="Arial"/>
        </w:rPr>
        <w:t xml:space="preserve"> * P/T</w:t>
      </w:r>
      <w:r>
        <w:rPr>
          <w:rFonts w:ascii="Arial" w:hAnsi="Arial" w:cs="Arial"/>
          <w:vertAlign w:val="subscript"/>
        </w:rPr>
        <w:t>h</w:t>
      </w:r>
      <w:r>
        <w:rPr>
          <w:rFonts w:ascii="Arial" w:hAnsi="Arial" w:cs="Arial"/>
        </w:rPr>
        <w:t xml:space="preserve"> + b</w:t>
      </w:r>
      <w:r>
        <w:rPr>
          <w:rFonts w:ascii="Arial" w:hAnsi="Arial" w:cs="Arial"/>
          <w:vertAlign w:val="subscript"/>
        </w:rPr>
        <w:t>y</w:t>
      </w:r>
      <w:r>
        <w:rPr>
          <w:rFonts w:ascii="Arial" w:hAnsi="Arial" w:cs="Arial"/>
        </w:rPr>
        <w:t xml:space="preserve"> + </w:t>
      </w:r>
      <w:proofErr w:type="spellStart"/>
      <w:r>
        <w:rPr>
          <w:rFonts w:ascii="Arial" w:hAnsi="Arial" w:cs="Arial"/>
        </w:rPr>
        <w:t>resid</w:t>
      </w:r>
      <w:r>
        <w:rPr>
          <w:rFonts w:ascii="Arial" w:hAnsi="Arial" w:cs="Arial"/>
          <w:vertAlign w:val="subscript"/>
        </w:rPr>
        <w:t>y</w:t>
      </w:r>
      <w:proofErr w:type="spellEnd"/>
      <w:r>
        <w:rPr>
          <w:rFonts w:ascii="Arial" w:hAnsi="Arial" w:cs="Arial"/>
        </w:rPr>
        <w:t xml:space="preserve">, then </w:t>
      </w:r>
      <w:proofErr w:type="spellStart"/>
      <w:r>
        <w:rPr>
          <w:rFonts w:ascii="Arial" w:hAnsi="Arial" w:cs="Arial"/>
        </w:rPr>
        <w:t>P</w:t>
      </w:r>
      <w:r>
        <w:rPr>
          <w:rFonts w:ascii="Arial" w:hAnsi="Arial" w:cs="Arial"/>
          <w:vertAlign w:val="subscript"/>
        </w:rPr>
        <w:t>daily</w:t>
      </w:r>
      <w:proofErr w:type="spellEnd"/>
      <w:r>
        <w:rPr>
          <w:rFonts w:ascii="Arial" w:hAnsi="Arial" w:cs="Arial"/>
        </w:rPr>
        <w:t xml:space="preserve"> = P/T</w:t>
      </w:r>
      <w:r>
        <w:rPr>
          <w:rFonts w:ascii="Arial" w:hAnsi="Arial" w:cs="Arial"/>
          <w:vertAlign w:val="subscript"/>
        </w:rPr>
        <w:t>y</w:t>
      </w:r>
      <w:r>
        <w:rPr>
          <w:rFonts w:ascii="Arial" w:hAnsi="Arial" w:cs="Arial"/>
        </w:rPr>
        <w:t xml:space="preserve"> * T, and </w:t>
      </w:r>
    </w:p>
    <w:p w14:paraId="2CFFE279" w14:textId="77777777" w:rsidR="009B75F8" w:rsidRPr="006B21EA" w:rsidRDefault="009B75F8" w:rsidP="009B75F8">
      <w:pPr>
        <w:rPr>
          <w:rFonts w:ascii="Arial" w:hAnsi="Arial" w:cs="Arial"/>
        </w:rPr>
      </w:pPr>
      <w:proofErr w:type="spellStart"/>
      <w:r>
        <w:rPr>
          <w:rFonts w:ascii="Arial" w:hAnsi="Arial" w:cs="Arial"/>
        </w:rPr>
        <w:t>P</w:t>
      </w:r>
      <w:r>
        <w:rPr>
          <w:rFonts w:ascii="Arial" w:hAnsi="Arial" w:cs="Arial"/>
          <w:vertAlign w:val="subscript"/>
        </w:rPr>
        <w:t>annual</w:t>
      </w:r>
      <w:proofErr w:type="spellEnd"/>
      <w:r>
        <w:rPr>
          <w:rFonts w:ascii="Arial" w:hAnsi="Arial" w:cs="Arial"/>
        </w:rPr>
        <w:t xml:space="preserve"> = </w:t>
      </w:r>
      <w:proofErr w:type="spellStart"/>
      <w:r>
        <w:rPr>
          <w:rFonts w:ascii="Arial" w:hAnsi="Arial" w:cs="Arial"/>
        </w:rPr>
        <w:t>P</w:t>
      </w:r>
      <w:r>
        <w:rPr>
          <w:rFonts w:ascii="Arial" w:hAnsi="Arial" w:cs="Arial"/>
          <w:vertAlign w:val="subscript"/>
        </w:rPr>
        <w:t>daily</w:t>
      </w:r>
      <w:proofErr w:type="spellEnd"/>
      <w:r>
        <w:rPr>
          <w:rFonts w:ascii="Arial" w:hAnsi="Arial" w:cs="Arial"/>
        </w:rPr>
        <w:t xml:space="preserve"> * 365.25. </w:t>
      </w:r>
    </w:p>
    <w:p w14:paraId="6F9FF98C" w14:textId="77777777" w:rsidR="0041002A" w:rsidRPr="006B21EA" w:rsidRDefault="009B75F8" w:rsidP="009B75F8">
      <w:pPr>
        <w:rPr>
          <w:rFonts w:ascii="Arial" w:hAnsi="Arial" w:cs="Arial"/>
        </w:rPr>
      </w:pPr>
      <w:r>
        <w:rPr>
          <w:rFonts w:ascii="Arial" w:hAnsi="Arial" w:cs="Arial"/>
        </w:rPr>
        <w:t xml:space="preserve">Outputs are stored as CSV (e.g., p_reconstruction.csv) with age, </w:t>
      </w:r>
      <w:proofErr w:type="spellStart"/>
      <w:r>
        <w:rPr>
          <w:rFonts w:ascii="Arial" w:hAnsi="Arial" w:cs="Arial"/>
        </w:rPr>
        <w:t>P</w:t>
      </w:r>
      <w:r>
        <w:rPr>
          <w:rFonts w:ascii="Arial" w:hAnsi="Arial" w:cs="Arial"/>
          <w:vertAlign w:val="subscript"/>
        </w:rPr>
        <w:t>med</w:t>
      </w:r>
      <w:proofErr w:type="spellEnd"/>
      <w:r>
        <w:rPr>
          <w:rFonts w:ascii="Arial" w:hAnsi="Arial" w:cs="Arial"/>
        </w:rPr>
        <w:t>, P</w:t>
      </w:r>
      <w:r>
        <w:rPr>
          <w:rFonts w:ascii="Arial" w:hAnsi="Arial" w:cs="Arial"/>
          <w:vertAlign w:val="subscript"/>
        </w:rPr>
        <w:t>pc25</w:t>
      </w:r>
      <w:r>
        <w:rPr>
          <w:rFonts w:ascii="Arial" w:hAnsi="Arial" w:cs="Arial"/>
        </w:rPr>
        <w:t>, P</w:t>
      </w:r>
      <w:r>
        <w:rPr>
          <w:rFonts w:ascii="Arial" w:hAnsi="Arial" w:cs="Arial"/>
          <w:vertAlign w:val="subscript"/>
        </w:rPr>
        <w:t>pc75</w:t>
      </w:r>
      <w:r>
        <w:rPr>
          <w:rFonts w:ascii="Arial" w:hAnsi="Arial" w:cs="Arial"/>
        </w:rPr>
        <w:t>.</w:t>
      </w:r>
    </w:p>
    <w:p w14:paraId="67355589" w14:textId="77777777" w:rsidR="009B75F8" w:rsidRPr="006B21EA" w:rsidRDefault="009B75F8" w:rsidP="009B75F8">
      <w:pPr>
        <w:rPr>
          <w:rFonts w:ascii="Arial" w:hAnsi="Arial" w:cs="Arial"/>
        </w:rPr>
      </w:pPr>
      <w:r>
        <w:rPr>
          <w:rFonts w:ascii="Arial" w:hAnsi="Arial" w:cs="Arial"/>
        </w:rPr>
        <w:t xml:space="preserve">The full implementation, including Monte Carlo sampling and interpolation, is provided in </w:t>
      </w:r>
      <w:proofErr w:type="spellStart"/>
      <w:r>
        <w:rPr>
          <w:rFonts w:ascii="Arial" w:hAnsi="Arial" w:cs="Arial"/>
        </w:rPr>
        <w:t>P_quantification_Holocene.ipynb</w:t>
      </w:r>
      <w:proofErr w:type="spellEnd"/>
      <w:r>
        <w:rPr>
          <w:rFonts w:ascii="Arial" w:hAnsi="Arial" w:cs="Arial"/>
        </w:rPr>
        <w:t xml:space="preserve"> in the repository.</w:t>
      </w:r>
    </w:p>
    <w:p w14:paraId="4119CC03" w14:textId="2A88EEFE" w:rsidR="00F51F47" w:rsidRPr="006B21EA" w:rsidRDefault="00F51F47" w:rsidP="007E3B54">
      <w:pPr>
        <w:rPr>
          <w:rFonts w:ascii="Arial" w:hAnsi="Arial" w:cs="Arial"/>
        </w:rPr>
      </w:pPr>
    </w:p>
    <w:p w14:paraId="15B46E07" w14:textId="77777777" w:rsidR="007957D5" w:rsidRPr="006B21EA" w:rsidRDefault="007957D5" w:rsidP="007957D5">
      <w:pPr>
        <w:rPr>
          <w:rFonts w:ascii="Arial" w:hAnsi="Arial" w:cs="Arial"/>
        </w:rPr>
      </w:pPr>
      <w:r>
        <w:rPr>
          <w:rFonts w:ascii="Arial" w:hAnsi="Arial" w:cs="Arial"/>
          <w:b/>
          <w:bCs/>
        </w:rPr>
        <w:t>Supplementary Methods 6: Recurrence Quantification Analysis</w:t>
      </w:r>
      <w:r>
        <w:rPr>
          <w:rFonts w:ascii="Arial" w:hAnsi="Arial" w:cs="Arial"/>
        </w:rPr>
        <w:t xml:space="preserve"> </w:t>
      </w:r>
    </w:p>
    <w:p w14:paraId="45EDBB57" w14:textId="681EB1F4" w:rsidR="00B57EAC" w:rsidRPr="006B21EA" w:rsidRDefault="008E2BBC" w:rsidP="00B57EAC">
      <w:pPr>
        <w:rPr>
          <w:rFonts w:ascii="Arial" w:hAnsi="Arial" w:cs="Arial"/>
          <w:i/>
          <w:iCs/>
        </w:rPr>
      </w:pPr>
      <w:r>
        <w:rPr>
          <w:rFonts w:ascii="Arial" w:hAnsi="Arial" w:cs="Arial"/>
          <w:i/>
          <w:iCs/>
        </w:rPr>
        <w:t>S6.1 Conceptual approach</w:t>
      </w:r>
    </w:p>
    <w:p w14:paraId="4C38C64E" w14:textId="77777777" w:rsidR="00B57EAC" w:rsidRPr="006B21EA" w:rsidRDefault="00B57EAC" w:rsidP="00B57EAC">
      <w:pPr>
        <w:rPr>
          <w:rFonts w:ascii="Arial" w:hAnsi="Arial" w:cs="Arial"/>
        </w:rPr>
      </w:pPr>
      <w:r>
        <w:rPr>
          <w:rFonts w:ascii="Arial" w:hAnsi="Arial" w:cs="Arial"/>
        </w:rPr>
        <w:t xml:space="preserve">Recurrence Quantification Analysis (RQA) characterises the recurrence structure of dynamical systems from time series data. Here, RQA is applied to two proxy records from stalagmite HS4: the oxygen isotope (δ¹⁸O) series from Hu </w:t>
      </w:r>
      <w:r>
        <w:rPr>
          <w:rFonts w:ascii="Arial" w:hAnsi="Arial" w:cs="Arial"/>
          <w:i/>
          <w:iCs/>
        </w:rPr>
        <w:t>et al</w:t>
      </w:r>
      <w:r>
        <w:rPr>
          <w:rFonts w:ascii="Arial" w:hAnsi="Arial" w:cs="Arial"/>
        </w:rPr>
        <w:t>.</w:t>
      </w:r>
      <w:r>
        <w:rPr>
          <w:rFonts w:ascii="Arial" w:hAnsi="Arial" w:cs="Arial"/>
          <w:vertAlign w:val="superscript"/>
        </w:rPr>
        <w:t>2</w:t>
      </w:r>
      <w:r>
        <w:rPr>
          <w:rFonts w:ascii="Arial" w:hAnsi="Arial" w:cs="Arial"/>
        </w:rPr>
        <w:t xml:space="preserve"> and the drip rate series derived from our kinetic proxy (based on trace metals Co and Ni). By examining repeating patterns in these records, RQA helps identify stable climate periods, abrupt changes, or transitions in the East Asian Summer Monsoon (EASM) over the Holocene. This approach reveals the underlying dynamics of the climate system, such as whether monsoon rainfall followed regular cycles or experienced sudden disruptions, providing insights into past climate stability and variability.</w:t>
      </w:r>
    </w:p>
    <w:p w14:paraId="391C860A" w14:textId="6C7811A8" w:rsidR="00B57EAC" w:rsidRPr="006B21EA" w:rsidRDefault="008E2BBC" w:rsidP="00B57EAC">
      <w:pPr>
        <w:rPr>
          <w:rFonts w:ascii="Arial" w:hAnsi="Arial" w:cs="Arial"/>
          <w:i/>
          <w:iCs/>
        </w:rPr>
      </w:pPr>
      <w:r>
        <w:rPr>
          <w:rFonts w:ascii="Arial" w:hAnsi="Arial" w:cs="Arial"/>
          <w:i/>
          <w:iCs/>
        </w:rPr>
        <w:t>S6.2 Methodology</w:t>
      </w:r>
    </w:p>
    <w:p w14:paraId="164EF019" w14:textId="77777777" w:rsidR="00B57EAC" w:rsidRPr="006B21EA" w:rsidRDefault="00B57EAC" w:rsidP="00B57EAC">
      <w:pPr>
        <w:rPr>
          <w:rFonts w:ascii="Arial" w:hAnsi="Arial" w:cs="Arial"/>
        </w:rPr>
      </w:pPr>
      <w:r>
        <w:rPr>
          <w:rFonts w:ascii="Arial" w:hAnsi="Arial" w:cs="Arial"/>
        </w:rPr>
        <w:t>The δ¹⁸O and drip rate time series were normalised and embedded in phase space using a time delay τ = 1 and embedding dimension m = 5, both estimated globally from each proxy's full median time series via the average mutual information function</w:t>
      </w:r>
      <w:r>
        <w:rPr>
          <w:rFonts w:ascii="Arial" w:hAnsi="Arial" w:cs="Arial"/>
          <w:vertAlign w:val="superscript"/>
        </w:rPr>
        <w:t>3</w:t>
      </w:r>
      <w:r>
        <w:rPr>
          <w:rFonts w:ascii="Arial" w:hAnsi="Arial" w:cs="Arial"/>
        </w:rPr>
        <w:t xml:space="preserve"> and Cao’s method</w:t>
      </w:r>
      <w:r>
        <w:rPr>
          <w:rFonts w:ascii="Arial" w:hAnsi="Arial" w:cs="Arial"/>
          <w:vertAlign w:val="superscript"/>
        </w:rPr>
        <w:t>4</w:t>
      </w:r>
      <w:r>
        <w:rPr>
          <w:rFonts w:ascii="Arial" w:hAnsi="Arial" w:cs="Arial"/>
        </w:rPr>
        <w:t xml:space="preserve">, respectively. A recurrence threshold was set by fixing the recurrence rate at RR = 0.05 </w:t>
      </w:r>
      <w:r>
        <w:rPr>
          <w:rFonts w:ascii="Arial" w:hAnsi="Arial" w:cs="Arial"/>
          <w:vertAlign w:val="superscript"/>
        </w:rPr>
        <w:t>5</w:t>
      </w:r>
      <w:r>
        <w:rPr>
          <w:rFonts w:ascii="Arial" w:hAnsi="Arial" w:cs="Arial"/>
        </w:rPr>
        <w:t xml:space="preserve">, ensuring comparability across windows independent of signal amplitude. A Theiler window of w = τ(m−1) = 4 excluded autocorrelated neighbours along the line of identity </w:t>
      </w:r>
      <w:r>
        <w:rPr>
          <w:rFonts w:ascii="Arial" w:hAnsi="Arial" w:cs="Arial"/>
          <w:vertAlign w:val="superscript"/>
        </w:rPr>
        <w:t>6</w:t>
      </w:r>
      <w:r>
        <w:rPr>
          <w:rFonts w:ascii="Arial" w:hAnsi="Arial" w:cs="Arial"/>
        </w:rPr>
        <w:t xml:space="preserve">. Two metrics were derived: Determinism (DET), measuring the fraction of recurrence points on diagonal lines of length ≥ 2; and Transitivity (TRANS), the recurrence network clustering coefficient </w:t>
      </w:r>
      <w:r>
        <w:rPr>
          <w:rFonts w:ascii="Arial" w:hAnsi="Arial" w:cs="Arial"/>
          <w:vertAlign w:val="superscript"/>
        </w:rPr>
        <w:t>7</w:t>
      </w:r>
      <w:r>
        <w:rPr>
          <w:rFonts w:ascii="Arial" w:hAnsi="Arial" w:cs="Arial"/>
        </w:rPr>
        <w:t xml:space="preserve">. RQA was computed in a sliding window of 100 points (step 5 points) over 1,000 Monte Carlo proxy </w:t>
      </w:r>
      <w:proofErr w:type="gramStart"/>
      <w:r>
        <w:rPr>
          <w:rFonts w:ascii="Arial" w:hAnsi="Arial" w:cs="Arial"/>
        </w:rPr>
        <w:t>realisations;</w:t>
      </w:r>
      <w:proofErr w:type="gramEnd"/>
      <w:r>
        <w:rPr>
          <w:rFonts w:ascii="Arial" w:hAnsi="Arial" w:cs="Arial"/>
        </w:rPr>
        <w:t xml:space="preserve"> ensemble medians and 5th/95th percentile </w:t>
      </w:r>
      <w:r>
        <w:rPr>
          <w:rFonts w:ascii="Arial" w:hAnsi="Arial" w:cs="Arial"/>
        </w:rPr>
        <w:lastRenderedPageBreak/>
        <w:t>envelopes are reported. Gaussian smoothing (σ = 2 window steps) was applied to ensemble statistics for display.</w:t>
      </w:r>
    </w:p>
    <w:p w14:paraId="441FCAEF" w14:textId="77777777" w:rsidR="008E2BBC" w:rsidRDefault="008E2BBC" w:rsidP="00B57EAC">
      <w:pPr>
        <w:rPr>
          <w:rFonts w:ascii="Arial" w:hAnsi="Arial" w:cs="Arial"/>
        </w:rPr>
      </w:pPr>
      <w:r>
        <w:rPr>
          <w:rFonts w:ascii="Arial" w:hAnsi="Arial" w:cs="Arial"/>
          <w:i/>
          <w:iCs/>
        </w:rPr>
        <w:t>S6.3 Determinism (DET)</w:t>
      </w:r>
      <w:r>
        <w:rPr>
          <w:rFonts w:ascii="Arial" w:hAnsi="Arial" w:cs="Arial"/>
        </w:rPr>
        <w:t xml:space="preserve"> </w:t>
      </w:r>
    </w:p>
    <w:p w14:paraId="6D5DA6FA" w14:textId="7EC419D4" w:rsidR="00B57EAC" w:rsidRPr="006B21EA" w:rsidRDefault="00B57EAC" w:rsidP="00B57EAC">
      <w:pPr>
        <w:rPr>
          <w:rFonts w:ascii="Arial" w:hAnsi="Arial" w:cs="Arial"/>
        </w:rPr>
      </w:pPr>
      <w:r>
        <w:rPr>
          <w:rFonts w:ascii="Arial" w:hAnsi="Arial" w:cs="Arial"/>
        </w:rPr>
        <w:t xml:space="preserve">This measures the fraction of recurring points that form diagonal lines of two or more points in the recurrence plot, relative to all recurring points (excluding the main diagonal). DET indicates how predictable the climate system is. High DET values (close to 1) suggest stable, repeating climate patterns, such as consistent monsoon rainfall cycles driven by predictable forcings like orbital changes. Low DET values (close to 0) indicate irregular or chaotic climate behaviour, often linked to abrupt events like droughts or monsoon </w:t>
      </w:r>
      <w:proofErr w:type="spellStart"/>
      <w:r>
        <w:rPr>
          <w:rFonts w:ascii="Arial" w:hAnsi="Arial" w:cs="Arial"/>
        </w:rPr>
        <w:t>weakenings</w:t>
      </w:r>
      <w:proofErr w:type="spellEnd"/>
      <w:r>
        <w:rPr>
          <w:rFonts w:ascii="Arial" w:hAnsi="Arial" w:cs="Arial"/>
        </w:rPr>
        <w:t>, such as the 5.2 ka aridity pulse.</w:t>
      </w:r>
    </w:p>
    <w:p w14:paraId="5FE69A33" w14:textId="77777777" w:rsidR="008E2BBC" w:rsidRDefault="008E2BBC" w:rsidP="00B57EAC">
      <w:pPr>
        <w:rPr>
          <w:rFonts w:ascii="Arial" w:hAnsi="Arial" w:cs="Arial"/>
        </w:rPr>
      </w:pPr>
      <w:r>
        <w:rPr>
          <w:rFonts w:ascii="Arial" w:hAnsi="Arial" w:cs="Arial"/>
          <w:i/>
          <w:iCs/>
        </w:rPr>
        <w:t>S6.4 Transitivity (TRANS)</w:t>
      </w:r>
      <w:r>
        <w:rPr>
          <w:rFonts w:ascii="Arial" w:hAnsi="Arial" w:cs="Arial"/>
        </w:rPr>
        <w:t xml:space="preserve"> </w:t>
      </w:r>
    </w:p>
    <w:p w14:paraId="3CDBB1FE" w14:textId="0A46F9B7" w:rsidR="00B57EAC" w:rsidRPr="006B21EA" w:rsidRDefault="00B57EAC" w:rsidP="00B57EAC">
      <w:pPr>
        <w:rPr>
          <w:rFonts w:ascii="Arial" w:hAnsi="Arial" w:cs="Arial"/>
        </w:rPr>
      </w:pPr>
      <w:r>
        <w:rPr>
          <w:rFonts w:ascii="Arial" w:hAnsi="Arial" w:cs="Arial"/>
        </w:rPr>
        <w:t>This measures the connectedness of recurring climate states, calculated as three times the number of triangle shapes formed by connected points in the recurrence plot, divided by the total number of point triplets. In paleoclimate terms, TRANS reflects how tightly linked climate states are over time. High TRANS values indicate a climate system with strong, consistent connections, such as stable monsoon dynamics. Low TRANS values suggest fragmented or rapidly shifting climate states, often associated with disruptions like volcanic events or teleconnections affecting monsoon intensity.</w:t>
      </w:r>
    </w:p>
    <w:p w14:paraId="534829C6" w14:textId="77777777" w:rsidR="00B57EAC" w:rsidRDefault="00B57EAC" w:rsidP="00E813E5">
      <w:pPr>
        <w:rPr>
          <w:rFonts w:ascii="Arial" w:hAnsi="Arial" w:cs="Arial"/>
        </w:rPr>
      </w:pPr>
      <w:r>
        <w:rPr>
          <w:rFonts w:ascii="Arial" w:hAnsi="Arial" w:cs="Arial"/>
        </w:rPr>
        <w:t xml:space="preserve">Dashed vertical lines in Extended Data Fig. </w:t>
      </w:r>
      <w:proofErr w:type="gramStart"/>
      <w:r>
        <w:rPr>
          <w:rFonts w:ascii="Arial" w:hAnsi="Arial" w:cs="Arial"/>
        </w:rPr>
        <w:t>2 mark</w:t>
      </w:r>
      <w:proofErr w:type="gramEnd"/>
      <w:r>
        <w:rPr>
          <w:rFonts w:ascii="Arial" w:hAnsi="Arial" w:cs="Arial"/>
        </w:rPr>
        <w:t xml:space="preserve"> positive TRANS excursions above 0.5 in the drip rate record, placed at the peak age within each excursion. A dotted horizontal line shows the ensemble mean TRANS for reference. DET remains persistently elevated (~0.75) throughout both proxy records, reflecting stable orbital-scale forcing. Positive TRANS excursions — most prominently at ~5.2 ka — are absent from the δ¹⁸O record, confirming a dynamical signature specific to the directly hydrological kinetic proxy. The full ensemble RQA metrics (DET and TRANS with 5th–95th percentile uncertainty envelopes) and normalised probability density functions for both proxy records are presented in Extended Data Fig. 2.</w:t>
      </w:r>
    </w:p>
    <w:p w14:paraId="6023668F" w14:textId="77777777" w:rsidR="00654855" w:rsidRDefault="00654855" w:rsidP="00E813E5">
      <w:pPr>
        <w:rPr>
          <w:rFonts w:ascii="Arial" w:hAnsi="Arial" w:cs="Arial"/>
        </w:rPr>
      </w:pPr>
    </w:p>
    <w:p w14:paraId="48DF8E69" w14:textId="77777777" w:rsidR="00654855" w:rsidRDefault="00654855" w:rsidP="00E813E5">
      <w:pPr>
        <w:rPr>
          <w:rFonts w:ascii="Arial" w:hAnsi="Arial" w:cs="Arial"/>
        </w:rPr>
      </w:pPr>
    </w:p>
    <w:p w14:paraId="6A5999D5" w14:textId="77777777" w:rsidR="00654855" w:rsidRDefault="00654855" w:rsidP="00E813E5">
      <w:pPr>
        <w:rPr>
          <w:rFonts w:ascii="Arial" w:hAnsi="Arial" w:cs="Arial"/>
        </w:rPr>
      </w:pPr>
    </w:p>
    <w:p w14:paraId="7311E0E2" w14:textId="77777777" w:rsidR="00654855" w:rsidRDefault="00654855" w:rsidP="00E813E5">
      <w:pPr>
        <w:rPr>
          <w:rFonts w:ascii="Arial" w:hAnsi="Arial" w:cs="Arial"/>
        </w:rPr>
      </w:pPr>
    </w:p>
    <w:p w14:paraId="1AF20E4B" w14:textId="77777777" w:rsidR="00654855" w:rsidRDefault="00654855" w:rsidP="00E813E5">
      <w:pPr>
        <w:rPr>
          <w:rFonts w:ascii="Arial" w:hAnsi="Arial" w:cs="Arial"/>
        </w:rPr>
      </w:pPr>
    </w:p>
    <w:p w14:paraId="50BDC348" w14:textId="77777777" w:rsidR="00654855" w:rsidRDefault="00654855" w:rsidP="00E813E5">
      <w:pPr>
        <w:rPr>
          <w:rFonts w:ascii="Arial" w:hAnsi="Arial" w:cs="Arial"/>
        </w:rPr>
      </w:pPr>
    </w:p>
    <w:p w14:paraId="70383713" w14:textId="6982A472" w:rsidR="00654855" w:rsidRDefault="00654855" w:rsidP="00E813E5">
      <w:pPr>
        <w:rPr>
          <w:rFonts w:ascii="Arial" w:hAnsi="Arial" w:cs="Arial"/>
        </w:rPr>
      </w:pPr>
    </w:p>
    <w:p w14:paraId="03A00002" w14:textId="03A00002" w:rsidR="00E813E5" w:rsidRDefault="00E813E5" w:rsidP="00E813E5">
      <w:pPr>
        <w:rPr>
          <w:rFonts w:ascii="Arial" w:hAnsi="Arial" w:cs="Arial"/>
        </w:rPr>
      </w:pPr>
    </w:p>
    <w:p w14:paraId="12777C3B" w14:textId="77777777" w:rsidR="00E813E5" w:rsidRDefault="00E813E5" w:rsidP="00E813E5">
      <w:pPr>
        <w:rPr>
          <w:rFonts w:ascii="Arial" w:hAnsi="Arial" w:cs="Arial"/>
        </w:rPr>
      </w:pPr>
      <w:r>
        <w:rPr>
          <w:rFonts w:ascii="Arial" w:hAnsi="Arial" w:cs="Arial"/>
          <w:noProof/>
        </w:rPr>
        <w:lastRenderedPageBreak/>
        <w:drawing>
          <wp:inline distT="0" distB="0" distL="0" distR="0" wp14:anchorId="477E899E" wp14:editId="14F917CA">
            <wp:extent cx="5731510" cy="2608580"/>
            <wp:effectExtent l="0" t="0" r="2540" b="1270"/>
            <wp:docPr id="230081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081887" name="Picture 230081887"/>
                    <pic:cNvPicPr/>
                  </pic:nvPicPr>
                  <pic:blipFill rotWithShape="1">
                    <a:blip r:embed="rId24" cstate="print">
                      <a:extLst>
                        <a:ext uri="{28A0092B-C50C-407E-A947-70E740481C1C}">
                          <a14:useLocalDpi xmlns:a14="http://schemas.microsoft.com/office/drawing/2010/main" val="0"/>
                        </a:ext>
                      </a:extLst>
                    </a:blip>
                    <a:srcRect t="9276"/>
                    <a:stretch>
                      <a:fillRect/>
                    </a:stretch>
                  </pic:blipFill>
                  <pic:spPr bwMode="auto">
                    <a:xfrm>
                      <a:off x="0" y="0"/>
                      <a:ext cx="5731510" cy="2608580"/>
                    </a:xfrm>
                    <a:prstGeom prst="rect">
                      <a:avLst/>
                    </a:prstGeom>
                    <a:ln>
                      <a:noFill/>
                    </a:ln>
                    <a:extLst>
                      <a:ext uri="{53640926-AAD7-44D8-BBD7-CCE9431645EC}">
                        <a14:shadowObscured xmlns:a14="http://schemas.microsoft.com/office/drawing/2010/main"/>
                      </a:ext>
                    </a:extLst>
                  </pic:spPr>
                </pic:pic>
              </a:graphicData>
            </a:graphic>
          </wp:inline>
        </w:drawing>
      </w:r>
    </w:p>
    <w:p w14:paraId="0CE59B1C" w14:textId="67BC9AD0" w:rsidR="00E813E5" w:rsidRPr="00C75553" w:rsidRDefault="00E813E5" w:rsidP="00E813E5">
      <w:pPr>
        <w:rPr>
          <w:rFonts w:ascii="Arial" w:hAnsi="Arial" w:cs="Arial"/>
          <w:sz w:val="20"/>
          <w:szCs w:val="20"/>
        </w:rPr>
      </w:pPr>
      <w:r>
        <w:rPr>
          <w:rFonts w:ascii="Arial" w:hAnsi="Arial" w:cs="Arial"/>
          <w:b/>
          <w:bCs/>
          <w:sz w:val="20"/>
          <w:szCs w:val="20"/>
        </w:rPr>
        <w:t xml:space="preserve">Supplementary Figure 2 | </w:t>
      </w:r>
      <w:r>
        <w:rPr>
          <w:rFonts w:ascii="Arial" w:hAnsi="Arial" w:cs="Arial"/>
          <w:sz w:val="20"/>
          <w:szCs w:val="20"/>
        </w:rPr>
        <w:t xml:space="preserve">Recurrence plots for the HS4 stalagmite, Heshang Cave. Recurrence matrices are generated from the median series of the </w:t>
      </w:r>
      <w:r>
        <w:rPr>
          <w:rFonts w:ascii="Symbol" w:hAnsi="Symbol" w:cs="Arial"/>
          <w:sz w:val="20"/>
          <w:szCs w:val="20"/>
        </w:rPr>
        <w:t>d</w:t>
      </w:r>
      <w:r>
        <w:rPr>
          <w:rFonts w:ascii="Arial" w:hAnsi="Arial" w:cs="Arial"/>
          <w:sz w:val="20"/>
          <w:szCs w:val="20"/>
          <w:vertAlign w:val="superscript"/>
        </w:rPr>
        <w:t>18</w:t>
      </w:r>
      <w:r>
        <w:rPr>
          <w:rFonts w:ascii="Arial" w:hAnsi="Arial" w:cs="Arial"/>
          <w:sz w:val="20"/>
          <w:szCs w:val="20"/>
        </w:rPr>
        <w:t>O (left panel) and drip rate (right panel) realisations. The plots are constructed using a fixed time delay (</w:t>
      </w:r>
      <w:r>
        <w:rPr>
          <w:rFonts w:ascii="Symbol" w:hAnsi="Symbol" w:cs="Arial"/>
          <w:sz w:val="20"/>
          <w:szCs w:val="20"/>
        </w:rPr>
        <w:t>t</w:t>
      </w:r>
      <w:r>
        <w:rPr>
          <w:rFonts w:ascii="Arial" w:hAnsi="Arial" w:cs="Arial"/>
          <w:sz w:val="20"/>
          <w:szCs w:val="20"/>
        </w:rPr>
        <w:t>) and embedding dimension (m) derived from the full median series, with a target recurrence rate (RR) threshold of 5%. The red dashed lines highlight a specific age marker at 5200 yr BP (5.2 ka). Overall Determinism (DET) and Transitivity (TRANS) values calculated for each complete series are annotated in the top left corner of their respective panels.</w:t>
      </w:r>
    </w:p>
    <w:p w14:paraId="5F7C3313" w14:textId="77777777" w:rsidR="00E813E5" w:rsidRDefault="00E813E5" w:rsidP="00E813E5">
      <w:pPr>
        <w:rPr>
          <w:rFonts w:ascii="Arial" w:hAnsi="Arial" w:cs="Arial"/>
        </w:rPr>
      </w:pPr>
    </w:p>
    <w:p w14:paraId="3AC038B1" w14:textId="77777777" w:rsidR="00651475" w:rsidRPr="006B21EA" w:rsidRDefault="00651475" w:rsidP="00651475">
      <w:pPr>
        <w:rPr>
          <w:rFonts w:ascii="Arial" w:hAnsi="Arial" w:cs="Arial"/>
          <w:b/>
          <w:bCs/>
        </w:rPr>
      </w:pPr>
      <w:r>
        <w:rPr>
          <w:rFonts w:ascii="Arial" w:hAnsi="Arial" w:cs="Arial"/>
          <w:b/>
          <w:bCs/>
        </w:rPr>
        <w:t>Supplementary Methods 7: Statistical Tests for Event Significance and Holocene Stationarity</w:t>
      </w:r>
    </w:p>
    <w:p w14:paraId="7B4BC181" w14:textId="50CB5D6B" w:rsidR="00651475" w:rsidRPr="00E95207" w:rsidRDefault="00E95207" w:rsidP="00651475">
      <w:pPr>
        <w:rPr>
          <w:rFonts w:ascii="Arial" w:hAnsi="Arial" w:cs="Arial"/>
          <w:i/>
          <w:iCs/>
        </w:rPr>
      </w:pPr>
      <w:r>
        <w:rPr>
          <w:rFonts w:ascii="Arial" w:hAnsi="Arial" w:cs="Arial"/>
          <w:i/>
          <w:iCs/>
        </w:rPr>
        <w:t>S7.1 Overview</w:t>
      </w:r>
    </w:p>
    <w:p w14:paraId="244B5E96" w14:textId="77777777" w:rsidR="00651475" w:rsidRPr="006B21EA" w:rsidRDefault="00651475" w:rsidP="00651475">
      <w:pPr>
        <w:rPr>
          <w:rFonts w:ascii="Arial" w:hAnsi="Arial" w:cs="Arial"/>
        </w:rPr>
      </w:pPr>
      <w:r>
        <w:rPr>
          <w:rFonts w:ascii="Arial" w:hAnsi="Arial" w:cs="Arial"/>
        </w:rPr>
        <w:t>Five statistical tests were applied to the HS4 drip rate reconstruction to formalise event significance and assess Holocene stationarity. All tests were performed on 1,000 Monte Carlo age-model realisations (9,551 age points, −51 to 9,499 yr BP) as well as on the full-posterior summary (median, 25th and 75th percentiles). Two-sample tests pool all realisation values within each age window; per-realisation Mann–Whitney U (MWU) tests are additionally run across all 1,000 realisations individually to assess robustness to age-model uncertainty. Effect sizes are reported as rank-biserial r (|r| &gt; 0.3 moderate, &gt; 0.5 large). Bootstrap 95% confidence intervals on the difference in medians (10,000 iterations, subsampled to n = 50,000 per group where pool sizes exceed this threshold) are provided for each comparison. All code is available at the repository listed above (drip_rate_stationarity_tests.py).</w:t>
      </w:r>
    </w:p>
    <w:p w14:paraId="7A78698B" w14:textId="383DBB3B" w:rsidR="00651475" w:rsidRPr="00E95207" w:rsidRDefault="00E95207" w:rsidP="00651475">
      <w:pPr>
        <w:rPr>
          <w:rFonts w:ascii="Arial" w:hAnsi="Arial" w:cs="Arial"/>
          <w:i/>
          <w:iCs/>
        </w:rPr>
      </w:pPr>
      <w:r>
        <w:rPr>
          <w:rFonts w:ascii="Arial" w:hAnsi="Arial" w:cs="Arial"/>
          <w:i/>
          <w:iCs/>
        </w:rPr>
        <w:t>S7.2 Test 1: 5.2 ka Aridity Pulse</w:t>
      </w:r>
    </w:p>
    <w:p w14:paraId="7875FD84" w14:textId="77777777" w:rsidR="00651475" w:rsidRPr="006B21EA" w:rsidRDefault="00651475" w:rsidP="00651475">
      <w:pPr>
        <w:rPr>
          <w:rFonts w:ascii="Arial" w:hAnsi="Arial" w:cs="Arial"/>
        </w:rPr>
      </w:pPr>
      <w:r>
        <w:rPr>
          <w:rFonts w:ascii="Arial" w:hAnsi="Arial" w:cs="Arial"/>
        </w:rPr>
        <w:t>The pre-event background (5,500–6,500 BP; n = 1,001 full-posterior points) has a median of 21.18 drips min</w:t>
      </w:r>
      <w:r>
        <w:rPr>
          <w:rFonts w:ascii="Cambria Math" w:hAnsi="Cambria Math" w:cs="Cambria Math"/>
        </w:rPr>
        <w:t>⁻</w:t>
      </w:r>
      <w:r>
        <w:rPr>
          <w:rFonts w:ascii="Arial" w:hAnsi="Arial" w:cs="Arial"/>
        </w:rPr>
        <w:t>¹ (IQR 19.66–22.41). The event minimum window (4,600–4,700 BP) has a full-posterior IQR of 17.52–19.60 drips min</w:t>
      </w:r>
      <w:r>
        <w:rPr>
          <w:rFonts w:ascii="Cambria Math" w:hAnsi="Cambria Math" w:cs="Cambria Math"/>
        </w:rPr>
        <w:t>⁻</w:t>
      </w:r>
      <w:r>
        <w:rPr>
          <w:rFonts w:ascii="Arial" w:hAnsi="Arial" w:cs="Arial"/>
        </w:rPr>
        <w:t>¹, lying entirely below the background IQR (event p75 is 0.06 drips min</w:t>
      </w:r>
      <w:r>
        <w:rPr>
          <w:rFonts w:ascii="Cambria Math" w:hAnsi="Cambria Math" w:cs="Cambria Math"/>
        </w:rPr>
        <w:t>⁻</w:t>
      </w:r>
      <w:r>
        <w:rPr>
          <w:rFonts w:ascii="Arial" w:hAnsi="Arial" w:cs="Arial"/>
        </w:rPr>
        <w:t xml:space="preserve">¹ below background p25), confirming strong separation without IQR overlap. Pooling all realisation values, </w:t>
      </w:r>
      <w:r>
        <w:rPr>
          <w:rFonts w:ascii="Arial" w:hAnsi="Arial" w:cs="Arial"/>
        </w:rPr>
        <w:lastRenderedPageBreak/>
        <w:t>MWU and KS tests comparing the background (5,500–6,500 BP) with the broader event window (4,500–5,200 BP) yield U = 5.03 × 10</w:t>
      </w:r>
      <w:r>
        <w:rPr>
          <w:rFonts w:ascii="Arial" w:hAnsi="Arial" w:cs="Arial"/>
          <w:vertAlign w:val="superscript"/>
        </w:rPr>
        <w:t>11</w:t>
      </w:r>
      <w:r>
        <w:rPr>
          <w:rFonts w:ascii="Arial" w:hAnsi="Arial" w:cs="Arial"/>
        </w:rPr>
        <w:t>, p &lt; 0.001, KS D = 0.459, p &lt; 0.001, rank-biserial r = −0.434 (moderate-to-large effect), and a bootstrap median difference of −3.02 drips min</w:t>
      </w:r>
      <w:r>
        <w:rPr>
          <w:rFonts w:ascii="Cambria Math" w:hAnsi="Cambria Math" w:cs="Cambria Math"/>
        </w:rPr>
        <w:t>⁻</w:t>
      </w:r>
      <w:r>
        <w:rPr>
          <w:rFonts w:ascii="Arial" w:hAnsi="Arial" w:cs="Arial"/>
        </w:rPr>
        <w:t>¹ (95% CI −3.10 to −2.88). All 1,000 per-realisation MWU tests return p &lt; 0.05 (fraction = 1.00), confirming that the event minimum is robustly below the background across the full age-model ensemble.</w:t>
      </w:r>
    </w:p>
    <w:p w14:paraId="618BB340" w14:textId="1BAA7525" w:rsidR="00651475" w:rsidRPr="00E95207" w:rsidRDefault="00E95207" w:rsidP="00651475">
      <w:pPr>
        <w:rPr>
          <w:rFonts w:ascii="Arial" w:hAnsi="Arial" w:cs="Arial"/>
          <w:i/>
          <w:iCs/>
        </w:rPr>
      </w:pPr>
      <w:r>
        <w:rPr>
          <w:rFonts w:ascii="Arial" w:hAnsi="Arial" w:cs="Arial"/>
          <w:i/>
          <w:iCs/>
        </w:rPr>
        <w:t>S7.3 Test 2: 8.2 ka Anomaly</w:t>
      </w:r>
    </w:p>
    <w:p w14:paraId="476899A8" w14:textId="77777777" w:rsidR="00651475" w:rsidRPr="006B21EA" w:rsidRDefault="00651475" w:rsidP="00651475">
      <w:pPr>
        <w:rPr>
          <w:rFonts w:ascii="Arial" w:hAnsi="Arial" w:cs="Arial"/>
        </w:rPr>
      </w:pPr>
      <w:r>
        <w:rPr>
          <w:rFonts w:ascii="Arial" w:hAnsi="Arial" w:cs="Arial"/>
        </w:rPr>
        <w:t>Contrary to a null expectation of stationarity, the 8.2 ka event window (8,000–8,500 BP) shows a large positive drip-rate anomaly relative to the pre-event reference period (9,000–9,500 BP). The pre-event median is 16.19 drips min</w:t>
      </w:r>
      <w:r>
        <w:rPr>
          <w:rFonts w:ascii="Cambria Math" w:hAnsi="Cambria Math" w:cs="Cambria Math"/>
        </w:rPr>
        <w:t>⁻</w:t>
      </w:r>
      <w:r>
        <w:rPr>
          <w:rFonts w:ascii="Arial" w:hAnsi="Arial" w:cs="Arial"/>
        </w:rPr>
        <w:t>¹ (IQR 15.66–16.63) and the event median is 25.44 drips min</w:t>
      </w:r>
      <w:r>
        <w:rPr>
          <w:rFonts w:ascii="Cambria Math" w:hAnsi="Cambria Math" w:cs="Cambria Math"/>
        </w:rPr>
        <w:t>⁻</w:t>
      </w:r>
      <w:r>
        <w:rPr>
          <w:rFonts w:ascii="Arial" w:hAnsi="Arial" w:cs="Arial"/>
        </w:rPr>
        <w:t>¹ (IQR 24.42–26.41); the full-posterior IQRs are entirely non-overlapping, with a separation of 12.32 drips min</w:t>
      </w:r>
      <w:r>
        <w:rPr>
          <w:rFonts w:ascii="Cambria Math" w:hAnsi="Cambria Math" w:cs="Cambria Math"/>
        </w:rPr>
        <w:t>⁻</w:t>
      </w:r>
      <w:r>
        <w:rPr>
          <w:rFonts w:ascii="Arial" w:hAnsi="Arial" w:cs="Arial"/>
        </w:rPr>
        <w:t>¹ between event p25 and pre-event p75. Pooled MWU and KS tests confirm complete distributional separation (KS D = 1.000, p &lt; 0.001; rank-biserial r = 1.000), with a bootstrap median difference of +9.00 drips min</w:t>
      </w:r>
      <w:r>
        <w:rPr>
          <w:rFonts w:ascii="Cambria Math" w:hAnsi="Cambria Math" w:cs="Cambria Math"/>
        </w:rPr>
        <w:t>⁻</w:t>
      </w:r>
      <w:r>
        <w:rPr>
          <w:rFonts w:ascii="Arial" w:hAnsi="Arial" w:cs="Arial"/>
        </w:rPr>
        <w:t>¹ (95% CI 8.98–9.02). The post-event window (7,500–8,000 BP; median 22.02 drips min</w:t>
      </w:r>
      <w:r>
        <w:rPr>
          <w:rFonts w:ascii="Cambria Math" w:hAnsi="Cambria Math" w:cs="Cambria Math"/>
        </w:rPr>
        <w:t>⁻</w:t>
      </w:r>
      <w:r>
        <w:rPr>
          <w:rFonts w:ascii="Arial" w:hAnsi="Arial" w:cs="Arial"/>
        </w:rPr>
        <w:t>¹) also differs significantly from the event window (KS D = 0.472, p &lt; 0.001; r = 0.545), indicating that drip rates were elevated during and immediately after the canonical 8.2 ka interval relative to both the preceding baseline and subsequent levels. All 1,000 per-realisation MWU tests (pre-event vs. event) return p &lt; 0.05 (fraction = 1.00).</w:t>
      </w:r>
    </w:p>
    <w:p w14:paraId="2A000001" w14:textId="2A000001" w:rsidR="00651475" w:rsidRDefault="00651475" w:rsidP="00651475">
      <w:pPr>
        <w:rPr>
          <w:rFonts w:ascii="Arial" w:hAnsi="Arial" w:cs="Arial"/>
        </w:rPr>
      </w:pPr>
      <w:r>
        <w:rPr>
          <w:rFonts w:ascii="Arial" w:hAnsi="Arial" w:cs="Arial"/>
        </w:rPr>
        <w:t>On the best-estimate (depth-only) chronology using native analytical resolution (n = 82 points in the 7,500–9,500 yr BP range; median spacing 20.8 yr), a local flanking-baseline test yields a non-significant difference: event core (8,100–8,250 yr BP; n = 6, median = 20.67 drips min⁻¹) versus combined pre- and post-event flanks (8,280–8,500 and 7,900–8,100 yr BP; n = 21, median = 21.10 drips min⁻¹), Δ = −0.44 drips min⁻¹ (−2.1%), Mann–Whitney U p = 0.59, rank-biserial r = −0.16. The broader positive anomaly relative to the early-Holocene baseline (8,800–9,300 yr BP) is attributable to the secular insolation-driven trend (0.94 drips min⁻¹ kyr⁻¹, r² = 0.18) rather than an event-specific perturbation.</w:t>
      </w:r>
    </w:p>
    <w:p w14:paraId="12DBA218" w14:textId="605E3A8D" w:rsidR="00651475" w:rsidRPr="00E95207" w:rsidRDefault="00E95207" w:rsidP="00651475">
      <w:pPr>
        <w:rPr>
          <w:rFonts w:ascii="Arial" w:hAnsi="Arial" w:cs="Arial"/>
          <w:i/>
          <w:iCs/>
        </w:rPr>
      </w:pPr>
      <w:r>
        <w:rPr>
          <w:rFonts w:ascii="Arial" w:hAnsi="Arial" w:cs="Arial"/>
          <w:i/>
          <w:iCs/>
        </w:rPr>
        <w:t>S7.4 Test 3: Post-1800 CE Precipitation Surge</w:t>
      </w:r>
    </w:p>
    <w:p w14:paraId="0EE620F4" w14:textId="77777777" w:rsidR="00651475" w:rsidRDefault="00651475" w:rsidP="00651475">
      <w:pPr>
        <w:rPr>
          <w:rFonts w:ascii="Arial" w:hAnsi="Arial" w:cs="Arial"/>
        </w:rPr>
      </w:pPr>
      <w:r>
        <w:rPr>
          <w:rFonts w:ascii="Arial" w:hAnsi="Arial" w:cs="Arial"/>
        </w:rPr>
        <w:t>The late-Holocene baseline (500–2,000 BP) has a median of 12.78 drips min</w:t>
      </w:r>
      <w:r>
        <w:rPr>
          <w:rFonts w:ascii="Cambria Math" w:hAnsi="Cambria Math" w:cs="Cambria Math"/>
        </w:rPr>
        <w:t>⁻</w:t>
      </w:r>
      <w:r>
        <w:rPr>
          <w:rFonts w:ascii="Arial" w:hAnsi="Arial" w:cs="Arial"/>
        </w:rPr>
        <w:t>¹ (IQR 11.74–13.37). The post-1800 CE window (−400 to 50 BP; n = 102 full-posterior points) has a median of 20.39 drips min</w:t>
      </w:r>
      <w:r>
        <w:rPr>
          <w:rFonts w:ascii="Cambria Math" w:hAnsi="Cambria Math" w:cs="Cambria Math"/>
        </w:rPr>
        <w:t>⁻</w:t>
      </w:r>
      <w:r>
        <w:rPr>
          <w:rFonts w:ascii="Arial" w:hAnsi="Arial" w:cs="Arial"/>
        </w:rPr>
        <w:t>¹ and a full-posterior IQR of 8.31–32.56, which overlaps the baseline IQR due to wide uncertainty in the most recent interval. Nonetheless, pooled MWU and KS tests strongly reject the null of equal distributions (KS D = 0.726, p &lt; 0.001; rank-biserial r = 0.599, large effect), with a bootstrap median difference of +7.54 drips min</w:t>
      </w:r>
      <w:r>
        <w:rPr>
          <w:rFonts w:ascii="Cambria Math" w:hAnsi="Cambria Math" w:cs="Cambria Math"/>
        </w:rPr>
        <w:t>⁻</w:t>
      </w:r>
      <w:r>
        <w:rPr>
          <w:rFonts w:ascii="Arial" w:hAnsi="Arial" w:cs="Arial"/>
        </w:rPr>
        <w:t>¹ (95% CI 7.41–7.63). All 1,000 per-realisation MWU tests return p &lt; 0.05 (fraction = 1.00).</w:t>
      </w:r>
    </w:p>
    <w:p w14:paraId="144166E0" w14:textId="77777777" w:rsidR="00212F14" w:rsidRDefault="00212F14" w:rsidP="00651475">
      <w:pPr>
        <w:rPr>
          <w:rFonts w:ascii="Arial" w:hAnsi="Arial" w:cs="Arial"/>
        </w:rPr>
      </w:pPr>
    </w:p>
    <w:p w14:paraId="21625663" w14:textId="77777777" w:rsidR="00212F14" w:rsidRPr="006B21EA" w:rsidRDefault="00212F14" w:rsidP="00651475">
      <w:pPr>
        <w:rPr>
          <w:rFonts w:ascii="Arial" w:hAnsi="Arial" w:cs="Arial"/>
        </w:rPr>
      </w:pPr>
    </w:p>
    <w:p w14:paraId="2D8AE6E4" w14:textId="77642BFF" w:rsidR="00651475" w:rsidRPr="00E95207" w:rsidRDefault="00E95207" w:rsidP="00651475">
      <w:pPr>
        <w:rPr>
          <w:rFonts w:ascii="Arial" w:hAnsi="Arial" w:cs="Arial"/>
          <w:i/>
          <w:iCs/>
        </w:rPr>
      </w:pPr>
      <w:r>
        <w:rPr>
          <w:rFonts w:ascii="Arial" w:hAnsi="Arial" w:cs="Arial"/>
          <w:i/>
          <w:iCs/>
        </w:rPr>
        <w:lastRenderedPageBreak/>
        <w:t>S7.5 Test 4: Long-term Holocene Trend</w:t>
      </w:r>
    </w:p>
    <w:p w14:paraId="44C87FC9" w14:textId="77777777" w:rsidR="00651475" w:rsidRPr="006B21EA" w:rsidRDefault="00651475" w:rsidP="00651475">
      <w:pPr>
        <w:rPr>
          <w:rFonts w:ascii="Arial" w:hAnsi="Arial" w:cs="Arial"/>
        </w:rPr>
      </w:pPr>
      <w:r>
        <w:rPr>
          <w:rFonts w:ascii="Arial" w:hAnsi="Arial" w:cs="Arial"/>
        </w:rPr>
        <w:t>Mann–Kendall trend analysis of the full-posterior median series (n = 9,551; −51 to 9,499 yr BP) yields τ = 0.505, Z = 74.05, p &lt; 0.001, confirming a significant positive trend (older ages = higher drip rates, consistent with Holocene drying). The Theil–Sen median slope is +1.386 drips min</w:t>
      </w:r>
      <w:r>
        <w:rPr>
          <w:rFonts w:ascii="Cambria Math" w:hAnsi="Cambria Math" w:cs="Cambria Math"/>
        </w:rPr>
        <w:t>⁻</w:t>
      </w:r>
      <w:r>
        <w:rPr>
          <w:rFonts w:ascii="Arial" w:hAnsi="Arial" w:cs="Arial"/>
        </w:rPr>
        <w:t>¹ kyr</w:t>
      </w:r>
      <w:r>
        <w:rPr>
          <w:rFonts w:ascii="Cambria Math" w:hAnsi="Cambria Math" w:cs="Cambria Math"/>
        </w:rPr>
        <w:t>⁻</w:t>
      </w:r>
      <w:r>
        <w:rPr>
          <w:rFonts w:ascii="Arial" w:hAnsi="Arial" w:cs="Arial"/>
        </w:rPr>
        <w:t>¹, implying a total decline of 13.24 drips min</w:t>
      </w:r>
      <w:r>
        <w:rPr>
          <w:rFonts w:ascii="Cambria Math" w:hAnsi="Cambria Math" w:cs="Cambria Math"/>
        </w:rPr>
        <w:t>⁻</w:t>
      </w:r>
      <w:r>
        <w:rPr>
          <w:rFonts w:ascii="Arial" w:hAnsi="Arial" w:cs="Arial"/>
        </w:rPr>
        <w:t>¹ over the 9,550-year record. Per-realisation Mann–Kendall tests (n = 1,000 realisations) return a median τ = 0.505 and a median p &lt; 0.001, with 100% of realisations yielding p &lt; 0.05. Early Holocene (5,500–6,500 BP) versus late Holocene (0–2,000 BP) comparison confirms the magnitude: MWU p &lt; 0.001, KS p &lt; 0.001, bootstrap median difference = −8.40 drips min</w:t>
      </w:r>
      <w:r>
        <w:rPr>
          <w:rFonts w:ascii="Cambria Math" w:hAnsi="Cambria Math" w:cs="Cambria Math"/>
        </w:rPr>
        <w:t>⁻</w:t>
      </w:r>
      <w:r>
        <w:rPr>
          <w:rFonts w:ascii="Arial" w:hAnsi="Arial" w:cs="Arial"/>
        </w:rPr>
        <w:t>¹.</w:t>
      </w:r>
    </w:p>
    <w:p w14:paraId="5ADB1C62" w14:textId="7C3C6D43" w:rsidR="00651475" w:rsidRPr="00E95207" w:rsidRDefault="00E95207" w:rsidP="00651475">
      <w:pPr>
        <w:rPr>
          <w:rFonts w:ascii="Arial" w:hAnsi="Arial" w:cs="Arial"/>
          <w:i/>
          <w:iCs/>
        </w:rPr>
      </w:pPr>
      <w:r>
        <w:rPr>
          <w:rFonts w:ascii="Arial" w:hAnsi="Arial" w:cs="Arial"/>
          <w:i/>
          <w:iCs/>
        </w:rPr>
        <w:t>S7.6 Test 5: Augmented Dickey–Fuller Stationarity</w:t>
      </w:r>
    </w:p>
    <w:p w14:paraId="22DCB7B1" w14:textId="77777777" w:rsidR="00651475" w:rsidRPr="006B21EA" w:rsidRDefault="00651475" w:rsidP="00651475">
      <w:pPr>
        <w:rPr>
          <w:rFonts w:ascii="Arial" w:hAnsi="Arial" w:cs="Arial"/>
        </w:rPr>
      </w:pPr>
      <w:r>
        <w:rPr>
          <w:rFonts w:ascii="Arial" w:hAnsi="Arial" w:cs="Arial"/>
        </w:rPr>
        <w:t>An Augmented Dickey–Fuller (ADF) test was applied to the full-posterior median series to assess whether drip rates exhibit a random-walk (stochastic) unit root or are instead trend-stationary. The ADF tests for a unit root null hypothesis; rejection indicates the series does not follow a random walk. Given the orbitally forced Holocene decline evident in both the drip rate and Mann–Kendall results, the series is expected to be trend-stationary rather than difference-stationary. ADF results are reported with lag selection via AIC; critical values at the 1%, 5%, and 10% levels are provided. A p-value &lt; 0.05 supports rejection of the unit-root null, consistent with a trend-stationary series physically expected for an orbitally forced climate record.</w:t>
      </w:r>
    </w:p>
    <w:p w14:paraId="06A00001" w14:textId="06A00001" w:rsidR="00651475" w:rsidRDefault="00651475" w:rsidP="00651475">
      <w:pPr>
        <w:rPr>
          <w:rFonts w:ascii="Arial" w:hAnsi="Arial" w:cs="Arial"/>
          <w:i/>
          <w:iCs/>
        </w:rPr>
      </w:pPr>
      <w:r>
        <w:rPr>
          <w:rFonts w:ascii="Arial" w:hAnsi="Arial" w:cs="Arial"/>
          <w:i/>
          <w:iCs/>
        </w:rPr>
        <w:t>S7.7 Effect of age-model uncertainty on event amplitude</w:t>
      </w:r>
    </w:p>
    <w:p w14:paraId="06A00002" w14:textId="06A00002" w:rsidR="00651475" w:rsidRDefault="00651475" w:rsidP="00651475">
      <w:pPr>
        <w:rPr>
          <w:rFonts w:ascii="Arial" w:hAnsi="Arial" w:cs="Arial"/>
        </w:rPr>
      </w:pPr>
      <w:r>
        <w:rPr>
          <w:rFonts w:ascii="Arial" w:hAnsi="Arial" w:cs="Arial"/>
        </w:rPr>
        <w:t>To assess the degree to which age-model uncertainty attenuates abrupt events in the reconstruction, we re-ran the kinetic proxy inversion without propagating age-model error — that is, using the single best-estimate age–depth function rather than the full 1,000-realisation Monte Carlo ensemble. The resulting record (Extended Data Fig. 3) reveals that the 5.2 ka aridity pulse is far more extreme than the age-propagated reconstruction indicates. Without age smoothing, median drip rates collapse to ~1.7 drips min⁻¹ at 5.134 ka — a 94% reduction from the mid-Holocene mean (26.6 drips min⁻¹) — with an extraordinarily tight interquartile range (1.63–1.71 drips min⁻¹), indicating high model confidence in a near-complete cessation of drip flow. The event is confined to approximately two sampling points (~60 years), with full recovery to ~21 drips min⁻¹ within one additional sample. The ~40% departure reported in the main text (Section 3, Fig. 5) is therefore an age-smoothed lower bound on the true event amplitude: the underlying signal approaches total monsoon failure at this site.</w:t>
      </w:r>
    </w:p>
    <w:p w14:paraId="06A00003" w14:textId="06A00003" w:rsidR="00651475" w:rsidRDefault="00651475" w:rsidP="00651475">
      <w:pPr>
        <w:rPr>
          <w:rFonts w:ascii="Arial" w:hAnsi="Arial" w:cs="Arial"/>
        </w:rPr>
      </w:pPr>
      <w:r>
        <w:rPr>
          <w:rFonts w:ascii="Arial" w:hAnsi="Arial" w:cs="Arial"/>
        </w:rPr>
        <w:t xml:space="preserve">This finding has two implications. First, it substantially widens the discrepancy between observed and modelled event amplitudes: PMIP4 simulations capture only ~10% drying at 6 ka, whereas the underlying proxy signal implies ~94% — an order-of-magnitude mismatch that reinforces the case for missing feedback mechanisms (dust–vegetation, land-surface) in current Earth system models. Second, it </w:t>
      </w:r>
      <w:r>
        <w:rPr>
          <w:rFonts w:ascii="Arial" w:hAnsi="Arial" w:cs="Arial"/>
        </w:rPr>
        <w:lastRenderedPageBreak/>
        <w:t>demonstrates that age-model uncertainty is the dominant smoothing agent for abrupt events in this reconstruction, not proxy insensitivity or model inadequacy. The kinetic proxy itself resolves the event at full amplitude; it is the convolution with age uncertainty that attenuates it. This suggests that paired analyses — with and without age propagation — should be reported routinely for speleothem proxy reconstructions to distinguish genuine signal attenuation from methodological smoothing.</w:t>
      </w:r>
    </w:p>
    <w:p w14:paraId="06A00004" w14:textId="06A00004" w:rsidR="00651475" w:rsidRDefault="00651475" w:rsidP="00651475">
      <w:pPr>
        <w:rPr>
          <w:rFonts w:ascii="Arial" w:hAnsi="Arial" w:cs="Arial"/>
        </w:rPr>
      </w:pPr>
      <w:r>
        <w:rPr>
          <w:rFonts w:ascii="Arial" w:hAnsi="Arial" w:cs="Arial"/>
        </w:rPr>
        <w:t>The 8.2 ka positive anomaly is also amplified without age smoothing, reaching 30.7 drips min⁻¹ (1.4× the pre-event baseline of 21.4 drips min⁻¹), compared with ~25 drips min⁻¹ in the age-propagated version. The post-1800 surge peaks at 38.7 drips min⁻¹ (2.4× the late-Holocene baseline), consistent with the age-propagated result (~2.5×) but with tighter uncertainty bounds.</w:t>
      </w:r>
    </w:p>
    <w:p w14:paraId="06A00005" w14:textId="06A00005" w:rsidR="00651475" w:rsidRDefault="00651475" w:rsidP="00651475">
      <w:pPr>
        <w:rPr>
          <w:rFonts w:ascii="Arial" w:hAnsi="Arial" w:cs="Arial"/>
        </w:rPr>
      </w:pPr>
      <w:r>
        <w:rPr>
          <w:rFonts w:ascii="Arial" w:hAnsi="Arial" w:cs="Arial"/>
        </w:rPr>
        <w:t>A further feature resolved by the no-age-error reconstruction is a sustained drought immediately preceding the post-1800 intensification. Drip rates fell to ~4.5 drips min⁻¹ at approximately 1737 CE (213 yr BP) and remained suppressed (~4.6 drips min⁻¹ at 180 yr BP / ~1770 CE), representing a 72% reduction from the late-Holocene baseline (16.4 drips min⁻¹) sustained across two consecutive sampling points (~60 years). This event coincides with the 1720–1740 severe drought period identified by Zheng et al.</w:t>
      </w:r>
      <w:r>
        <w:rPr>
          <w:rFonts w:ascii="Arial" w:hAnsi="Arial" w:cs="Arial"/>
          <w:vertAlign w:val="superscript"/>
        </w:rPr>
        <w:t>8</w:t>
      </w:r>
      <w:r>
        <w:rPr>
          <w:rFonts w:ascii="Arial" w:hAnsi="Arial" w:cs="Arial"/>
        </w:rPr>
        <w:t xml:space="preserve"> as one of six major drought episodes in the Qing dynasty, and with the extreme 1784–1787 drought that affected Hubei and the middle and lower Yangtze basin (He et al.</w:t>
      </w:r>
      <w:r>
        <w:rPr>
          <w:rFonts w:ascii="Arial" w:hAnsi="Arial" w:cs="Arial"/>
          <w:vertAlign w:val="superscript"/>
        </w:rPr>
        <w:t>9</w:t>
      </w:r>
      <w:r>
        <w:rPr>
          <w:rFonts w:ascii="Arial" w:hAnsi="Arial" w:cs="Arial"/>
        </w:rPr>
        <w:t>; Yin et al.</w:t>
      </w:r>
      <w:r>
        <w:rPr>
          <w:rFonts w:ascii="Arial" w:hAnsi="Arial" w:cs="Arial"/>
          <w:vertAlign w:val="superscript"/>
        </w:rPr>
        <w:t>10</w:t>
      </w:r>
      <w:r>
        <w:rPr>
          <w:rFonts w:ascii="Arial" w:hAnsi="Arial" w:cs="Arial"/>
        </w:rPr>
        <w:t xml:space="preserve">). </w:t>
      </w:r>
      <w:proofErr w:type="spellStart"/>
      <w:r>
        <w:rPr>
          <w:rFonts w:ascii="Arial" w:hAnsi="Arial" w:cs="Arial"/>
        </w:rPr>
        <w:t>Hanjiang</w:t>
      </w:r>
      <w:proofErr w:type="spellEnd"/>
      <w:r>
        <w:rPr>
          <w:rFonts w:ascii="Arial" w:hAnsi="Arial" w:cs="Arial"/>
        </w:rPr>
        <w:t xml:space="preserve"> River Basin reconstructions note a conspicuous absence of extreme flood events during 1750–1810 (Yin et al.</w:t>
      </w:r>
      <w:r>
        <w:rPr>
          <w:rFonts w:ascii="Arial" w:hAnsi="Arial" w:cs="Arial"/>
          <w:vertAlign w:val="superscript"/>
        </w:rPr>
        <w:t>10</w:t>
      </w:r>
      <w:r>
        <w:rPr>
          <w:rFonts w:ascii="Arial" w:hAnsi="Arial" w:cs="Arial"/>
        </w:rPr>
        <w:t>), consistent with the sustained aridity recorded by the kinetic proxy. The recovery from this drought is explosive: drip rates surge to 38.7 drips min⁻¹ (~1803 CE), the highest sustained value in the Holocene record, marking the onset of the post-1800 anthropogenic intensification. The drought-to-surge transition spans a single sampling interval, reinforcing the interpretation that the post-1800 signal is not a gradual orbital or natural recovery but a forced step-change in the hydrological regime (Extended Data Fig. 3C). The full no-age-error reconstruction is shown in Extended Data Fig. 3.</w:t>
      </w:r>
    </w:p>
    <w:p w14:paraId="087FBDD9" w14:textId="77777777" w:rsidR="00651475" w:rsidRPr="006B21EA" w:rsidRDefault="00651475" w:rsidP="00651475">
      <w:pPr>
        <w:rPr>
          <w:rFonts w:ascii="Arial" w:hAnsi="Arial" w:cs="Arial"/>
          <w:b/>
          <w:bCs/>
        </w:rPr>
      </w:pPr>
    </w:p>
    <w:p w14:paraId="27A2D851" w14:textId="77777777" w:rsidR="007957D5" w:rsidRPr="006B21EA" w:rsidRDefault="00232F9B" w:rsidP="000411E1">
      <w:pPr>
        <w:rPr>
          <w:rFonts w:ascii="Arial" w:hAnsi="Arial" w:cs="Arial"/>
          <w:b/>
          <w:bCs/>
        </w:rPr>
      </w:pPr>
      <w:r>
        <w:rPr>
          <w:rFonts w:ascii="Arial" w:hAnsi="Arial" w:cs="Arial"/>
          <w:b/>
          <w:bCs/>
        </w:rPr>
        <w:t>Supplementary Methods 8: Framework for Extension and Verification of the Kinetic Proxy</w:t>
      </w:r>
    </w:p>
    <w:p w14:paraId="2D5174E4" w14:textId="77777777" w:rsidR="00232F9B" w:rsidRPr="006B21EA" w:rsidRDefault="00232F9B" w:rsidP="00232F9B">
      <w:pPr>
        <w:rPr>
          <w:rFonts w:ascii="Arial" w:hAnsi="Arial" w:cs="Arial"/>
        </w:rPr>
      </w:pPr>
      <w:r>
        <w:rPr>
          <w:rFonts w:ascii="Arial" w:hAnsi="Arial" w:cs="Arial"/>
        </w:rPr>
        <w:t>The kinetic proxy framework is extensible to trace elements beyond Co and Ni (e.g., Cu, Zn) through reconstructed drip rates, multi-element Bayesian inference, and stable isotope systems. The following approaches draw on established geochemical techniques for parameter estimation and stable isotope analysis.</w:t>
      </w:r>
    </w:p>
    <w:p w14:paraId="28FE2406" w14:textId="7710788B" w:rsidR="00232F9B" w:rsidRPr="006B21EA" w:rsidRDefault="00E95207" w:rsidP="00232F9B">
      <w:pPr>
        <w:rPr>
          <w:rFonts w:ascii="Arial" w:hAnsi="Arial" w:cs="Arial"/>
          <w:i/>
          <w:iCs/>
        </w:rPr>
      </w:pPr>
      <w:r>
        <w:rPr>
          <w:rFonts w:ascii="Arial" w:hAnsi="Arial" w:cs="Arial"/>
          <w:i/>
          <w:iCs/>
        </w:rPr>
        <w:t>S8.1 Drip Rate Reconstructions for Additional Metals with Unknown Parameters</w:t>
      </w:r>
    </w:p>
    <w:p w14:paraId="38B8C1D0" w14:textId="77777777" w:rsidR="00232F9B" w:rsidRPr="006B21EA" w:rsidRDefault="00232F9B" w:rsidP="00232F9B">
      <w:pPr>
        <w:rPr>
          <w:rFonts w:ascii="Arial" w:hAnsi="Arial" w:cs="Arial"/>
        </w:rPr>
      </w:pPr>
      <w:r>
        <w:rPr>
          <w:rFonts w:ascii="Arial" w:hAnsi="Arial" w:cs="Arial"/>
        </w:rPr>
        <w:t xml:space="preserve">Drip residence times (τ) reconstructed from calibrated metals (e.g., Co or Ni with known dissociation rate distributions </w:t>
      </w:r>
      <w:proofErr w:type="gramStart"/>
      <w:r>
        <w:rPr>
          <w:rFonts w:ascii="Arial" w:hAnsi="Arial" w:cs="Arial"/>
          <w:i/>
          <w:iCs/>
        </w:rPr>
        <w:t>f</w:t>
      </w:r>
      <w:r>
        <w:rPr>
          <w:rFonts w:ascii="Arial" w:hAnsi="Arial" w:cs="Arial"/>
        </w:rPr>
        <w:t>(</w:t>
      </w:r>
      <w:proofErr w:type="gramEnd"/>
      <w:r>
        <w:rPr>
          <w:rFonts w:ascii="Arial" w:hAnsi="Arial" w:cs="Arial"/>
        </w:rPr>
        <w:t xml:space="preserve">ln </w:t>
      </w:r>
      <w:proofErr w:type="spellStart"/>
      <w:r>
        <w:rPr>
          <w:rFonts w:ascii="Arial" w:hAnsi="Arial" w:cs="Arial"/>
          <w:i/>
          <w:iCs/>
        </w:rPr>
        <w:t>k</w:t>
      </w:r>
      <w:r>
        <w:rPr>
          <w:rFonts w:ascii="Arial" w:hAnsi="Arial" w:cs="Arial"/>
          <w:i/>
          <w:iCs/>
          <w:vertAlign w:val="subscript"/>
        </w:rPr>
        <w:t>d</w:t>
      </w:r>
      <w:proofErr w:type="spellEnd"/>
      <w:r>
        <w:rPr>
          <w:rFonts w:ascii="Arial" w:hAnsi="Arial" w:cs="Arial"/>
        </w:rPr>
        <w:t xml:space="preserve">), fast/inert fractions </w:t>
      </w:r>
      <w:proofErr w:type="spellStart"/>
      <w:r>
        <w:rPr>
          <w:rFonts w:ascii="Arial" w:hAnsi="Arial" w:cs="Arial"/>
        </w:rPr>
        <w:t>λ</w:t>
      </w:r>
      <w:r>
        <w:rPr>
          <w:rFonts w:ascii="Arial" w:hAnsi="Arial" w:cs="Arial"/>
          <w:vertAlign w:val="subscript"/>
        </w:rPr>
        <w:t>F</w:t>
      </w:r>
      <w:proofErr w:type="spellEnd"/>
      <w:r>
        <w:rPr>
          <w:rFonts w:ascii="Arial" w:hAnsi="Arial" w:cs="Arial"/>
        </w:rPr>
        <w:t>/</w:t>
      </w:r>
      <w:proofErr w:type="spellStart"/>
      <w:r>
        <w:rPr>
          <w:rFonts w:ascii="Arial" w:hAnsi="Arial" w:cs="Arial"/>
        </w:rPr>
        <w:t>λ</w:t>
      </w:r>
      <w:r>
        <w:rPr>
          <w:rFonts w:ascii="Arial" w:hAnsi="Arial" w:cs="Arial"/>
          <w:vertAlign w:val="subscript"/>
        </w:rPr>
        <w:t>I</w:t>
      </w:r>
      <w:proofErr w:type="spellEnd"/>
      <w:r>
        <w:rPr>
          <w:rFonts w:ascii="Arial" w:hAnsi="Arial" w:cs="Arial"/>
        </w:rPr>
        <w:t xml:space="preserve">, and partition </w:t>
      </w:r>
      <w:r>
        <w:rPr>
          <w:rFonts w:ascii="Arial" w:hAnsi="Arial" w:cs="Arial"/>
        </w:rPr>
        <w:lastRenderedPageBreak/>
        <w:t xml:space="preserve">coefficients </w:t>
      </w:r>
      <w:proofErr w:type="spellStart"/>
      <w:r>
        <w:rPr>
          <w:rFonts w:ascii="Arial" w:hAnsi="Arial" w:cs="Arial"/>
          <w:i/>
          <w:iCs/>
        </w:rPr>
        <w:t>K</w:t>
      </w:r>
      <w:r>
        <w:rPr>
          <w:rFonts w:ascii="Arial" w:hAnsi="Arial" w:cs="Arial"/>
          <w:i/>
          <w:iCs/>
          <w:vertAlign w:val="subscript"/>
        </w:rPr>
        <w:t>p</w:t>
      </w:r>
      <w:proofErr w:type="spellEnd"/>
      <w:r>
        <w:rPr>
          <w:rFonts w:ascii="Arial" w:hAnsi="Arial" w:cs="Arial"/>
        </w:rPr>
        <w:t xml:space="preserve">) can be used to derive parameters for additional metals where </w:t>
      </w:r>
      <w:proofErr w:type="spellStart"/>
      <w:r>
        <w:rPr>
          <w:rFonts w:ascii="Arial" w:hAnsi="Arial" w:cs="Arial"/>
          <w:i/>
          <w:iCs/>
        </w:rPr>
        <w:t>k</w:t>
      </w:r>
      <w:r>
        <w:rPr>
          <w:rFonts w:ascii="Arial" w:hAnsi="Arial" w:cs="Arial"/>
          <w:vertAlign w:val="subscript"/>
        </w:rPr>
        <w:t>d</w:t>
      </w:r>
      <w:proofErr w:type="spellEnd"/>
      <w:r>
        <w:rPr>
          <w:rFonts w:ascii="Arial" w:hAnsi="Arial" w:cs="Arial"/>
        </w:rPr>
        <w:t xml:space="preserve"> or </w:t>
      </w:r>
      <w:proofErr w:type="spellStart"/>
      <w:r>
        <w:rPr>
          <w:rFonts w:ascii="Arial" w:hAnsi="Arial" w:cs="Arial"/>
          <w:i/>
          <w:iCs/>
        </w:rPr>
        <w:t>K</w:t>
      </w:r>
      <w:r>
        <w:rPr>
          <w:rFonts w:ascii="Arial" w:hAnsi="Arial" w:cs="Arial"/>
          <w:vertAlign w:val="subscript"/>
        </w:rPr>
        <w:t>p</w:t>
      </w:r>
      <w:proofErr w:type="spellEnd"/>
      <w:r>
        <w:rPr>
          <w:rFonts w:ascii="Arial" w:hAnsi="Arial" w:cs="Arial"/>
        </w:rPr>
        <w:t xml:space="preserve"> are unknown. Assuming total aqueous concentrations [</w:t>
      </w:r>
      <w:bookmarkStart w:id="1" w:name="_Hlk207266936"/>
      <m:oMath>
        <m:sSubSup>
          <m:sSubSupPr>
            <m:ctrlPr>
              <w:rPr>
                <w:rFonts w:ascii="Cambria Math" w:hAnsi="Cambria Math" w:cs="Arial"/>
                <w:i/>
              </w:rPr>
            </m:ctrlPr>
          </m:sSubSupPr>
          <m:e>
            <m:r>
              <w:rPr>
                <w:rFonts w:ascii="Cambria Math" w:hAnsi="Cambria Math" w:cs="Arial"/>
              </w:rPr>
              <m:t>X</m:t>
            </m:r>
          </m:e>
          <m:sub>
            <m:r>
              <w:rPr>
                <w:rFonts w:ascii="Cambria Math" w:hAnsi="Cambria Math" w:cs="Arial"/>
              </w:rPr>
              <m:t>tot</m:t>
            </m:r>
          </m:sub>
          <m:sup>
            <m:r>
              <w:rPr>
                <w:rFonts w:ascii="Cambria Math" w:hAnsi="Cambria Math" w:cs="Arial"/>
              </w:rPr>
              <m:t>aq</m:t>
            </m:r>
          </m:sup>
        </m:sSubSup>
      </m:oMath>
      <w:r>
        <w:rPr>
          <w:rFonts w:ascii="Arial" w:hAnsi="Arial" w:cs="Arial"/>
        </w:rPr>
        <w:t xml:space="preserve">] </w:t>
      </w:r>
      <w:bookmarkEnd w:id="1"/>
      <w:r>
        <w:rPr>
          <w:rFonts w:ascii="Arial" w:hAnsi="Arial" w:cs="Arial"/>
        </w:rPr>
        <w:t>and [Ca</w:t>
      </w:r>
      <w:r>
        <w:rPr>
          <w:rFonts w:ascii="Arial" w:hAnsi="Arial" w:cs="Arial"/>
          <w:vertAlign w:val="subscript"/>
        </w:rPr>
        <w:t>aq</w:t>
      </w:r>
      <w:r>
        <w:rPr>
          <w:rFonts w:ascii="Arial" w:hAnsi="Arial" w:cs="Arial"/>
        </w:rPr>
        <w:t>] are constrained (e.g., from monitoring), Eq. 13 can be rearranged.</w:t>
      </w:r>
    </w:p>
    <w:p w14:paraId="22F014EB" w14:textId="77777777" w:rsidR="00232F9B" w:rsidRPr="006B21EA" w:rsidRDefault="00232F9B" w:rsidP="00232F9B">
      <w:pPr>
        <w:rPr>
          <w:rFonts w:ascii="Arial" w:hAnsi="Arial" w:cs="Arial"/>
        </w:rPr>
      </w:pPr>
      <w:r>
        <w:rPr>
          <w:rFonts w:ascii="Arial" w:hAnsi="Arial" w:cs="Arial"/>
        </w:rPr>
        <w:t xml:space="preserve">For unknown </w:t>
      </w:r>
      <w:proofErr w:type="spellStart"/>
      <w:r>
        <w:rPr>
          <w:rFonts w:ascii="Arial" w:hAnsi="Arial" w:cs="Arial"/>
          <w:i/>
          <w:iCs/>
        </w:rPr>
        <w:t>K</w:t>
      </w:r>
      <w:r>
        <w:rPr>
          <w:rFonts w:ascii="Arial" w:hAnsi="Arial" w:cs="Arial"/>
          <w:vertAlign w:val="subscript"/>
        </w:rPr>
        <w:t>p</w:t>
      </w:r>
      <w:proofErr w:type="spellEnd"/>
      <w:r>
        <w:rPr>
          <w:rFonts w:ascii="Arial" w:hAnsi="Arial" w:cs="Arial"/>
        </w:rPr>
        <w:t xml:space="preserve"> (assuming </w:t>
      </w:r>
      <w:proofErr w:type="spellStart"/>
      <w:r>
        <w:rPr>
          <w:rFonts w:ascii="Arial" w:hAnsi="Arial" w:cs="Arial"/>
          <w:i/>
          <w:iCs/>
        </w:rPr>
        <w:t>k</w:t>
      </w:r>
      <w:r>
        <w:rPr>
          <w:rFonts w:ascii="Arial" w:hAnsi="Arial" w:cs="Arial"/>
          <w:vertAlign w:val="subscript"/>
        </w:rPr>
        <w:t>d</w:t>
      </w:r>
      <w:proofErr w:type="spellEnd"/>
      <w:r>
        <w:rPr>
          <w:rFonts w:ascii="Arial" w:hAnsi="Arial" w:cs="Arial"/>
        </w:rPr>
        <w:t xml:space="preserve"> distribution known):</w:t>
      </w:r>
    </w:p>
    <w:p w14:paraId="6F5F325E" w14:textId="77777777" w:rsidR="00232F9B" w:rsidRPr="006B21EA" w:rsidRDefault="004A035B" w:rsidP="000411E1">
      <w:pPr>
        <w:rPr>
          <w:rFonts w:ascii="Arial" w:hAnsi="Arial" w:cs="Arial"/>
        </w:rPr>
      </w:pPr>
      <w:r>
        <w:rPr>
          <w:rFonts w:ascii="Arial" w:hAnsi="Arial" w:cs="Arial"/>
          <w:noProof/>
        </w:rPr>
        <w:drawing>
          <wp:inline distT="0" distB="0" distL="0" distR="0" wp14:anchorId="2C37A2F5" wp14:editId="31EFA51E">
            <wp:extent cx="5486411" cy="365761"/>
            <wp:effectExtent l="0" t="0" r="0" b="0"/>
            <wp:docPr id="84284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84747" name="Picture 8428474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86411" cy="365761"/>
                    </a:xfrm>
                    <a:prstGeom prst="rect">
                      <a:avLst/>
                    </a:prstGeom>
                  </pic:spPr>
                </pic:pic>
              </a:graphicData>
            </a:graphic>
          </wp:inline>
        </w:drawing>
      </w:r>
    </w:p>
    <w:p w14:paraId="321C266D" w14:textId="77777777" w:rsidR="00232F9B" w:rsidRPr="006B21EA" w:rsidRDefault="00232F9B" w:rsidP="00232F9B">
      <w:pPr>
        <w:rPr>
          <w:rFonts w:ascii="Arial" w:hAnsi="Arial" w:cs="Arial"/>
        </w:rPr>
      </w:pPr>
      <w:r>
        <w:rPr>
          <w:rFonts w:ascii="Arial" w:hAnsi="Arial" w:cs="Arial"/>
        </w:rPr>
        <w:t>where k is the mean dissociation rate from the log-normal distribution.</w:t>
      </w:r>
    </w:p>
    <w:p w14:paraId="7CFAFB2F" w14:textId="77777777" w:rsidR="00232F9B" w:rsidRPr="006B21EA" w:rsidRDefault="00232F9B" w:rsidP="00232F9B">
      <w:pPr>
        <w:rPr>
          <w:rFonts w:ascii="Arial" w:hAnsi="Arial" w:cs="Arial"/>
        </w:rPr>
      </w:pPr>
      <w:r>
        <w:rPr>
          <w:rFonts w:ascii="Arial" w:hAnsi="Arial" w:cs="Arial"/>
        </w:rPr>
        <w:t xml:space="preserve">For unknown k (mean </w:t>
      </w:r>
      <w:proofErr w:type="spellStart"/>
      <w:r>
        <w:rPr>
          <w:rFonts w:ascii="Arial" w:hAnsi="Arial" w:cs="Arial"/>
          <w:i/>
          <w:iCs/>
        </w:rPr>
        <w:t>k</w:t>
      </w:r>
      <w:r>
        <w:rPr>
          <w:rFonts w:ascii="Arial" w:hAnsi="Arial" w:cs="Arial"/>
          <w:vertAlign w:val="subscript"/>
        </w:rPr>
        <w:t>d</w:t>
      </w:r>
      <w:proofErr w:type="spellEnd"/>
      <w:r>
        <w:rPr>
          <w:rFonts w:ascii="Arial" w:hAnsi="Arial" w:cs="Arial"/>
        </w:rPr>
        <w:t xml:space="preserve">, assuming </w:t>
      </w:r>
      <w:proofErr w:type="spellStart"/>
      <w:r>
        <w:rPr>
          <w:rFonts w:ascii="Arial" w:hAnsi="Arial" w:cs="Arial"/>
          <w:i/>
          <w:iCs/>
        </w:rPr>
        <w:t>K</w:t>
      </w:r>
      <w:r>
        <w:rPr>
          <w:rFonts w:ascii="Arial" w:hAnsi="Arial" w:cs="Arial"/>
          <w:vertAlign w:val="subscript"/>
        </w:rPr>
        <w:t>p</w:t>
      </w:r>
      <w:proofErr w:type="spellEnd"/>
      <w:r>
        <w:rPr>
          <w:rFonts w:ascii="Arial" w:hAnsi="Arial" w:cs="Arial"/>
        </w:rPr>
        <w:t xml:space="preserve"> known):</w:t>
      </w:r>
    </w:p>
    <w:p w14:paraId="4383473D" w14:textId="77777777" w:rsidR="00232F9B" w:rsidRPr="006B21EA" w:rsidRDefault="004A035B" w:rsidP="000411E1">
      <w:pPr>
        <w:rPr>
          <w:rFonts w:ascii="Arial" w:hAnsi="Arial" w:cs="Arial"/>
          <w:b/>
          <w:bCs/>
        </w:rPr>
      </w:pPr>
      <w:r>
        <w:rPr>
          <w:rFonts w:ascii="Arial" w:hAnsi="Arial" w:cs="Arial"/>
          <w:b/>
          <w:bCs/>
          <w:noProof/>
        </w:rPr>
        <w:drawing>
          <wp:inline distT="0" distB="0" distL="0" distR="0" wp14:anchorId="5B49649C" wp14:editId="2954B6A5">
            <wp:extent cx="5486411" cy="365761"/>
            <wp:effectExtent l="0" t="0" r="0" b="0"/>
            <wp:docPr id="805793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793924" name="Picture 80579392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86411" cy="365761"/>
                    </a:xfrm>
                    <a:prstGeom prst="rect">
                      <a:avLst/>
                    </a:prstGeom>
                  </pic:spPr>
                </pic:pic>
              </a:graphicData>
            </a:graphic>
          </wp:inline>
        </w:drawing>
      </w:r>
    </w:p>
    <w:p w14:paraId="1E50D118" w14:textId="77777777" w:rsidR="00232F9B" w:rsidRPr="006B21EA" w:rsidRDefault="00232F9B" w:rsidP="00232F9B">
      <w:pPr>
        <w:rPr>
          <w:rFonts w:ascii="Arial" w:hAnsi="Arial" w:cs="Arial"/>
        </w:rPr>
      </w:pPr>
      <w:r>
        <w:rPr>
          <w:rFonts w:ascii="Arial" w:hAnsi="Arial" w:cs="Arial"/>
        </w:rPr>
        <w:t xml:space="preserve">These enable parameter estimation for elements like Cu or Zn, which form organic complexes with log-normal </w:t>
      </w:r>
      <w:proofErr w:type="spellStart"/>
      <w:r>
        <w:rPr>
          <w:rFonts w:ascii="Arial" w:hAnsi="Arial" w:cs="Arial"/>
          <w:i/>
          <w:iCs/>
        </w:rPr>
        <w:t>k</w:t>
      </w:r>
      <w:r>
        <w:rPr>
          <w:rFonts w:ascii="Arial" w:hAnsi="Arial" w:cs="Arial"/>
          <w:vertAlign w:val="subscript"/>
        </w:rPr>
        <w:t>d</w:t>
      </w:r>
      <w:proofErr w:type="spellEnd"/>
      <w:r>
        <w:rPr>
          <w:rFonts w:ascii="Arial" w:hAnsi="Arial" w:cs="Arial"/>
        </w:rPr>
        <w:t xml:space="preserve"> distributions </w:t>
      </w:r>
      <w:proofErr w:type="gramStart"/>
      <w:r>
        <w:rPr>
          <w:rFonts w:ascii="Arial" w:hAnsi="Arial" w:cs="Arial"/>
        </w:rPr>
        <w:t>similar to</w:t>
      </w:r>
      <w:proofErr w:type="gramEnd"/>
      <w:r>
        <w:rPr>
          <w:rFonts w:ascii="Arial" w:hAnsi="Arial" w:cs="Arial"/>
        </w:rPr>
        <w:t xml:space="preserve"> Co/Ni</w:t>
      </w:r>
      <w:r>
        <w:rPr>
          <w:rFonts w:ascii="Arial" w:hAnsi="Arial" w:cs="Arial"/>
          <w:kern w:val="0"/>
          <w:vertAlign w:val="superscript"/>
        </w:rPr>
        <w:t xml:space="preserve"> </w:t>
      </w:r>
      <w:r>
        <w:rPr>
          <w:rFonts w:ascii="Arial" w:hAnsi="Arial" w:cs="Arial"/>
          <w:vertAlign w:val="superscript"/>
        </w:rPr>
        <w:t>11</w:t>
      </w:r>
      <w:r>
        <w:rPr>
          <w:rFonts w:ascii="Arial" w:hAnsi="Arial" w:cs="Arial"/>
        </w:rPr>
        <w:t xml:space="preserve">. </w:t>
      </w:r>
    </w:p>
    <w:p w14:paraId="1D7248B5" w14:textId="77777777" w:rsidR="00232F9B" w:rsidRPr="006B21EA" w:rsidRDefault="00232F9B" w:rsidP="00232F9B">
      <w:pPr>
        <w:rPr>
          <w:rFonts w:ascii="Arial" w:hAnsi="Arial" w:cs="Arial"/>
        </w:rPr>
      </w:pPr>
      <w:r>
        <w:rPr>
          <w:rFonts w:ascii="Arial" w:hAnsi="Arial" w:cs="Arial"/>
        </w:rPr>
        <w:t>Verification involves comparing derived values against laboratory kinetics measured by competitive ligand exchange (CLE</w:t>
      </w:r>
      <w:r>
        <w:rPr>
          <w:rFonts w:ascii="Arial" w:hAnsi="Arial" w:cs="Arial"/>
          <w:vertAlign w:val="superscript"/>
        </w:rPr>
        <w:t>11</w:t>
      </w:r>
      <w:r>
        <w:rPr>
          <w:rFonts w:ascii="Arial" w:hAnsi="Arial" w:cs="Arial"/>
        </w:rPr>
        <w:t>), CLE-adsorptive cathodic stripping voltammetry (CLE-</w:t>
      </w:r>
      <w:proofErr w:type="spellStart"/>
      <w:r>
        <w:rPr>
          <w:rFonts w:ascii="Arial" w:hAnsi="Arial" w:cs="Arial"/>
        </w:rPr>
        <w:t>AdCSV</w:t>
      </w:r>
      <w:proofErr w:type="spellEnd"/>
      <w:r>
        <w:rPr>
          <w:rFonts w:ascii="Arial" w:hAnsi="Arial" w:cs="Arial"/>
        </w:rPr>
        <w:t>) or diffusive gradients in thin films (DGT). Modern cave monitoring with paired drip rate and multi-element data can test consistency across metals.</w:t>
      </w:r>
    </w:p>
    <w:p w14:paraId="445C0A11" w14:textId="3419EC5C" w:rsidR="00232F9B" w:rsidRPr="006B21EA" w:rsidRDefault="00E95207" w:rsidP="00232F9B">
      <w:pPr>
        <w:rPr>
          <w:rFonts w:ascii="Arial" w:hAnsi="Arial" w:cs="Arial"/>
          <w:i/>
          <w:iCs/>
        </w:rPr>
      </w:pPr>
      <w:r>
        <w:rPr>
          <w:rFonts w:ascii="Arial" w:hAnsi="Arial" w:cs="Arial"/>
          <w:i/>
          <w:iCs/>
        </w:rPr>
        <w:t>S8.2 Constraining Reconstructions via Multi-Element Bayesian Inference</w:t>
      </w:r>
    </w:p>
    <w:p w14:paraId="19FAFE80" w14:textId="77777777" w:rsidR="00232F9B" w:rsidRPr="006B21EA" w:rsidRDefault="00232F9B" w:rsidP="00232F9B">
      <w:pPr>
        <w:rPr>
          <w:rFonts w:ascii="Arial" w:hAnsi="Arial" w:cs="Arial"/>
        </w:rPr>
      </w:pPr>
      <w:r>
        <w:rPr>
          <w:rFonts w:ascii="Arial" w:hAnsi="Arial" w:cs="Arial"/>
        </w:rPr>
        <w:t xml:space="preserve">Incorporating multiple metals refines τ estimates by computing joint posterior probabilities, reducing uncertainty from individual proxies. In the Bayesian inversion (as in drip_rate_util.py), the likelihood becomes the product over </w:t>
      </w:r>
      <w:r>
        <w:rPr>
          <w:rFonts w:ascii="Arial" w:hAnsi="Arial" w:cs="Arial"/>
          <w:i/>
          <w:iCs/>
        </w:rPr>
        <w:t>n</w:t>
      </w:r>
      <w:r>
        <w:rPr>
          <w:rFonts w:ascii="Arial" w:hAnsi="Arial" w:cs="Arial"/>
        </w:rPr>
        <w:t xml:space="preserve"> metals:</w:t>
      </w:r>
    </w:p>
    <w:p w14:paraId="4D02438D" w14:textId="77777777" w:rsidR="00232F9B" w:rsidRPr="006B21EA" w:rsidRDefault="00EB5A15" w:rsidP="00232F9B">
      <w:pPr>
        <w:rPr>
          <w:rFonts w:ascii="Arial" w:hAnsi="Arial" w:cs="Arial"/>
        </w:rPr>
      </w:pPr>
      <w:r>
        <w:rPr>
          <w:rFonts w:ascii="Arial" w:hAnsi="Arial" w:cs="Arial"/>
          <w:noProof/>
        </w:rPr>
        <w:drawing>
          <wp:inline distT="0" distB="0" distL="0" distR="0" wp14:anchorId="36BA03D7" wp14:editId="623EDF52">
            <wp:extent cx="5486411" cy="365761"/>
            <wp:effectExtent l="0" t="0" r="0" b="0"/>
            <wp:docPr id="17165312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31284" name="Picture 1716531284"/>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486411" cy="365761"/>
                    </a:xfrm>
                    <a:prstGeom prst="rect">
                      <a:avLst/>
                    </a:prstGeom>
                  </pic:spPr>
                </pic:pic>
              </a:graphicData>
            </a:graphic>
          </wp:inline>
        </w:drawing>
      </w:r>
    </w:p>
    <w:p w14:paraId="6AE643E6" w14:textId="088673C4" w:rsidR="00232F9B" w:rsidRPr="006B21EA" w:rsidRDefault="00232F9B" w:rsidP="00232F9B">
      <w:pPr>
        <w:rPr>
          <w:rFonts w:ascii="Arial" w:hAnsi="Arial" w:cs="Arial"/>
        </w:rPr>
      </w:pPr>
      <w:r>
        <w:rPr>
          <w:rFonts w:ascii="Arial" w:hAnsi="Arial" w:cs="Arial"/>
        </w:rPr>
        <w:t xml:space="preserve">where </w:t>
      </w:r>
      <w:proofErr w:type="gramStart"/>
      <w:r>
        <w:rPr>
          <w:rFonts w:ascii="Arial" w:hAnsi="Arial" w:cs="Arial"/>
        </w:rPr>
        <w:t>P(</w:t>
      </w:r>
      <w:proofErr w:type="gramEnd"/>
      <w:r>
        <w:rPr>
          <w:rFonts w:ascii="Arial" w:hAnsi="Arial" w:cs="Arial"/>
        </w:rPr>
        <w:t>X</w:t>
      </w:r>
      <w:r>
        <w:rPr>
          <w:rFonts w:ascii="Arial" w:hAnsi="Arial" w:cs="Arial"/>
          <w:vertAlign w:val="subscript"/>
        </w:rPr>
        <w:t>i</w:t>
      </w:r>
      <w:r>
        <w:rPr>
          <w:rFonts w:ascii="Arial" w:hAnsi="Arial" w:cs="Arial"/>
        </w:rPr>
        <w:t xml:space="preserve"> | τ) is Gaussian around predicted [</w:t>
      </w:r>
      <w:proofErr w:type="spellStart"/>
      <w:r>
        <w:rPr>
          <w:rFonts w:ascii="Arial" w:hAnsi="Arial" w:cs="Arial"/>
          <w:i/>
          <w:iCs/>
        </w:rPr>
        <w:t>X</w:t>
      </w:r>
      <w:r>
        <w:rPr>
          <w:rFonts w:ascii="Arial" w:hAnsi="Arial" w:cs="Arial"/>
          <w:vertAlign w:val="subscript"/>
        </w:rPr>
        <w:t>s</w:t>
      </w:r>
      <w:proofErr w:type="spellEnd"/>
      <w:r>
        <w:rPr>
          <w:rFonts w:ascii="Arial" w:hAnsi="Arial" w:cs="Arial"/>
        </w:rPr>
        <w:t xml:space="preserve">] from Eq. 13 for each metal </w:t>
      </w:r>
      <w:proofErr w:type="spellStart"/>
      <w:r>
        <w:rPr>
          <w:rFonts w:ascii="Arial" w:hAnsi="Arial" w:cs="Arial"/>
          <w:i/>
          <w:iCs/>
        </w:rPr>
        <w:t>i</w:t>
      </w:r>
      <w:proofErr w:type="spellEnd"/>
      <w:r>
        <w:rPr>
          <w:rFonts w:ascii="Arial" w:hAnsi="Arial" w:cs="Arial"/>
        </w:rPr>
        <w:t xml:space="preserve">, with priors P(τ) from monitoring or models. This joint approach, implemented in libraries like </w:t>
      </w:r>
      <w:proofErr w:type="spellStart"/>
      <w:r>
        <w:rPr>
          <w:rFonts w:ascii="Arial" w:hAnsi="Arial" w:cs="Arial"/>
        </w:rPr>
        <w:t>PyMC</w:t>
      </w:r>
      <w:proofErr w:type="spellEnd"/>
      <w:r>
        <w:rPr>
          <w:rFonts w:ascii="Arial" w:hAnsi="Arial" w:cs="Arial"/>
        </w:rPr>
        <w:t xml:space="preserve">, leverages complementary </w:t>
      </w:r>
      <w:proofErr w:type="spellStart"/>
      <w:r>
        <w:rPr>
          <w:rFonts w:ascii="Arial" w:hAnsi="Arial" w:cs="Arial"/>
          <w:i/>
          <w:iCs/>
        </w:rPr>
        <w:t>k</w:t>
      </w:r>
      <w:r>
        <w:rPr>
          <w:rFonts w:ascii="Arial" w:hAnsi="Arial" w:cs="Arial"/>
          <w:vertAlign w:val="subscript"/>
        </w:rPr>
        <w:t>d</w:t>
      </w:r>
      <w:proofErr w:type="spellEnd"/>
      <w:r>
        <w:rPr>
          <w:rFonts w:ascii="Arial" w:hAnsi="Arial" w:cs="Arial"/>
        </w:rPr>
        <w:t xml:space="preserve"> ranges (e.g., slower for Cu than Ni;</w:t>
      </w:r>
      <w:r>
        <w:rPr>
          <w:rFonts w:ascii="Arial" w:hAnsi="Arial" w:cs="Arial"/>
          <w:kern w:val="0"/>
          <w:vertAlign w:val="superscript"/>
        </w:rPr>
        <w:t>11</w:t>
      </w:r>
      <w:r>
        <w:rPr>
          <w:rFonts w:ascii="Arial" w:hAnsi="Arial" w:cs="Arial"/>
        </w:rPr>
        <w:t xml:space="preserve">) for robust constraints, as shown in multi-proxy speleothem hydrology studies </w:t>
      </w:r>
      <w:r>
        <w:rPr>
          <w:rFonts w:ascii="Arial" w:hAnsi="Arial" w:cs="Arial"/>
          <w:kern w:val="0"/>
          <w:vertAlign w:val="superscript"/>
        </w:rPr>
        <w:t>12</w:t>
      </w:r>
      <w:r>
        <w:rPr>
          <w:rFonts w:ascii="Arial" w:hAnsi="Arial" w:cs="Arial"/>
        </w:rPr>
        <w:t>.</w:t>
      </w:r>
    </w:p>
    <w:p w14:paraId="1EC7B9EE" w14:textId="5C7D170A" w:rsidR="00232F9B" w:rsidRPr="006B21EA" w:rsidRDefault="00E95207" w:rsidP="00232F9B">
      <w:pPr>
        <w:rPr>
          <w:rFonts w:ascii="Arial" w:hAnsi="Arial" w:cs="Arial"/>
          <w:i/>
          <w:iCs/>
        </w:rPr>
      </w:pPr>
      <w:r>
        <w:rPr>
          <w:rFonts w:ascii="Arial" w:hAnsi="Arial" w:cs="Arial"/>
          <w:i/>
          <w:iCs/>
        </w:rPr>
        <w:t>S8.3 Evaluating Kinetic Isotope Fractionation Using Stable Metal Isotopes</w:t>
      </w:r>
    </w:p>
    <w:p w14:paraId="6F349E2C" w14:textId="77777777" w:rsidR="002F43CF" w:rsidRPr="006B21EA" w:rsidRDefault="002F43CF" w:rsidP="002F43CF">
      <w:pPr>
        <w:rPr>
          <w:rFonts w:ascii="Arial" w:hAnsi="Arial" w:cs="Arial"/>
        </w:rPr>
      </w:pPr>
      <w:r>
        <w:rPr>
          <w:rFonts w:ascii="Arial" w:hAnsi="Arial" w:cs="Arial"/>
        </w:rPr>
        <w:t>Stable isotopes of metals, such as nickel (</w:t>
      </w:r>
      <w:r>
        <w:rPr>
          <w:rFonts w:ascii="Symbol" w:hAnsi="Symbol" w:cs="Arial"/>
        </w:rPr>
        <w:t>d</w:t>
      </w:r>
      <w:r>
        <w:rPr>
          <w:rFonts w:ascii="Arial" w:hAnsi="Arial" w:cs="Arial"/>
          <w:vertAlign w:val="superscript"/>
        </w:rPr>
        <w:t>60</w:t>
      </w:r>
      <w:r>
        <w:rPr>
          <w:rFonts w:ascii="Arial" w:hAnsi="Arial" w:cs="Arial"/>
        </w:rPr>
        <w:t>Ni) or copper (</w:t>
      </w:r>
      <w:r>
        <w:rPr>
          <w:rFonts w:ascii="Symbol" w:hAnsi="Symbol" w:cs="Arial"/>
        </w:rPr>
        <w:t>d</w:t>
      </w:r>
      <w:r>
        <w:rPr>
          <w:rFonts w:ascii="Arial" w:hAnsi="Arial" w:cs="Arial"/>
          <w:vertAlign w:val="superscript"/>
        </w:rPr>
        <w:t>65</w:t>
      </w:r>
      <w:r>
        <w:rPr>
          <w:rFonts w:ascii="Arial" w:hAnsi="Arial" w:cs="Arial"/>
        </w:rPr>
        <w:t>Cu), are suitable targets for the study of non-equilibrium fractionation during the dissociation of organic-metal complexes (OMCs) or incorporation into calcite. Mass-dependent kinetic effects enrich lighter isotopes in the labile (free or loosely bound) pool, influenced by the residence time (</w:t>
      </w:r>
      <w:r>
        <w:rPr>
          <w:rFonts w:ascii="Symbol" w:hAnsi="Symbol" w:cs="Arial"/>
        </w:rPr>
        <w:t>t</w:t>
      </w:r>
      <w:r>
        <w:rPr>
          <w:rFonts w:ascii="Arial" w:hAnsi="Arial" w:cs="Arial"/>
        </w:rPr>
        <w:t>) of dripwater at the stalagmite surface. A simplified model for the isotopic evolution of the labile pool is:</w:t>
      </w:r>
    </w:p>
    <w:p w14:paraId="50A4FF76" w14:textId="77777777" w:rsidR="00D9716D" w:rsidRPr="006B21EA" w:rsidRDefault="002E1D8B" w:rsidP="002F43CF">
      <w:pPr>
        <w:rPr>
          <w:rFonts w:ascii="Arial" w:hAnsi="Arial" w:cs="Arial"/>
        </w:rPr>
      </w:pPr>
      <w:r>
        <w:rPr>
          <w:rFonts w:ascii="Arial" w:hAnsi="Arial" w:cs="Arial"/>
          <w:noProof/>
        </w:rPr>
        <w:drawing>
          <wp:inline distT="0" distB="0" distL="0" distR="0" wp14:anchorId="4BAE03D6" wp14:editId="279ECB96">
            <wp:extent cx="5486411" cy="365761"/>
            <wp:effectExtent l="0" t="0" r="0" b="0"/>
            <wp:docPr id="884949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949532" name="Picture 88494953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486411" cy="365761"/>
                    </a:xfrm>
                    <a:prstGeom prst="rect">
                      <a:avLst/>
                    </a:prstGeom>
                  </pic:spPr>
                </pic:pic>
              </a:graphicData>
            </a:graphic>
          </wp:inline>
        </w:drawing>
      </w:r>
    </w:p>
    <w:p w14:paraId="64E926E9" w14:textId="77777777" w:rsidR="002F43CF" w:rsidRPr="006B21EA" w:rsidRDefault="002F43CF" w:rsidP="002F43CF">
      <w:pPr>
        <w:rPr>
          <w:rFonts w:ascii="Arial" w:hAnsi="Arial" w:cs="Arial"/>
        </w:rPr>
      </w:pPr>
      <w:r>
        <w:rPr>
          <w:rFonts w:ascii="Arial" w:hAnsi="Arial" w:cs="Arial"/>
        </w:rPr>
        <w:lastRenderedPageBreak/>
        <w:t>where:</w:t>
      </w:r>
    </w:p>
    <w:p w14:paraId="5F8698B3" w14:textId="77777777" w:rsidR="002F43CF" w:rsidRPr="006B21EA" w:rsidRDefault="00966B7E" w:rsidP="002F43CF">
      <w:pPr>
        <w:numPr>
          <w:ilvl w:val="0"/>
          <w:numId w:val="3"/>
        </w:numPr>
        <w:rPr>
          <w:rFonts w:ascii="Arial" w:hAnsi="Arial" w:cs="Arial"/>
        </w:rPr>
      </w:pPr>
      <m:oMath>
        <m:sSubSup>
          <m:sSubSupPr>
            <m:ctrlPr>
              <w:rPr>
                <w:rFonts w:ascii="Cambria Math" w:hAnsi="Cambria Math" w:cs="Arial"/>
                <w:i/>
              </w:rPr>
            </m:ctrlPr>
          </m:sSubSupPr>
          <m:e>
            <m:r>
              <w:rPr>
                <w:rFonts w:ascii="Cambria Math" w:hAnsi="Cambria Math" w:cs="Arial"/>
              </w:rPr>
              <m:t>δ</m:t>
            </m:r>
          </m:e>
          <m:sub>
            <m:r>
              <w:rPr>
                <w:rFonts w:ascii="Cambria Math" w:hAnsi="Cambria Math" w:cs="Arial"/>
              </w:rPr>
              <m:t>labile</m:t>
            </m:r>
          </m:sub>
          <m:sup>
            <m:r>
              <w:rPr>
                <w:rFonts w:ascii="Cambria Math" w:hAnsi="Cambria Math" w:cs="Arial"/>
              </w:rPr>
              <m:t>M</m:t>
            </m:r>
          </m:sup>
        </m:sSubSup>
      </m:oMath>
      <w:r w:rsidR="00112CF5">
        <w:rPr>
          <w:rFonts w:ascii="Arial" w:hAnsi="Arial" w:cs="Arial"/>
        </w:rPr>
        <w:t>: Isotopic composition of the labile pool for metal (M) (e.g., Ni or Cu, in per mil, (‰)).</w:t>
      </w:r>
    </w:p>
    <w:p w14:paraId="499D05FC" w14:textId="77777777" w:rsidR="002F43CF" w:rsidRPr="006B21EA" w:rsidRDefault="00966B7E" w:rsidP="002F43CF">
      <w:pPr>
        <w:numPr>
          <w:ilvl w:val="0"/>
          <w:numId w:val="3"/>
        </w:numPr>
        <w:rPr>
          <w:rFonts w:ascii="Arial" w:hAnsi="Arial" w:cs="Arial"/>
        </w:rPr>
      </w:pPr>
      <m:oMath>
        <m:sSubSup>
          <m:sSubSupPr>
            <m:ctrlPr>
              <w:rPr>
                <w:rFonts w:ascii="Cambria Math" w:hAnsi="Cambria Math" w:cs="Arial"/>
                <w:i/>
              </w:rPr>
            </m:ctrlPr>
          </m:sSubSupPr>
          <m:e>
            <m:r>
              <w:rPr>
                <w:rFonts w:ascii="Cambria Math" w:hAnsi="Cambria Math" w:cs="Arial"/>
              </w:rPr>
              <m:t>δ</m:t>
            </m:r>
          </m:e>
          <m:sub>
            <m:r>
              <w:rPr>
                <w:rFonts w:ascii="Cambria Math" w:hAnsi="Cambria Math" w:cs="Arial"/>
              </w:rPr>
              <m:t>0</m:t>
            </m:r>
          </m:sub>
          <m:sup>
            <m:r>
              <w:rPr>
                <w:rFonts w:ascii="Cambria Math" w:hAnsi="Cambria Math" w:cs="Arial"/>
              </w:rPr>
              <m:t>M</m:t>
            </m:r>
          </m:sup>
        </m:sSubSup>
      </m:oMath>
      <w:r w:rsidR="00112CF5">
        <w:rPr>
          <w:rFonts w:ascii="Arial" w:hAnsi="Arial" w:cs="Arial"/>
        </w:rPr>
        <w:t>: Initial isotopic composition of the metal in the system.</w:t>
      </w:r>
    </w:p>
    <w:p w14:paraId="27FB7129" w14:textId="77777777" w:rsidR="002F43CF" w:rsidRPr="006B21EA" w:rsidRDefault="007A0117" w:rsidP="002F43CF">
      <w:pPr>
        <w:numPr>
          <w:ilvl w:val="0"/>
          <w:numId w:val="3"/>
        </w:numPr>
        <w:rPr>
          <w:rFonts w:ascii="Arial" w:hAnsi="Arial" w:cs="Arial"/>
        </w:rPr>
      </w:pPr>
      <w:r>
        <w:rPr>
          <w:rFonts w:ascii="Arial" w:hAnsi="Arial" w:cs="Arial"/>
        </w:rPr>
        <w:t>e: Equilibrium fractionation offset (in (‰)), accounting for isotopic differences between phases at equilibrium (e.g., during calcite incorporation).</w:t>
      </w:r>
    </w:p>
    <w:p w14:paraId="7430F8D9" w14:textId="77777777" w:rsidR="002F43CF" w:rsidRPr="006B21EA" w:rsidRDefault="002F43CF" w:rsidP="002F43CF">
      <w:pPr>
        <w:numPr>
          <w:ilvl w:val="0"/>
          <w:numId w:val="3"/>
        </w:numPr>
        <w:rPr>
          <w:rFonts w:ascii="Arial" w:hAnsi="Arial" w:cs="Arial"/>
        </w:rPr>
      </w:pPr>
      <w:r>
        <w:rPr>
          <w:rFonts w:ascii="Arial" w:hAnsi="Arial" w:cs="Arial"/>
        </w:rPr>
        <w:t>(</w:t>
      </w:r>
      <w:proofErr w:type="spellStart"/>
      <w:r>
        <w:rPr>
          <w:rFonts w:ascii="Arial" w:hAnsi="Arial" w:cs="Arial"/>
        </w:rPr>
        <w:t>a</w:t>
      </w:r>
      <w:r>
        <w:rPr>
          <w:rFonts w:ascii="Arial" w:hAnsi="Arial" w:cs="Arial"/>
          <w:vertAlign w:val="subscript"/>
        </w:rPr>
        <w:t>k</w:t>
      </w:r>
      <w:proofErr w:type="spellEnd"/>
      <w:r>
        <w:rPr>
          <w:rFonts w:ascii="Arial" w:hAnsi="Arial" w:cs="Arial"/>
        </w:rPr>
        <w:t>): Kinetic fractionation factor (</w:t>
      </w:r>
      <w:proofErr w:type="spellStart"/>
      <w:r>
        <w:rPr>
          <w:rFonts w:ascii="Arial" w:hAnsi="Arial" w:cs="Arial"/>
        </w:rPr>
        <w:t>a</w:t>
      </w:r>
      <w:r>
        <w:rPr>
          <w:rFonts w:ascii="Arial" w:hAnsi="Arial" w:cs="Arial"/>
          <w:vertAlign w:val="subscript"/>
        </w:rPr>
        <w:t>k</w:t>
      </w:r>
      <w:proofErr w:type="spellEnd"/>
      <w:r>
        <w:rPr>
          <w:rFonts w:ascii="Arial" w:hAnsi="Arial" w:cs="Arial"/>
        </w:rPr>
        <w:t xml:space="preserve"> &lt; 1), defined as the ratio of rate constants for lighter to heavier isotopes during OMC dissociation.</w:t>
      </w:r>
    </w:p>
    <w:p w14:paraId="15C79D90" w14:textId="77777777" w:rsidR="002F43CF" w:rsidRPr="006B21EA" w:rsidRDefault="002F43CF" w:rsidP="002F43CF">
      <w:pPr>
        <w:numPr>
          <w:ilvl w:val="0"/>
          <w:numId w:val="3"/>
        </w:numPr>
        <w:rPr>
          <w:rFonts w:ascii="Arial" w:hAnsi="Arial" w:cs="Arial"/>
        </w:rPr>
      </w:pPr>
      <w:r>
        <w:rPr>
          <w:rFonts w:ascii="Arial" w:hAnsi="Arial" w:cs="Arial"/>
        </w:rPr>
        <w:t>(</w:t>
      </w:r>
      <w:r>
        <w:rPr>
          <w:rFonts w:ascii="Arial" w:hAnsi="Arial" w:cs="Arial"/>
          <w:i/>
          <w:iCs/>
        </w:rPr>
        <w:t>f</w:t>
      </w:r>
      <w:r>
        <w:rPr>
          <w:rFonts w:ascii="Arial" w:hAnsi="Arial" w:cs="Arial"/>
        </w:rPr>
        <w:t>): Fraction of the metal dissociated from OMC into the labile pool.</w:t>
      </w:r>
    </w:p>
    <w:p w14:paraId="25F45330" w14:textId="77777777" w:rsidR="002F43CF" w:rsidRPr="006B21EA" w:rsidRDefault="002F43CF" w:rsidP="002F43CF">
      <w:pPr>
        <w:numPr>
          <w:ilvl w:val="0"/>
          <w:numId w:val="3"/>
        </w:numPr>
        <w:rPr>
          <w:rFonts w:ascii="Arial" w:hAnsi="Arial" w:cs="Arial"/>
        </w:rPr>
      </w:pPr>
      <w:r>
        <w:rPr>
          <w:rFonts w:ascii="Arial" w:hAnsi="Arial" w:cs="Arial"/>
        </w:rPr>
        <w:t xml:space="preserve">(ln (1 - </w:t>
      </w:r>
      <w:r>
        <w:rPr>
          <w:rFonts w:ascii="Arial" w:hAnsi="Arial" w:cs="Arial"/>
          <w:i/>
          <w:iCs/>
        </w:rPr>
        <w:t>f</w:t>
      </w:r>
      <w:r>
        <w:rPr>
          <w:rFonts w:ascii="Arial" w:hAnsi="Arial" w:cs="Arial"/>
        </w:rPr>
        <w:t>)): Natural logarithm of the remaining (undissociated) fraction, reflecting the progress of dissociation.</w:t>
      </w:r>
    </w:p>
    <w:p w14:paraId="292822EB" w14:textId="77777777" w:rsidR="002F43CF" w:rsidRPr="006B21EA" w:rsidRDefault="002F43CF" w:rsidP="002F43CF">
      <w:pPr>
        <w:rPr>
          <w:rFonts w:ascii="Arial" w:hAnsi="Arial" w:cs="Arial"/>
        </w:rPr>
      </w:pPr>
      <w:r>
        <w:rPr>
          <w:rFonts w:ascii="Arial" w:hAnsi="Arial" w:cs="Arial"/>
        </w:rPr>
        <w:t>High-precision measurements using multi-collector inductively coupled plasma mass spectrometry (MC-ICP-MS) on stalagmite samples are expected to enable correlation of the isotopic composition (</w:t>
      </w:r>
      <w:proofErr w:type="spellStart"/>
      <w:r>
        <w:rPr>
          <w:rFonts w:ascii="Arial" w:hAnsi="Arial" w:cs="Arial"/>
        </w:rPr>
        <w:t>dM</w:t>
      </w:r>
      <w:proofErr w:type="spellEnd"/>
      <w:r>
        <w:rPr>
          <w:rFonts w:ascii="Arial" w:hAnsi="Arial" w:cs="Arial"/>
        </w:rPr>
        <w:t>) with reconstructed residence time (t) to quantify kinetic fractionation biases (Supp. Fig. 4). These measurements would help distinguish kinetic effects (</w:t>
      </w:r>
      <w:proofErr w:type="spellStart"/>
      <w:r>
        <w:rPr>
          <w:rFonts w:ascii="Arial" w:hAnsi="Arial" w:cs="Arial"/>
        </w:rPr>
        <w:t>favoring</w:t>
      </w:r>
      <w:proofErr w:type="spellEnd"/>
      <w:r>
        <w:rPr>
          <w:rFonts w:ascii="Arial" w:hAnsi="Arial" w:cs="Arial"/>
        </w:rPr>
        <w:t xml:space="preserve"> lighter isotopes in the labile pool) from equilibrium processes, providing insights into paleoenvironmental conditions or mineral formation dynamics.</w:t>
      </w:r>
    </w:p>
    <w:p w14:paraId="03D059FB" w14:textId="0D17AD4C" w:rsidR="00D77735" w:rsidRPr="006B21EA" w:rsidRDefault="00E95207" w:rsidP="002F43CF">
      <w:pPr>
        <w:rPr>
          <w:rFonts w:ascii="Arial" w:hAnsi="Arial" w:cs="Arial"/>
          <w:i/>
          <w:iCs/>
        </w:rPr>
      </w:pPr>
      <w:r>
        <w:rPr>
          <w:rFonts w:ascii="Arial" w:hAnsi="Arial" w:cs="Arial"/>
          <w:i/>
          <w:iCs/>
        </w:rPr>
        <w:t>S8.4 Prior Carbonate Precipitation Effects on Metal Signatures</w:t>
      </w:r>
    </w:p>
    <w:p w14:paraId="6B18A608" w14:textId="55889739" w:rsidR="005A3CF7" w:rsidRPr="006B21EA" w:rsidRDefault="0085269D" w:rsidP="002F43CF">
      <w:pPr>
        <w:rPr>
          <w:rFonts w:ascii="Arial" w:hAnsi="Arial" w:cs="Arial"/>
        </w:rPr>
      </w:pPr>
      <w:r>
        <w:rPr>
          <w:rFonts w:ascii="Arial" w:hAnsi="Arial" w:cs="Arial"/>
        </w:rPr>
        <w:t>Prior carbonate precipitation (PCP) affects trace metals during carbonate precipitation, but is counteracted by OMC formation, which limits the labile metal pool for co-precipitation in the carbonate. However, this process preferentially removes calcium and trace metals with high distribution coefficients (</w:t>
      </w:r>
      <w:proofErr w:type="spellStart"/>
      <w:r>
        <w:rPr>
          <w:rFonts w:ascii="Arial" w:hAnsi="Arial" w:cs="Arial"/>
          <w:i/>
          <w:iCs/>
        </w:rPr>
        <w:t>K</w:t>
      </w:r>
      <w:r>
        <w:rPr>
          <w:rFonts w:ascii="Arial" w:hAnsi="Arial" w:cs="Arial"/>
          <w:vertAlign w:val="subscript"/>
        </w:rPr>
        <w:t>p</w:t>
      </w:r>
      <w:proofErr w:type="spellEnd"/>
      <w:r>
        <w:rPr>
          <w:rFonts w:ascii="Arial" w:hAnsi="Arial" w:cs="Arial"/>
        </w:rPr>
        <w:t xml:space="preserve">), altering the metal/Ca ratios in the remaining solution. For metals with high </w:t>
      </w:r>
      <w:proofErr w:type="spellStart"/>
      <w:r>
        <w:rPr>
          <w:rFonts w:ascii="Arial" w:hAnsi="Arial" w:cs="Arial"/>
          <w:i/>
          <w:iCs/>
        </w:rPr>
        <w:t>K</w:t>
      </w:r>
      <w:r>
        <w:rPr>
          <w:rFonts w:ascii="Arial" w:hAnsi="Arial" w:cs="Arial"/>
          <w:vertAlign w:val="subscript"/>
        </w:rPr>
        <w:t>p</w:t>
      </w:r>
      <w:proofErr w:type="spellEnd"/>
      <w:r>
        <w:rPr>
          <w:rFonts w:ascii="Arial" w:hAnsi="Arial" w:cs="Arial"/>
        </w:rPr>
        <w:t xml:space="preserve"> values in calcite, such as copper (</w:t>
      </w:r>
      <w:proofErr w:type="spellStart"/>
      <w:r>
        <w:rPr>
          <w:rFonts w:ascii="Arial" w:hAnsi="Arial" w:cs="Arial"/>
          <w:i/>
          <w:iCs/>
        </w:rPr>
        <w:t>K</w:t>
      </w:r>
      <w:r>
        <w:rPr>
          <w:rFonts w:ascii="Arial" w:hAnsi="Arial" w:cs="Arial"/>
          <w:vertAlign w:val="subscript"/>
        </w:rPr>
        <w:t>p</w:t>
      </w:r>
      <w:proofErr w:type="spellEnd"/>
      <w:r>
        <w:rPr>
          <w:rFonts w:ascii="Arial" w:hAnsi="Arial" w:cs="Arial"/>
        </w:rPr>
        <w:t xml:space="preserve"> ≈ 44</w:t>
      </w:r>
      <w:r>
        <w:rPr>
          <w:rFonts w:ascii="Arial" w:hAnsi="Arial" w:cs="Arial"/>
          <w:kern w:val="0"/>
          <w:vertAlign w:val="superscript"/>
        </w:rPr>
        <w:t>13</w:t>
      </w:r>
      <w:r>
        <w:rPr>
          <w:rFonts w:ascii="Arial" w:hAnsi="Arial" w:cs="Arial"/>
        </w:rPr>
        <w:t>), PCP results in pronounced depletion in the dripwater metal concentration under inorganic conditions, as these metals are readily incorporated into the precipitating calcite, although this effect is ameliorated where OMC are present</w:t>
      </w:r>
      <w:r>
        <w:rPr>
          <w:rFonts w:ascii="Arial" w:hAnsi="Arial" w:cs="Arial"/>
          <w:kern w:val="0"/>
          <w:vertAlign w:val="superscript"/>
        </w:rPr>
        <w:t>13</w:t>
      </w:r>
      <w:r>
        <w:rPr>
          <w:rFonts w:ascii="Arial" w:hAnsi="Arial" w:cs="Arial"/>
        </w:rPr>
        <w:t xml:space="preserve">. </w:t>
      </w:r>
    </w:p>
    <w:p w14:paraId="2BA6756C" w14:textId="2BB437EB" w:rsidR="003D7EBB" w:rsidRPr="006B21EA" w:rsidRDefault="001A7341" w:rsidP="002F43CF">
      <w:pPr>
        <w:rPr>
          <w:rFonts w:ascii="Arial" w:hAnsi="Arial" w:cs="Arial"/>
          <w:lang w:val="en-US"/>
        </w:rPr>
      </w:pPr>
      <w:r>
        <w:rPr>
          <w:rFonts w:ascii="Arial" w:hAnsi="Arial" w:cs="Arial"/>
        </w:rPr>
        <w:t xml:space="preserve">However, the PCP overprint can mask or confound signals related to OMC dissociation, where organic ligands stabilize metals in solution and modulate their availability for incorporation. Consequently, metals with high </w:t>
      </w:r>
      <w:proofErr w:type="spellStart"/>
      <w:r>
        <w:rPr>
          <w:rFonts w:ascii="Arial" w:hAnsi="Arial" w:cs="Arial"/>
          <w:i/>
          <w:iCs/>
        </w:rPr>
        <w:t>K</w:t>
      </w:r>
      <w:r>
        <w:rPr>
          <w:rFonts w:ascii="Arial" w:hAnsi="Arial" w:cs="Arial"/>
          <w:vertAlign w:val="subscript"/>
        </w:rPr>
        <w:t>p</w:t>
      </w:r>
      <w:proofErr w:type="spellEnd"/>
      <w:r>
        <w:rPr>
          <w:rFonts w:ascii="Arial" w:hAnsi="Arial" w:cs="Arial"/>
        </w:rPr>
        <w:t xml:space="preserve"> in each CaCO</w:t>
      </w:r>
      <w:r>
        <w:rPr>
          <w:rFonts w:ascii="Arial" w:hAnsi="Arial" w:cs="Arial"/>
          <w:vertAlign w:val="subscript"/>
        </w:rPr>
        <w:t>3</w:t>
      </w:r>
      <w:r>
        <w:rPr>
          <w:rFonts w:ascii="Arial" w:hAnsi="Arial" w:cs="Arial"/>
        </w:rPr>
        <w:t xml:space="preserve"> polymorph likely have limited applicability as direct proxies for drip rate or hydrological variability, as their concentrations and isotopic signatures (e.g., δ⁶⁵Cu) in speleothems may primarily reflect PCP intensity rather than dissociation kinetics. This rationale explains the choice of metals for drip rate reconstruction in the present study (Co and Ni </w:t>
      </w:r>
      <w:proofErr w:type="spellStart"/>
      <w:r>
        <w:rPr>
          <w:rFonts w:ascii="Arial" w:hAnsi="Arial" w:cs="Arial"/>
          <w:i/>
          <w:iCs/>
        </w:rPr>
        <w:t>K</w:t>
      </w:r>
      <w:r>
        <w:rPr>
          <w:rFonts w:ascii="Arial" w:hAnsi="Arial" w:cs="Arial"/>
          <w:vertAlign w:val="subscript"/>
        </w:rPr>
        <w:t>p</w:t>
      </w:r>
      <w:proofErr w:type="spellEnd"/>
      <w:r>
        <w:rPr>
          <w:rFonts w:ascii="Arial" w:hAnsi="Arial" w:cs="Arial"/>
          <w:vertAlign w:val="subscript"/>
        </w:rPr>
        <w:t xml:space="preserve"> </w:t>
      </w:r>
      <w:r>
        <w:rPr>
          <w:rFonts w:ascii="Arial" w:hAnsi="Arial" w:cs="Arial"/>
        </w:rPr>
        <w:t>≈</w:t>
      </w:r>
      <w:r>
        <w:rPr>
          <w:rFonts w:ascii="Arial" w:hAnsi="Arial" w:cs="Arial"/>
          <w:lang w:val="en-US"/>
        </w:rPr>
        <w:t>4 and 1, respectively), with Ni having the ideal characteristics for a drip rate proxy given its tendency to form OMC and identical partitioning behavior to Ca</w:t>
      </w:r>
      <w:r>
        <w:rPr>
          <w:rFonts w:ascii="Arial" w:hAnsi="Arial" w:cs="Arial"/>
          <w:vertAlign w:val="superscript"/>
          <w:lang w:val="en-GB"/>
        </w:rPr>
        <w:t>2+</w:t>
      </w:r>
      <w:r>
        <w:rPr>
          <w:rFonts w:ascii="Arial" w:hAnsi="Arial" w:cs="Arial"/>
          <w:lang w:val="en-US"/>
        </w:rPr>
        <w:t xml:space="preserve"> in the calcitic HS4 stalagmite. Furthermore, </w:t>
      </w:r>
      <w:proofErr w:type="gramStart"/>
      <w:r>
        <w:rPr>
          <w:rFonts w:ascii="Arial" w:hAnsi="Arial" w:cs="Arial"/>
          <w:lang w:val="en-US"/>
        </w:rPr>
        <w:t>nickel’s</w:t>
      </w:r>
      <w:proofErr w:type="gramEnd"/>
      <w:r>
        <w:rPr>
          <w:rFonts w:ascii="Arial" w:hAnsi="Arial" w:cs="Arial"/>
          <w:lang w:val="en-US"/>
        </w:rPr>
        <w:t xml:space="preserve"> comparative </w:t>
      </w:r>
      <w:r>
        <w:rPr>
          <w:rFonts w:ascii="Arial" w:hAnsi="Arial" w:cs="Arial"/>
          <w:lang w:val="en-US"/>
        </w:rPr>
        <w:lastRenderedPageBreak/>
        <w:t xml:space="preserve">abundance (low ppb range) in dripwater and availability of stable isotopes make it an ideal target for further study in calcite speleothems. </w:t>
      </w:r>
    </w:p>
    <w:p w14:paraId="2BF37518" w14:textId="51584486" w:rsidR="00E37164" w:rsidRPr="006B21EA" w:rsidRDefault="00E130F8" w:rsidP="002F43CF">
      <w:pPr>
        <w:rPr>
          <w:rFonts w:ascii="Arial" w:hAnsi="Arial" w:cs="Arial"/>
          <w:highlight w:val="yellow"/>
        </w:rPr>
      </w:pPr>
      <w:r>
        <w:rPr>
          <w:rFonts w:ascii="Arial" w:hAnsi="Arial" w:cs="Arial"/>
        </w:rPr>
        <w:t xml:space="preserve">For metals with high partition coefficients and stable isotopes such as Cu, to accurately interpret concentration and isotopic signals in speleothems, integrated modelling of both OMC dissociation (which controls metal release and complexation) and PCP effects is essential, particularly for metals like Cu, where high </w:t>
      </w:r>
      <w:proofErr w:type="spellStart"/>
      <w:r>
        <w:rPr>
          <w:rFonts w:ascii="Arial" w:hAnsi="Arial" w:cs="Arial"/>
          <w:i/>
          <w:iCs/>
        </w:rPr>
        <w:t>K</w:t>
      </w:r>
      <w:r>
        <w:rPr>
          <w:rFonts w:ascii="Arial" w:hAnsi="Arial" w:cs="Arial"/>
          <w:vertAlign w:val="subscript"/>
        </w:rPr>
        <w:t>p</w:t>
      </w:r>
      <w:proofErr w:type="spellEnd"/>
      <w:r>
        <w:rPr>
          <w:rFonts w:ascii="Arial" w:hAnsi="Arial" w:cs="Arial"/>
        </w:rPr>
        <w:t xml:space="preserve"> in calcite likely amplifies the influence of PCP on final speleothem compositions. This dual-process approach would allow for disentanglement of hydrological drivers from PCP-driven fractionation, enhancing the reliability of paleoclimate reconstructions from speleothem archives.</w:t>
      </w:r>
    </w:p>
    <w:p w14:paraId="35DFF0C9" w14:textId="04C611D2" w:rsidR="00E37164" w:rsidRPr="006B21EA" w:rsidRDefault="00E95207" w:rsidP="002F43CF">
      <w:pPr>
        <w:rPr>
          <w:rFonts w:ascii="Arial" w:hAnsi="Arial" w:cs="Arial"/>
          <w:i/>
          <w:iCs/>
        </w:rPr>
      </w:pPr>
      <w:r>
        <w:rPr>
          <w:rFonts w:ascii="Arial" w:hAnsi="Arial" w:cs="Arial"/>
          <w:i/>
          <w:iCs/>
        </w:rPr>
        <w:t>S8.5 Implications for Clumped Isotope Signals in Stalagmites</w:t>
      </w:r>
    </w:p>
    <w:p w14:paraId="6B252B67" w14:textId="77777777" w:rsidR="004A035B" w:rsidRPr="006B21EA" w:rsidRDefault="002C0B7A" w:rsidP="004A035B">
      <w:pPr>
        <w:rPr>
          <w:rFonts w:ascii="Arial" w:hAnsi="Arial" w:cs="Arial"/>
        </w:rPr>
      </w:pPr>
      <w:r>
        <w:rPr>
          <w:rFonts w:ascii="Arial" w:hAnsi="Arial" w:cs="Arial"/>
        </w:rPr>
        <w:t>Additionally, kinetic disequilibria may indirectly influence carbonate clumped isotopes (Δ</w:t>
      </w:r>
      <w:r>
        <w:rPr>
          <w:rFonts w:ascii="Arial" w:hAnsi="Arial" w:cs="Arial"/>
          <w:vertAlign w:val="subscript"/>
        </w:rPr>
        <w:t>47</w:t>
      </w:r>
      <w:r>
        <w:rPr>
          <w:rFonts w:ascii="Arial" w:hAnsi="Arial" w:cs="Arial"/>
        </w:rPr>
        <w:t>), as growth rate (linked to τ) modulates deviations from equilibrium via DIC speciation or pH gradients</w:t>
      </w:r>
      <w:r>
        <w:rPr>
          <w:rFonts w:ascii="Arial" w:hAnsi="Arial" w:cs="Arial"/>
          <w:kern w:val="0"/>
          <w:vertAlign w:val="superscript"/>
        </w:rPr>
        <w:t>14,15</w:t>
      </w:r>
      <w:r>
        <w:rPr>
          <w:rFonts w:ascii="Arial" w:hAnsi="Arial" w:cs="Arial"/>
        </w:rPr>
        <w:t>. Empirical studies show Δ</w:t>
      </w:r>
      <w:r>
        <w:rPr>
          <w:rFonts w:ascii="Arial" w:hAnsi="Arial" w:cs="Arial"/>
          <w:vertAlign w:val="subscript"/>
        </w:rPr>
        <w:t>47</w:t>
      </w:r>
      <w:r>
        <w:rPr>
          <w:rFonts w:ascii="Arial" w:hAnsi="Arial" w:cs="Arial"/>
        </w:rPr>
        <w:t xml:space="preserve"> decreases with faster chemical </w:t>
      </w:r>
      <w:proofErr w:type="gramStart"/>
      <w:r>
        <w:rPr>
          <w:rFonts w:ascii="Arial" w:hAnsi="Arial" w:cs="Arial"/>
        </w:rPr>
        <w:t>rates</w:t>
      </w:r>
      <w:r>
        <w:rPr>
          <w:rFonts w:ascii="Arial" w:hAnsi="Arial" w:cs="Arial"/>
          <w:kern w:val="0"/>
          <w:vertAlign w:val="superscript"/>
        </w:rPr>
        <w:t>16</w:t>
      </w:r>
      <w:proofErr w:type="gramEnd"/>
      <w:r>
        <w:rPr>
          <w:rFonts w:ascii="Arial" w:hAnsi="Arial" w:cs="Arial"/>
        </w:rPr>
        <w:t xml:space="preserve"> but higher drip rates may limit the degree of isotopic distillation and CaCO</w:t>
      </w:r>
      <w:r>
        <w:rPr>
          <w:rFonts w:ascii="Arial" w:hAnsi="Arial" w:cs="Arial"/>
          <w:vertAlign w:val="subscript"/>
        </w:rPr>
        <w:t>3</w:t>
      </w:r>
      <w:r>
        <w:rPr>
          <w:rFonts w:ascii="Arial" w:hAnsi="Arial" w:cs="Arial"/>
        </w:rPr>
        <w:t>-DIC fractionation. Via dissociation kinetics as a proxy of thin-film residence time it may be possible to correct negative offsets in Δ47 or targeted sampling for periods of higher dripping, though direct tests via paired Δ</w:t>
      </w:r>
      <w:r>
        <w:rPr>
          <w:rFonts w:ascii="Arial" w:hAnsi="Arial" w:cs="Arial"/>
          <w:vertAlign w:val="subscript"/>
        </w:rPr>
        <w:t>47</w:t>
      </w:r>
      <w:r>
        <w:rPr>
          <w:rFonts w:ascii="Arial" w:hAnsi="Arial" w:cs="Arial"/>
        </w:rPr>
        <w:t xml:space="preserve"> and trace metal analyses will be required</w:t>
      </w:r>
      <w:r>
        <w:rPr>
          <w:rFonts w:ascii="Arial" w:hAnsi="Arial" w:cs="Arial"/>
          <w:kern w:val="0"/>
          <w:vertAlign w:val="superscript"/>
        </w:rPr>
        <w:t>17</w:t>
      </w:r>
      <w:r>
        <w:rPr>
          <w:rFonts w:ascii="Arial" w:hAnsi="Arial" w:cs="Arial"/>
        </w:rPr>
        <w:t>.</w:t>
      </w:r>
    </w:p>
    <w:p w14:paraId="0BFF0D33" w14:textId="77777777" w:rsidR="004A035B" w:rsidRDefault="004A035B" w:rsidP="004A035B">
      <w:pPr>
        <w:rPr>
          <w:rFonts w:ascii="Arial" w:hAnsi="Arial" w:cs="Arial"/>
        </w:rPr>
      </w:pPr>
      <w:r>
        <w:rPr>
          <w:rFonts w:ascii="Arial" w:hAnsi="Arial" w:cs="Arial"/>
        </w:rPr>
        <w:t xml:space="preserve">These recommended methods provide a framework for multi-proxy integration, validation and expansion. </w:t>
      </w:r>
    </w:p>
    <w:p w14:paraId="09359188" w14:textId="77777777" w:rsidR="00212F14" w:rsidRPr="006B21EA" w:rsidRDefault="00212F14" w:rsidP="004A035B">
      <w:pPr>
        <w:rPr>
          <w:rFonts w:ascii="Arial" w:hAnsi="Arial" w:cs="Arial"/>
        </w:rPr>
      </w:pPr>
    </w:p>
    <w:p w14:paraId="52AA1DE4" w14:textId="77777777" w:rsidR="003872EA" w:rsidRPr="006B21EA" w:rsidRDefault="003872EA" w:rsidP="003872EA">
      <w:pPr>
        <w:rPr>
          <w:rFonts w:ascii="Arial" w:hAnsi="Arial" w:cs="Arial"/>
          <w:b/>
          <w:bCs/>
        </w:rPr>
      </w:pPr>
      <w:r>
        <w:rPr>
          <w:rFonts w:ascii="Arial" w:hAnsi="Arial" w:cs="Arial"/>
          <w:b/>
          <w:bCs/>
        </w:rPr>
        <w:t>Supplementary Methods 9: Reconstructing Trace Metal Stoichiometry from Metal Pairs</w:t>
      </w:r>
    </w:p>
    <w:p w14:paraId="63498ECA" w14:textId="77777777" w:rsidR="003872EA" w:rsidRPr="006B21EA" w:rsidRDefault="003872EA" w:rsidP="003872EA">
      <w:pPr>
        <w:rPr>
          <w:rFonts w:ascii="Arial" w:hAnsi="Arial" w:cs="Arial"/>
        </w:rPr>
      </w:pPr>
      <w:r>
        <w:rPr>
          <w:rFonts w:ascii="Arial" w:hAnsi="Arial" w:cs="Arial"/>
        </w:rPr>
        <w:t>Trace metal stoichiometry in speleothem calcite, particularly ratios of metals originating from OMCs (e.g., Co/Ni, Cu/Ni), can potentially serve as proxies for dissolved organic matter (DOM) quality and flux, reflecting variations in organic ligand composition and transport modes in karst systems</w:t>
      </w:r>
      <w:r>
        <w:rPr>
          <w:rFonts w:ascii="Arial" w:hAnsi="Arial" w:cs="Arial"/>
          <w:kern w:val="0"/>
          <w:vertAlign w:val="superscript"/>
        </w:rPr>
        <w:t>18</w:t>
      </w:r>
      <w:r>
        <w:rPr>
          <w:rFonts w:ascii="Arial" w:hAnsi="Arial" w:cs="Arial"/>
        </w:rPr>
        <w:t>. This approach leverages the differential binding affinities of metals to heterogeneous DOM, where stronger binders like Cu or Pb preferentially associate with high molecular weight, aromatic DOM, being mobilised during soil flushing events, while weaker binders (e.g., Ni, Co) may show greater consistency via their association with lower molecular weight, hydrophilic DOM (Hartland</w:t>
      </w:r>
      <w:r>
        <w:rPr>
          <w:rFonts w:ascii="Arial" w:hAnsi="Arial" w:cs="Arial"/>
          <w:vertAlign w:val="superscript"/>
        </w:rPr>
        <w:t>19</w:t>
      </w:r>
      <w:r>
        <w:rPr>
          <w:rFonts w:ascii="Arial" w:hAnsi="Arial" w:cs="Arial"/>
        </w:rPr>
        <w:t>). In shallow caves or sites dominated by fracture flow, rapid infiltration may mobilise aromatic, hydrophobic DOM, altering metal ratios as indicators of hydrological intensity and soil disturbance, with potential to be captured by speleothems.</w:t>
      </w:r>
    </w:p>
    <w:p w14:paraId="17F7C8DB" w14:textId="77777777" w:rsidR="003872EA" w:rsidRPr="006B21EA" w:rsidRDefault="003872EA" w:rsidP="003872EA">
      <w:pPr>
        <w:rPr>
          <w:rFonts w:ascii="Arial" w:hAnsi="Arial" w:cs="Arial"/>
        </w:rPr>
      </w:pPr>
      <w:r>
        <w:rPr>
          <w:rFonts w:ascii="Arial" w:hAnsi="Arial" w:cs="Arial"/>
        </w:rPr>
        <w:t>To reconstruct aqueous stoichiometry (</w:t>
      </w:r>
      <m:oMath>
        <m:r>
          <w:rPr>
            <w:rFonts w:ascii="Cambria Math" w:hAnsi="Cambria Math" w:cs="Arial"/>
          </w:rPr>
          <m:t>[</m:t>
        </m:r>
        <m:sSubSup>
          <m:sSubSupPr>
            <m:ctrlPr>
              <w:rPr>
                <w:rFonts w:ascii="Cambria Math" w:hAnsi="Cambria Math" w:cs="Arial"/>
                <w:i/>
              </w:rPr>
            </m:ctrlPr>
          </m:sSubSupPr>
          <m:e>
            <m:r>
              <m:rPr>
                <m:sty m:val="p"/>
              </m:rPr>
              <w:rPr>
                <w:rFonts w:ascii="Cambria Math" w:hAnsi="Cambria Math" w:cs="Arial"/>
              </w:rPr>
              <m:t>X</m:t>
            </m:r>
          </m:e>
          <m:sub>
            <m:r>
              <w:rPr>
                <w:rFonts w:ascii="Cambria Math" w:hAnsi="Cambria Math" w:cs="Arial"/>
              </w:rPr>
              <m:t>tot</m:t>
            </m:r>
          </m:sub>
          <m:sup>
            <m:r>
              <w:rPr>
                <w:rFonts w:ascii="Cambria Math" w:hAnsi="Cambria Math" w:cs="Arial"/>
              </w:rPr>
              <m:t>aq</m:t>
            </m:r>
          </m:sup>
        </m:sSubSup>
      </m:oMath>
      <w:r>
        <w:rPr>
          <w:rFonts w:ascii="Arial" w:hAnsi="Arial" w:cs="Arial"/>
        </w:rPr>
        <w:t>] ratios), it is necessary to combine kinetic drip rate (τ) estimates with speleothem metal concentrations ([X</w:t>
      </w:r>
      <w:r>
        <w:rPr>
          <w:rFonts w:ascii="Arial" w:hAnsi="Arial" w:cs="Arial"/>
          <w:vertAlign w:val="subscript"/>
        </w:rPr>
        <w:t>s</w:t>
      </w:r>
      <w:r>
        <w:rPr>
          <w:rFonts w:ascii="Arial" w:hAnsi="Arial" w:cs="Arial"/>
        </w:rPr>
        <w:t>]). Rearrange Eq. 13 for each metal:</w:t>
      </w:r>
    </w:p>
    <w:p w14:paraId="17E13B80" w14:textId="77777777" w:rsidR="003872EA" w:rsidRPr="006B21EA" w:rsidRDefault="0012465E" w:rsidP="003872EA">
      <w:pPr>
        <w:rPr>
          <w:rFonts w:ascii="Arial" w:hAnsi="Arial" w:cs="Arial"/>
        </w:rPr>
      </w:pPr>
      <w:r>
        <w:rPr>
          <w:rFonts w:ascii="Arial" w:hAnsi="Arial" w:cs="Arial"/>
          <w:noProof/>
        </w:rPr>
        <w:lastRenderedPageBreak/>
        <w:drawing>
          <wp:inline distT="0" distB="0" distL="0" distR="0" wp14:anchorId="33C08936" wp14:editId="09E9FA54">
            <wp:extent cx="5486411" cy="365761"/>
            <wp:effectExtent l="0" t="0" r="0" b="0"/>
            <wp:docPr id="11879389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38992" name="Picture 118793899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486411" cy="365761"/>
                    </a:xfrm>
                    <a:prstGeom prst="rect">
                      <a:avLst/>
                    </a:prstGeom>
                  </pic:spPr>
                </pic:pic>
              </a:graphicData>
            </a:graphic>
          </wp:inline>
        </w:drawing>
      </w:r>
    </w:p>
    <w:p w14:paraId="36B44AFB" w14:textId="77777777" w:rsidR="003872EA" w:rsidRPr="006B21EA" w:rsidRDefault="003872EA" w:rsidP="003872EA">
      <w:pPr>
        <w:rPr>
          <w:rFonts w:ascii="Arial" w:hAnsi="Arial" w:cs="Arial"/>
        </w:rPr>
      </w:pPr>
      <w:r>
        <w:rPr>
          <w:rFonts w:ascii="Arial" w:hAnsi="Arial" w:cs="Arial"/>
        </w:rPr>
        <w:t>where the bracketed term is the labile fraction. For a metal pair (e.g., Cu/Zn), the aqueous stoichiometry is:</w:t>
      </w:r>
    </w:p>
    <w:p w14:paraId="3DAD62D7" w14:textId="77777777" w:rsidR="00232F9B" w:rsidRPr="006B21EA" w:rsidRDefault="008A473E" w:rsidP="000411E1">
      <w:pPr>
        <w:rPr>
          <w:rFonts w:ascii="Arial" w:hAnsi="Arial" w:cs="Arial"/>
          <w:b/>
          <w:bCs/>
        </w:rPr>
      </w:pPr>
      <w:r>
        <w:rPr>
          <w:rFonts w:ascii="Arial" w:hAnsi="Arial" w:cs="Arial"/>
          <w:b/>
          <w:bCs/>
          <w:noProof/>
        </w:rPr>
        <w:drawing>
          <wp:inline distT="0" distB="0" distL="0" distR="0" wp14:anchorId="7D4EE22A" wp14:editId="06D15CC5">
            <wp:extent cx="5486411" cy="365761"/>
            <wp:effectExtent l="0" t="0" r="0" b="0"/>
            <wp:docPr id="959961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61623" name="Picture 959961623"/>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486411" cy="365761"/>
                    </a:xfrm>
                    <a:prstGeom prst="rect">
                      <a:avLst/>
                    </a:prstGeom>
                  </pic:spPr>
                </pic:pic>
              </a:graphicData>
            </a:graphic>
          </wp:inline>
        </w:drawing>
      </w:r>
    </w:p>
    <w:p w14:paraId="3FB59BE9" w14:textId="77777777" w:rsidR="00FB4A73" w:rsidRPr="006B21EA" w:rsidRDefault="00FB4A73" w:rsidP="000411E1">
      <w:pPr>
        <w:rPr>
          <w:rFonts w:ascii="Arial" w:hAnsi="Arial" w:cs="Arial"/>
          <w:b/>
          <w:bCs/>
        </w:rPr>
      </w:pPr>
    </w:p>
    <w:p w14:paraId="352B1043" w14:textId="77777777" w:rsidR="003872EA" w:rsidRPr="006B21EA" w:rsidRDefault="003872EA" w:rsidP="003872EA">
      <w:pPr>
        <w:rPr>
          <w:rFonts w:ascii="Arial" w:hAnsi="Arial" w:cs="Arial"/>
        </w:rPr>
      </w:pPr>
      <w:r>
        <w:rPr>
          <w:rFonts w:ascii="Arial" w:hAnsi="Arial" w:cs="Arial"/>
        </w:rPr>
        <w:t>assuming constant [Ca</w:t>
      </w:r>
      <w:r>
        <w:rPr>
          <w:rFonts w:ascii="Arial" w:hAnsi="Arial" w:cs="Arial"/>
          <w:vertAlign w:val="subscript"/>
        </w:rPr>
        <w:t>aq</w:t>
      </w:r>
      <w:r>
        <w:rPr>
          <w:rFonts w:ascii="Arial" w:hAnsi="Arial" w:cs="Arial"/>
        </w:rPr>
        <w:t>] (e.g., from monitoring; Table S1) and metal-specific parameters (</w:t>
      </w:r>
      <w:proofErr w:type="spellStart"/>
      <w:r>
        <w:rPr>
          <w:rFonts w:ascii="Arial" w:hAnsi="Arial" w:cs="Arial"/>
          <w:i/>
          <w:iCs/>
        </w:rPr>
        <w:t>k</w:t>
      </w:r>
      <w:r>
        <w:rPr>
          <w:rFonts w:ascii="Arial" w:hAnsi="Arial" w:cs="Arial"/>
          <w:vertAlign w:val="subscript"/>
        </w:rPr>
        <w:t>d</w:t>
      </w:r>
      <w:proofErr w:type="spellEnd"/>
      <w:r>
        <w:rPr>
          <w:rFonts w:ascii="Arial" w:hAnsi="Arial" w:cs="Arial"/>
        </w:rPr>
        <w:t xml:space="preserve">, </w:t>
      </w:r>
      <w:proofErr w:type="spellStart"/>
      <w:r>
        <w:rPr>
          <w:rFonts w:ascii="Arial" w:hAnsi="Arial" w:cs="Arial"/>
          <w:i/>
          <w:iCs/>
        </w:rPr>
        <w:t>K</w:t>
      </w:r>
      <w:r>
        <w:rPr>
          <w:rFonts w:ascii="Arial" w:hAnsi="Arial" w:cs="Arial"/>
          <w:vertAlign w:val="subscript"/>
        </w:rPr>
        <w:t>p</w:t>
      </w:r>
      <w:proofErr w:type="spellEnd"/>
      <w:r>
        <w:rPr>
          <w:rFonts w:ascii="Arial" w:hAnsi="Arial" w:cs="Arial"/>
        </w:rPr>
        <w:t xml:space="preserve">, </w:t>
      </w:r>
      <w:proofErr w:type="spellStart"/>
      <w:r>
        <w:rPr>
          <w:rFonts w:ascii="Arial" w:hAnsi="Arial" w:cs="Arial"/>
        </w:rPr>
        <w:t>λ</w:t>
      </w:r>
      <w:r>
        <w:rPr>
          <w:rFonts w:ascii="Arial" w:hAnsi="Arial" w:cs="Arial"/>
          <w:vertAlign w:val="subscript"/>
        </w:rPr>
        <w:t>F</w:t>
      </w:r>
      <w:proofErr w:type="spellEnd"/>
      <w:r>
        <w:rPr>
          <w:rFonts w:ascii="Arial" w:hAnsi="Arial" w:cs="Arial"/>
        </w:rPr>
        <w:t>/</w:t>
      </w:r>
      <w:proofErr w:type="spellStart"/>
      <w:r>
        <w:rPr>
          <w:rFonts w:ascii="Arial" w:hAnsi="Arial" w:cs="Arial"/>
        </w:rPr>
        <w:t>λ</w:t>
      </w:r>
      <w:r>
        <w:rPr>
          <w:rFonts w:ascii="Arial" w:hAnsi="Arial" w:cs="Arial"/>
          <w:vertAlign w:val="subscript"/>
        </w:rPr>
        <w:t>I</w:t>
      </w:r>
      <w:proofErr w:type="spellEnd"/>
      <w:r>
        <w:rPr>
          <w:rFonts w:ascii="Arial" w:hAnsi="Arial" w:cs="Arial"/>
        </w:rPr>
        <w:t>) for generic metals M</w:t>
      </w:r>
      <w:r>
        <w:rPr>
          <w:rFonts w:ascii="Arial" w:hAnsi="Arial" w:cs="Arial"/>
          <w:vertAlign w:val="subscript"/>
        </w:rPr>
        <w:t>1</w:t>
      </w:r>
      <w:r>
        <w:rPr>
          <w:rFonts w:ascii="Arial" w:hAnsi="Arial" w:cs="Arial"/>
        </w:rPr>
        <w:t xml:space="preserve"> and M</w:t>
      </w:r>
      <w:r>
        <w:rPr>
          <w:rFonts w:ascii="Arial" w:hAnsi="Arial" w:cs="Arial"/>
          <w:vertAlign w:val="subscript"/>
        </w:rPr>
        <w:t>2</w:t>
      </w:r>
      <w:r>
        <w:rPr>
          <w:rFonts w:ascii="Arial" w:hAnsi="Arial" w:cs="Arial"/>
        </w:rPr>
        <w:t>. Deviations from binding ratios characteristic of humic/fulvic acids and empirical data from soil extractions may be a useful indicator of soil processes or surface disturbances. This method, may enable paleoenvironmental insights into DOM fluxes, complementing biomarker studies (Blyth et al.</w:t>
      </w:r>
      <w:r>
        <w:rPr>
          <w:rFonts w:ascii="Arial" w:hAnsi="Arial" w:cs="Arial"/>
          <w:vertAlign w:val="superscript"/>
        </w:rPr>
        <w:t>18</w:t>
      </w:r>
      <w:r>
        <w:rPr>
          <w:rFonts w:ascii="Arial" w:hAnsi="Arial" w:cs="Arial"/>
        </w:rPr>
        <w:t>) or assist in characterising OMC characteristics over time</w:t>
      </w:r>
      <w:r>
        <w:rPr>
          <w:rFonts w:ascii="Arial" w:hAnsi="Arial" w:cs="Arial"/>
          <w:kern w:val="0"/>
          <w:vertAlign w:val="superscript"/>
        </w:rPr>
        <w:t>12</w:t>
      </w:r>
      <w:r>
        <w:rPr>
          <w:rFonts w:ascii="Arial" w:hAnsi="Arial" w:cs="Arial"/>
        </w:rPr>
        <w:t xml:space="preserve">.  </w:t>
      </w:r>
    </w:p>
    <w:p w14:paraId="501BB347" w14:textId="77777777" w:rsidR="004E74BC" w:rsidRDefault="008A473E" w:rsidP="000411E1">
      <w:pPr>
        <w:rPr>
          <w:rFonts w:ascii="Arial" w:hAnsi="Arial" w:cs="Arial"/>
        </w:rPr>
      </w:pPr>
      <w:r>
        <w:rPr>
          <w:rFonts w:ascii="Arial" w:hAnsi="Arial" w:cs="Arial"/>
        </w:rPr>
        <w:t>To avoid circularity in the reconstruction of aqueous metal stoichiometry, drip rates (τ) must be derived from an independent pair of metals (e.g., use Co/Ni-derived τ to reconstruct Cu/Zn stoichiometry, or vice versa). This ensures the kinetic window (τ) is decoupled from the target pair, leveraging complementary dissociation kinetics across metals for more robust, non-interdependent estimates.</w:t>
      </w:r>
    </w:p>
    <w:p w14:paraId="51B99BEF" w14:textId="77777777" w:rsidR="00B42FCA" w:rsidRDefault="00B42FCA">
      <w:pPr>
        <w:rPr>
          <w:rFonts w:ascii="Arial" w:hAnsi="Arial" w:cs="Arial"/>
          <w:b/>
          <w:bCs/>
        </w:rPr>
      </w:pPr>
      <w:r>
        <w:rPr>
          <w:rFonts w:ascii="Arial" w:hAnsi="Arial" w:cs="Arial"/>
          <w:b/>
          <w:bCs/>
        </w:rPr>
        <w:t>Supplementary Methods 10: Generalisation Beyond Stalagmite Drip Rates</w:t>
      </w:r>
    </w:p>
    <w:p w14:paraId="58A0044D" w14:textId="77777777" w:rsidR="00B42FCA" w:rsidRDefault="00B42FCA">
      <w:pPr>
        <w:rPr>
          <w:rFonts w:ascii="Arial" w:hAnsi="Arial" w:cs="Arial"/>
        </w:rPr>
      </w:pPr>
      <w:r>
        <w:rPr>
          <w:rFonts w:ascii="Arial" w:hAnsi="Arial" w:cs="Arial"/>
        </w:rPr>
        <w:t>Although demonstrated here for stalagmite drip rates, the OMC dissociation framework is applicable wherever organic ligands form kinetically restricted complexes with trace metals in aqueous solution and a mineral phase records the resulting labile metal pool. This section outlines the broader scope of potential applications.</w:t>
      </w:r>
    </w:p>
    <w:p w14:paraId="0DD1EE12" w14:textId="14A50AFA" w:rsidR="00B42FCA" w:rsidRDefault="003B7460">
      <w:pPr>
        <w:rPr>
          <w:rFonts w:ascii="Arial" w:hAnsi="Arial" w:cs="Arial"/>
          <w:i/>
          <w:iCs/>
        </w:rPr>
      </w:pPr>
      <w:r>
        <w:rPr>
          <w:rFonts w:ascii="Arial" w:hAnsi="Arial" w:cs="Arial"/>
          <w:i/>
          <w:iCs/>
        </w:rPr>
        <w:t>S10.1 Carbonate depositional settings</w:t>
      </w:r>
    </w:p>
    <w:p w14:paraId="49A6D1D3" w14:textId="77777777" w:rsidR="00B42FCA" w:rsidRDefault="00B42FCA">
      <w:pPr>
        <w:rPr>
          <w:rFonts w:ascii="Arial" w:hAnsi="Arial" w:cs="Arial"/>
        </w:rPr>
      </w:pPr>
      <w:r>
        <w:rPr>
          <w:rFonts w:ascii="Arial" w:hAnsi="Arial" w:cs="Arial"/>
        </w:rPr>
        <w:t xml:space="preserve">Within speleothem science, the residence time τ takes different physical forms depending on the depositional geometry. For stalagmites, τ is the drip interval (seconds between successive drips onto the growth surface). For stalactites (soda-straws and curtains), τ corresponds to the film migration time along the outer surface. For flowstones, τ is the sheet-flow residence time across the precipitation surface. In each case, the forward model (Eq. 13) applies directly with τ redefined accordingly. Beyond vadose cave carbonates, the framework extends to sub-aqueous settings: lacustrine </w:t>
      </w:r>
      <w:proofErr w:type="spellStart"/>
      <w:r>
        <w:rPr>
          <w:rFonts w:ascii="Arial" w:hAnsi="Arial" w:cs="Arial"/>
        </w:rPr>
        <w:t>tufas</w:t>
      </w:r>
      <w:proofErr w:type="spellEnd"/>
      <w:r>
        <w:rPr>
          <w:rFonts w:ascii="Arial" w:hAnsi="Arial" w:cs="Arial"/>
        </w:rPr>
        <w:t>, pool deposits, and submarine cements, where τ corresponds to the boundary-layer equilibration time between the bulk fluid and the growing mineral surface. At still longer timescales, bulk fluid residence time in a cave pool or lake provides a volumetric flow proxy (e.g. m</w:t>
      </w:r>
      <w:r>
        <w:rPr>
          <w:rFonts w:ascii="Arial" w:hAnsi="Arial" w:cs="Arial"/>
          <w:vertAlign w:val="superscript"/>
        </w:rPr>
        <w:t>3</w:t>
      </w:r>
      <w:r>
        <w:rPr>
          <w:rFonts w:ascii="Arial" w:hAnsi="Arial" w:cs="Arial"/>
        </w:rPr>
        <w:t xml:space="preserve"> yr</w:t>
      </w:r>
      <w:r>
        <w:rPr>
          <w:rFonts w:ascii="Arial" w:hAnsi="Arial" w:cs="Arial"/>
          <w:vertAlign w:val="superscript"/>
        </w:rPr>
        <w:t>-</w:t>
      </w:r>
      <w:r>
        <w:rPr>
          <w:rFonts w:ascii="Arial" w:hAnsi="Arial" w:cs="Arial"/>
        </w:rPr>
        <w:t>¹ via a calibrated reservoir volume).</w:t>
      </w:r>
    </w:p>
    <w:p w14:paraId="3C000001" w14:textId="3C000001" w:rsidR="00B42FCA" w:rsidRDefault="003B7460">
      <w:pPr>
        <w:rPr>
          <w:rFonts w:ascii="Arial" w:hAnsi="Arial" w:cs="Arial"/>
        </w:rPr>
      </w:pPr>
      <w:r>
        <w:rPr>
          <w:rFonts w:ascii="Arial" w:hAnsi="Arial" w:cs="Arial"/>
        </w:rPr>
        <w:lastRenderedPageBreak/>
        <w:t xml:space="preserve">Importantly, the OMC dissociation kinetics that underpin the proxy are aqueous-phase processes: the rate at which metal–organic complexes release labile metal ions is governed by the thin-film residence time τ, not by the mineralogy of the precipitating phase. The forward model (Eq. 13) therefore applies equally to calcite and aragonite speleothems. What does differ between polymorphs is the partition coefficient </w:t>
      </w:r>
      <w:proofErr w:type="spellStart"/>
      <w:r>
        <w:rPr>
          <w:rFonts w:ascii="Arial" w:hAnsi="Arial" w:cs="Arial"/>
        </w:rPr>
        <w:t>K</w:t>
      </w:r>
      <w:r>
        <w:rPr>
          <w:rFonts w:ascii="Arial" w:hAnsi="Arial" w:cs="Arial"/>
          <w:vertAlign w:val="subscript"/>
        </w:rPr>
        <w:t>p</w:t>
      </w:r>
      <w:proofErr w:type="spellEnd"/>
      <w:r>
        <w:rPr>
          <w:rFonts w:ascii="Arial" w:hAnsi="Arial" w:cs="Arial"/>
        </w:rPr>
        <w:t xml:space="preserve">: the 9-fold Ca coordination in aragonite versus 6-fold in calcite produces systematically different trace metal substitution behaviour, so that </w:t>
      </w:r>
      <w:proofErr w:type="spellStart"/>
      <w:r>
        <w:rPr>
          <w:rFonts w:ascii="Arial" w:hAnsi="Arial" w:cs="Arial"/>
        </w:rPr>
        <w:t>K</w:t>
      </w:r>
      <w:r>
        <w:rPr>
          <w:rFonts w:ascii="Arial" w:hAnsi="Arial" w:cs="Arial"/>
          <w:vertAlign w:val="subscript"/>
        </w:rPr>
        <w:t>p</w:t>
      </w:r>
      <w:proofErr w:type="spellEnd"/>
      <w:r>
        <w:rPr>
          <w:rFonts w:ascii="Arial" w:hAnsi="Arial" w:cs="Arial"/>
        </w:rPr>
        <w:t xml:space="preserve"> values for Co and Ni will require polymorph-specific experimental calibration before the proxy can be applied to aragonitic archives. For mixed-mineralogy stalagmites, XRD characterisation of the precipitating phase at each sampling interval would be needed to assign appropriate </w:t>
      </w:r>
      <w:proofErr w:type="spellStart"/>
      <w:r>
        <w:rPr>
          <w:rFonts w:ascii="Arial" w:hAnsi="Arial" w:cs="Arial"/>
        </w:rPr>
        <w:t>K</w:t>
      </w:r>
      <w:r>
        <w:rPr>
          <w:rFonts w:ascii="Arial" w:hAnsi="Arial" w:cs="Arial"/>
          <w:vertAlign w:val="subscript"/>
        </w:rPr>
        <w:t>p</w:t>
      </w:r>
      <w:proofErr w:type="spellEnd"/>
      <w:r>
        <w:rPr>
          <w:rFonts w:ascii="Arial" w:hAnsi="Arial" w:cs="Arial"/>
        </w:rPr>
        <w:t xml:space="preserve"> values. HS4 is calcite throughout, so this consideration does not affect the present reconstruction. We also note that prior carbonate precipitation (PCP) effects on trace metal signatures will differ between calcite and aragonite due to contrasting crystal-chemical controls on cation substitution; any extension of the framework to aragonitic or mixed-mineralogy stalagmites should account for polymorph-specific PCP behaviour.</w:t>
      </w:r>
    </w:p>
    <w:p w14:paraId="1FCC68B7" w14:textId="79FAE2CB" w:rsidR="00B42FCA" w:rsidRDefault="003B7460">
      <w:pPr>
        <w:rPr>
          <w:rFonts w:ascii="Arial" w:hAnsi="Arial" w:cs="Arial"/>
          <w:i/>
          <w:iCs/>
        </w:rPr>
      </w:pPr>
      <w:r>
        <w:rPr>
          <w:rFonts w:ascii="Arial" w:hAnsi="Arial" w:cs="Arial"/>
          <w:i/>
          <w:iCs/>
        </w:rPr>
        <w:t>S10.2 Beyond carbonates</w:t>
      </w:r>
    </w:p>
    <w:p w14:paraId="1FF167C5" w14:textId="424997A7" w:rsidR="0059166A" w:rsidRDefault="00B42FCA">
      <w:pPr>
        <w:rPr>
          <w:rFonts w:ascii="Arial" w:hAnsi="Arial" w:cs="Arial"/>
        </w:rPr>
      </w:pPr>
      <w:r>
        <w:rPr>
          <w:rFonts w:ascii="Arial" w:hAnsi="Arial" w:cs="Arial"/>
        </w:rPr>
        <w:t xml:space="preserve">Organic ligands forming kinetically inert metal complexes are present in virtually all natural waters, not only in organic-rich settings. Even at dissolved organic carbon concentrations of 1–2 mg L⁻¹, the carboxyl site density of aquatic DOM (~5–10 </w:t>
      </w:r>
      <w:proofErr w:type="spellStart"/>
      <w:r>
        <w:rPr>
          <w:rFonts w:ascii="Arial" w:hAnsi="Arial" w:cs="Arial"/>
        </w:rPr>
        <w:t>meq</w:t>
      </w:r>
      <w:proofErr w:type="spellEnd"/>
      <w:r>
        <w:rPr>
          <w:rFonts w:ascii="Arial" w:hAnsi="Arial" w:cs="Arial"/>
        </w:rPr>
        <w:t xml:space="preserve"> g</w:t>
      </w:r>
      <w:r>
        <w:rPr>
          <w:rFonts w:ascii="Arial" w:hAnsi="Arial" w:cs="Arial"/>
          <w:vertAlign w:val="superscript"/>
        </w:rPr>
        <w:t>-</w:t>
      </w:r>
      <w:r>
        <w:rPr>
          <w:rFonts w:ascii="Arial" w:hAnsi="Arial" w:cs="Arial"/>
        </w:rPr>
        <w:t xml:space="preserve">¹ C for fulvic acids) provides micromolar complexation capacity — orders of magnitude above the nanomolar concentrations typical of dissolved transition metals. OMC formation is therefore expected across rivers, lakes, estuaries, groundwater, soils, ocean margins, and hydrothermal systems. Any mineral phase incorporating trace metals from such waters is a potential recorder of fluid residence time, </w:t>
      </w:r>
      <w:proofErr w:type="gramStart"/>
      <w:r>
        <w:rPr>
          <w:rFonts w:ascii="Arial" w:hAnsi="Arial" w:cs="Arial"/>
        </w:rPr>
        <w:t>provided that</w:t>
      </w:r>
      <w:proofErr w:type="gramEnd"/>
      <w:r>
        <w:rPr>
          <w:rFonts w:ascii="Arial" w:hAnsi="Arial" w:cs="Arial"/>
        </w:rPr>
        <w:t xml:space="preserve"> OMC dissociation is slow enough relative to fluid turnover to produce a measurable kinetic signal. Where dissociation reaches secular equilibrium (i.e. all labile metal is released before the next fluid replacement), the method still resolves a minimum τ (maximum flow rate), providing a one-sided bound analogous to radiocarbon beyond its dating range. The only fundamental requirement is a mineral archive that records the labile metal fraction with a known or calibratable partition coefficient.</w:t>
      </w:r>
    </w:p>
    <w:p w14:paraId="2ECD096F" w14:textId="1AED2868" w:rsidR="00B42FCA" w:rsidRDefault="003B7460">
      <w:pPr>
        <w:rPr>
          <w:rFonts w:ascii="Arial" w:hAnsi="Arial" w:cs="Arial"/>
          <w:i/>
          <w:iCs/>
        </w:rPr>
      </w:pPr>
      <w:r>
        <w:rPr>
          <w:rFonts w:ascii="Arial" w:hAnsi="Arial" w:cs="Arial"/>
          <w:i/>
          <w:iCs/>
        </w:rPr>
        <w:t>S10.3 Toward absolute paleohydrology</w:t>
      </w:r>
    </w:p>
    <w:p w14:paraId="0AEFAFA2" w14:textId="77777777" w:rsidR="00B42FCA" w:rsidRDefault="00B42FCA">
      <w:pPr>
        <w:rPr>
          <w:rFonts w:ascii="Arial" w:hAnsi="Arial" w:cs="Arial"/>
        </w:rPr>
      </w:pPr>
      <w:r>
        <w:rPr>
          <w:rFonts w:ascii="Arial" w:hAnsi="Arial" w:cs="Arial"/>
        </w:rPr>
        <w:t xml:space="preserve">More broadly, the OMC dissociation framework extends paleohydrology from relative proxy interpretation into the domain of absolute physical measurement. The analogy with geochronology is instructive: radiometric decay provides an absolute clock because it rests on a rate law with known parameters operating over a measurable timescale, recorded in a datable mineral archive. OMC dissociation kinetics provide an absolute flowmeter on the same basis — a first-order rate law with independently measurable parameters (dissociation rate constants, partition coefficients, speciation fractions), operating over a residence time recorded in a datable mineral. Both </w:t>
      </w:r>
      <w:r>
        <w:rPr>
          <w:rFonts w:ascii="Arial" w:hAnsi="Arial" w:cs="Arial"/>
        </w:rPr>
        <w:lastRenderedPageBreak/>
        <w:t>methods yield unit-bearing quantities (years; drips min</w:t>
      </w:r>
      <w:r>
        <w:rPr>
          <w:rFonts w:ascii="Arial" w:hAnsi="Arial" w:cs="Arial"/>
          <w:vertAlign w:val="superscript"/>
        </w:rPr>
        <w:t>-</w:t>
      </w:r>
      <w:r>
        <w:rPr>
          <w:rFonts w:ascii="Arial" w:hAnsi="Arial" w:cs="Arial"/>
        </w:rPr>
        <w:t>¹ or mL min⁻¹) rather than dimensionless indices, enabling direct comparison across archives, sites, and models. An open-source web application implementing the full forward and inverse model is provided at the code repository (see Data Availability) to facilitate adoption and testing of this framework across depositional settings.</w:t>
      </w:r>
    </w:p>
    <w:p w14:paraId="5A783313" w14:textId="77777777" w:rsidR="00C75553" w:rsidRDefault="00C75553">
      <w:pPr>
        <w:rPr>
          <w:rFonts w:ascii="Arial" w:hAnsi="Arial" w:cs="Arial"/>
          <w:b/>
          <w:bCs/>
        </w:rPr>
      </w:pPr>
    </w:p>
    <w:p w14:paraId="75EE84EB" w14:textId="0CB36D63" w:rsidR="009F5E35" w:rsidRDefault="009F5E35">
      <w:pPr>
        <w:rPr>
          <w:rFonts w:ascii="Arial" w:hAnsi="Arial" w:cs="Arial"/>
          <w:b/>
          <w:bCs/>
        </w:rPr>
      </w:pPr>
      <w:r>
        <w:rPr>
          <w:rFonts w:ascii="Arial" w:hAnsi="Arial" w:cs="Arial"/>
          <w:b/>
          <w:bCs/>
        </w:rPr>
        <w:t>Supplementary Methods 11: Sensitivity to Aqueous Concentration Uncertainty</w:t>
      </w:r>
    </w:p>
    <w:p w14:paraId="4D1D9415" w14:textId="3E2F1D69" w:rsidR="009F5E35" w:rsidRDefault="009F5E35">
      <w:pPr>
        <w:rPr>
          <w:rFonts w:ascii="Arial" w:hAnsi="Arial" w:cs="Arial"/>
          <w:i/>
          <w:iCs/>
        </w:rPr>
      </w:pPr>
      <w:r>
        <w:rPr>
          <w:rFonts w:ascii="Arial" w:hAnsi="Arial" w:cs="Arial"/>
          <w:i/>
          <w:iCs/>
        </w:rPr>
        <w:t>S11.1 Covariance structure of monitored aqueous concentrations</w:t>
      </w:r>
    </w:p>
    <w:p w14:paraId="37449F36" w14:textId="504C3E03" w:rsidR="009F5E35" w:rsidRDefault="009F5E35">
      <w:pPr>
        <w:rPr>
          <w:rFonts w:ascii="Arial" w:hAnsi="Arial" w:cs="Arial"/>
        </w:rPr>
      </w:pPr>
      <w:r>
        <w:rPr>
          <w:rFonts w:ascii="Arial" w:hAnsi="Arial" w:cs="Arial"/>
        </w:rPr>
        <w:t xml:space="preserve">From n = 92 paired dripwater analyses spanning 2007–2016 (~10.8 samples yr⁻¹), we computed the Pearson correlation matrix for Ca, Co, and Ni. Ca is effectively uncorrelated with both trace metals: </w:t>
      </w:r>
      <w:proofErr w:type="gramStart"/>
      <w:r>
        <w:rPr>
          <w:rFonts w:ascii="Arial" w:hAnsi="Arial" w:cs="Arial"/>
        </w:rPr>
        <w:t>r(</w:t>
      </w:r>
      <w:proofErr w:type="gramEnd"/>
      <w:r>
        <w:rPr>
          <w:rFonts w:ascii="Arial" w:hAnsi="Arial" w:cs="Arial"/>
        </w:rPr>
        <w:t xml:space="preserve">Ca, Co) = +0.08; </w:t>
      </w:r>
      <w:proofErr w:type="gramStart"/>
      <w:r>
        <w:rPr>
          <w:rFonts w:ascii="Arial" w:hAnsi="Arial" w:cs="Arial"/>
        </w:rPr>
        <w:t>r(</w:t>
      </w:r>
      <w:proofErr w:type="gramEnd"/>
      <w:r>
        <w:rPr>
          <w:rFonts w:ascii="Arial" w:hAnsi="Arial" w:cs="Arial"/>
        </w:rPr>
        <w:t xml:space="preserve">Ca, Ni) = −0.09. This is expected: Ca is buffered by the carbonate dissolution–precipitation equilibrium, while Co and Ni variability is governed by organic complexation dynamics and redox. The moderate Co–Ni correlation (r = +0.60) reflects their shared OMC speciation. Because </w:t>
      </w:r>
      <w:proofErr w:type="gramStart"/>
      <w:r>
        <w:rPr>
          <w:rFonts w:ascii="Arial" w:hAnsi="Arial" w:cs="Arial"/>
        </w:rPr>
        <w:t>r(</w:t>
      </w:r>
      <w:proofErr w:type="gramEnd"/>
      <w:r>
        <w:rPr>
          <w:rFonts w:ascii="Arial" w:hAnsi="Arial" w:cs="Arial"/>
        </w:rPr>
        <w:t>Ca, TE) ≈ 0, independent Monte Carlo sampling correctly represents the covariance structure. Paired bootstrap resampling of actual (Ca, TE) measurement pairs produces essentially identical K₀ variance: CV(Co/Ca) = 15.8% paired vs 17.4% independent; CV(Ni/Ca) = 27.7% vs 28.8%.</w:t>
      </w:r>
    </w:p>
    <w:p w14:paraId="3DB25371" w14:textId="70A0C0A6" w:rsidR="009F5E35" w:rsidRPr="00C75553" w:rsidRDefault="009F5E35">
      <w:pPr>
        <w:rPr>
          <w:rFonts w:ascii="Arial" w:hAnsi="Arial" w:cs="Arial"/>
          <w:i/>
          <w:iCs/>
        </w:rPr>
      </w:pPr>
      <w:r>
        <w:rPr>
          <w:rFonts w:ascii="Arial" w:hAnsi="Arial" w:cs="Arial"/>
          <w:i/>
          <w:iCs/>
        </w:rPr>
        <w:t>S11.2 Integration time and effective concentration uncertainty</w:t>
      </w:r>
    </w:p>
    <w:p w14:paraId="66652AB7" w14:textId="60CA4E4F" w:rsidR="009F5E35" w:rsidRDefault="009F5E35">
      <w:pPr>
        <w:rPr>
          <w:rFonts w:ascii="Arial" w:hAnsi="Arial" w:cs="Arial"/>
        </w:rPr>
      </w:pPr>
      <w:r>
        <w:rPr>
          <w:rFonts w:ascii="Arial" w:hAnsi="Arial" w:cs="Arial"/>
        </w:rPr>
        <w:t xml:space="preserve">Each milled powder ICP-MS measurement integrates all calcite deposited within the sampling interval. At the HS4 growth rate (~26 µm yr⁻¹ from 260 mm over ~10,000 years), each sample integrates approximately 25 years of deposition. During this interval, the drip water chemistry cycles through ~270 independent observations (25 yr × 10.8 samples yr⁻¹). By the central limit theorem, the effective standard deviation of the time-averaged concentration is: </w:t>
      </w:r>
      <w:proofErr w:type="spellStart"/>
      <w:r>
        <w:rPr>
          <w:rFonts w:ascii="Arial" w:hAnsi="Arial" w:cs="Arial"/>
        </w:rPr>
        <w:t>σ</w:t>
      </w:r>
      <w:r>
        <w:rPr>
          <w:rFonts w:ascii="Arial" w:hAnsi="Arial" w:cs="Arial"/>
          <w:vertAlign w:val="subscript"/>
        </w:rPr>
        <w:t>eff</w:t>
      </w:r>
      <w:proofErr w:type="spellEnd"/>
      <w:r>
        <w:rPr>
          <w:rFonts w:ascii="Arial" w:hAnsi="Arial" w:cs="Arial"/>
        </w:rPr>
        <w:t xml:space="preserve"> = </w:t>
      </w:r>
      <w:proofErr w:type="spellStart"/>
      <w:r>
        <w:rPr>
          <w:rFonts w:ascii="Arial" w:hAnsi="Arial" w:cs="Arial"/>
        </w:rPr>
        <w:t>σ</w:t>
      </w:r>
      <w:r>
        <w:rPr>
          <w:rFonts w:ascii="Arial" w:hAnsi="Arial" w:cs="Arial"/>
          <w:vertAlign w:val="subscript"/>
        </w:rPr>
        <w:t>monitoring</w:t>
      </w:r>
      <w:proofErr w:type="spellEnd"/>
      <w:r>
        <w:rPr>
          <w:rFonts w:ascii="Arial" w:hAnsi="Arial" w:cs="Arial"/>
        </w:rPr>
        <w:t xml:space="preserve"> / </w:t>
      </w:r>
      <w:proofErr w:type="gramStart"/>
      <w:r>
        <w:rPr>
          <w:rFonts w:ascii="Arial" w:hAnsi="Arial" w:cs="Arial"/>
        </w:rPr>
        <w:t>√(</w:t>
      </w:r>
      <w:proofErr w:type="gramEnd"/>
      <w:r>
        <w:rPr>
          <w:rFonts w:ascii="Arial" w:hAnsi="Arial" w:cs="Arial"/>
        </w:rPr>
        <w:t>T × f</w:t>
      </w:r>
      <w:r>
        <w:rPr>
          <w:rFonts w:ascii="Arial" w:hAnsi="Arial" w:cs="Arial"/>
          <w:vertAlign w:val="subscript"/>
        </w:rPr>
        <w:t>s</w:t>
      </w:r>
      <w:r>
        <w:rPr>
          <w:rFonts w:ascii="Arial" w:hAnsi="Arial" w:cs="Arial"/>
        </w:rPr>
        <w:t>), where T is the integration time (yr) and f</w:t>
      </w:r>
      <w:r>
        <w:rPr>
          <w:rFonts w:ascii="Arial" w:hAnsi="Arial" w:cs="Arial"/>
          <w:vertAlign w:val="subscript"/>
        </w:rPr>
        <w:t>s</w:t>
      </w:r>
      <w:r>
        <w:rPr>
          <w:rFonts w:ascii="Arial" w:hAnsi="Arial" w:cs="Arial"/>
        </w:rPr>
        <w:t xml:space="preserve"> is the monitoring sampling frequency (yr⁻¹).</w:t>
      </w:r>
    </w:p>
    <w:p w14:paraId="5EA5826D" w14:textId="6B4D6F3F" w:rsidR="009F5E35" w:rsidRDefault="009F5E35">
      <w:pPr>
        <w:rPr>
          <w:rFonts w:ascii="Arial" w:hAnsi="Arial" w:cs="Arial"/>
        </w:rPr>
      </w:pPr>
      <w:r>
        <w:rPr>
          <w:rFonts w:ascii="Arial" w:hAnsi="Arial" w:cs="Arial"/>
        </w:rPr>
        <w:t xml:space="preserve">For T = 25 yr: Ca effective SD = 0.24 ppm (CV 0.36%, vs monitoring 6.0%); Co effective SD = 0.005 ppb (CV 0.97%, vs 16.0%); Ni effective SD = 0.072 ppb (CV 1.67%, vs 27.4%). At these effective CVs, the corresponding log-normal prior widths are </w:t>
      </w:r>
      <w:proofErr w:type="spellStart"/>
      <w:r>
        <w:rPr>
          <w:rFonts w:ascii="Arial" w:hAnsi="Arial" w:cs="Arial"/>
        </w:rPr>
        <w:t>σ</w:t>
      </w:r>
      <w:r>
        <w:rPr>
          <w:rFonts w:ascii="Arial" w:hAnsi="Arial" w:cs="Arial"/>
          <w:vertAlign w:val="subscript"/>
        </w:rPr>
        <w:t>ln</w:t>
      </w:r>
      <w:proofErr w:type="spellEnd"/>
      <w:r>
        <w:rPr>
          <w:rFonts w:ascii="Arial" w:hAnsi="Arial" w:cs="Arial"/>
        </w:rPr>
        <w:t xml:space="preserve"> &lt; 0.02 for all components — the priors are effectively delta functions, and stochastic marginalisation produces results indistinguishable from the fixed-concentration baseline.</w:t>
      </w:r>
    </w:p>
    <w:p w14:paraId="495C76D3" w14:textId="70398E14" w:rsidR="009F5E35" w:rsidRPr="00C75553" w:rsidRDefault="009F5E35">
      <w:pPr>
        <w:rPr>
          <w:rFonts w:ascii="Arial" w:hAnsi="Arial" w:cs="Arial"/>
          <w:i/>
          <w:iCs/>
        </w:rPr>
      </w:pPr>
      <w:r>
        <w:rPr>
          <w:rFonts w:ascii="Arial" w:hAnsi="Arial" w:cs="Arial"/>
          <w:i/>
          <w:iCs/>
        </w:rPr>
        <w:t>S11.3 Demonstration: effect of naive monitoring-scale standard deviations</w:t>
      </w:r>
    </w:p>
    <w:p w14:paraId="7A38782B" w14:textId="4C2B1107" w:rsidR="009F5E35" w:rsidRDefault="009F5E35">
      <w:pPr>
        <w:rPr>
          <w:rFonts w:ascii="Arial" w:hAnsi="Arial" w:cs="Arial"/>
        </w:rPr>
      </w:pPr>
      <w:r>
        <w:rPr>
          <w:rFonts w:ascii="Arial" w:hAnsi="Arial" w:cs="Arial"/>
        </w:rPr>
        <w:t xml:space="preserve">To illustrate the consequences of neglecting the integration-time correction, we ran four reconstructions using the raw monitoring standard deviations as if they represented the uncertainty of each speleothem measurement: (1) all concentrations fixed at means (baseline); (2) Ca stochastic (σ = 3.98 ppm, CV 6%); (3) Ca and Co stochastic; (4) all three stochastic. The Ca-only treatment tripled the mean median drip rate (20.7 → 61.7 drips min⁻¹), inflated the IQR by 24×, and reduced temporal </w:t>
      </w:r>
      <w:r>
        <w:rPr>
          <w:rFonts w:ascii="Arial" w:hAnsi="Arial" w:cs="Arial"/>
        </w:rPr>
        <w:lastRenderedPageBreak/>
        <w:t>signal correlation to r = 0.23 versus the fixed baseline. The full stochastic treatment yielded 21× IQR inflation and r = 0.44. These results are not artefacts of ignoring Ca–TE covariance (Section S11.1 confirms the independent treatment is structurally correct</w:t>
      </w:r>
      <w:proofErr w:type="gramStart"/>
      <w:r>
        <w:rPr>
          <w:rFonts w:ascii="Arial" w:hAnsi="Arial" w:cs="Arial"/>
        </w:rPr>
        <w:t>), but</w:t>
      </w:r>
      <w:proofErr w:type="gramEnd"/>
      <w:r>
        <w:rPr>
          <w:rFonts w:ascii="Arial" w:hAnsi="Arial" w:cs="Arial"/>
        </w:rPr>
        <w:t xml:space="preserve"> reflect the genuine sensitivity of the nonlinear PDF inversion to K₀ uncertainty when that uncertainty is inappropriately inflated by monitoring-scale variance that the archive has already averaged out.</w:t>
      </w:r>
    </w:p>
    <w:p w14:paraId="0083D156" w14:textId="6B0C88CE" w:rsidR="009F5E35" w:rsidRPr="00C75553" w:rsidRDefault="009F5E35">
      <w:pPr>
        <w:rPr>
          <w:rFonts w:ascii="Arial" w:hAnsi="Arial" w:cs="Arial"/>
          <w:i/>
          <w:iCs/>
        </w:rPr>
      </w:pPr>
      <w:r>
        <w:rPr>
          <w:rFonts w:ascii="Arial" w:hAnsi="Arial" w:cs="Arial"/>
          <w:i/>
          <w:iCs/>
        </w:rPr>
        <w:t>S11.4 Ratio stability and robustness to non-stationary water chemistry</w:t>
      </w:r>
    </w:p>
    <w:p w14:paraId="69A902D0" w14:textId="4348A854" w:rsidR="009F5E35" w:rsidRDefault="009F5E35">
      <w:pPr>
        <w:rPr>
          <w:rFonts w:ascii="Arial" w:hAnsi="Arial" w:cs="Arial"/>
        </w:rPr>
      </w:pPr>
      <w:r>
        <w:rPr>
          <w:rFonts w:ascii="Arial" w:hAnsi="Arial" w:cs="Arial"/>
        </w:rPr>
        <w:t>The preceding sections address the propagation of monitoring-scale variability. A distinct question is whether the mean aqueous concentrations themselves may have changed over the Holocene, rendering the fixed modern values unrepresentative. The critical observation is that the model does not depend on absolute concentrations of Ca or TE independently, but on their molar ratio. The equilibrium ceiling is K</w:t>
      </w:r>
      <w:r>
        <w:rPr>
          <w:rFonts w:ascii="Arial" w:hAnsi="Arial" w:cs="Arial"/>
          <w:vertAlign w:val="subscript"/>
        </w:rPr>
        <w:t>0</w:t>
      </w:r>
      <w:r>
        <w:rPr>
          <w:rFonts w:ascii="Arial" w:hAnsi="Arial" w:cs="Arial"/>
        </w:rPr>
        <w:t xml:space="preserve"> = </w:t>
      </w:r>
      <w:proofErr w:type="spellStart"/>
      <w:r>
        <w:rPr>
          <w:rFonts w:ascii="Arial" w:hAnsi="Arial" w:cs="Arial"/>
        </w:rPr>
        <w:t>K</w:t>
      </w:r>
      <w:r>
        <w:rPr>
          <w:rFonts w:ascii="Arial" w:hAnsi="Arial" w:cs="Arial"/>
          <w:vertAlign w:val="subscript"/>
        </w:rPr>
        <w:t>p</w:t>
      </w:r>
      <w:proofErr w:type="spellEnd"/>
      <w:r>
        <w:rPr>
          <w:rFonts w:ascii="Arial" w:hAnsi="Arial" w:cs="Arial"/>
        </w:rPr>
        <w:t xml:space="preserve"> × Y</w:t>
      </w:r>
      <w:r>
        <w:rPr>
          <w:rFonts w:ascii="Arial" w:hAnsi="Arial" w:cs="Arial"/>
          <w:vertAlign w:val="subscript"/>
        </w:rPr>
        <w:t>s</w:t>
      </w:r>
      <w:r>
        <w:rPr>
          <w:rFonts w:ascii="Arial" w:hAnsi="Arial" w:cs="Arial"/>
        </w:rPr>
        <w:t xml:space="preserve"> × (X</w:t>
      </w:r>
      <w:r>
        <w:rPr>
          <w:rFonts w:ascii="Arial" w:hAnsi="Arial" w:cs="Arial"/>
          <w:vertAlign w:val="subscript"/>
        </w:rPr>
        <w:t>a</w:t>
      </w:r>
      <w:r>
        <w:rPr>
          <w:rFonts w:ascii="Arial" w:hAnsi="Arial" w:cs="Arial"/>
        </w:rPr>
        <w:t>/Y</w:t>
      </w:r>
      <w:r>
        <w:rPr>
          <w:rFonts w:ascii="Arial" w:hAnsi="Arial" w:cs="Arial"/>
          <w:vertAlign w:val="subscript"/>
        </w:rPr>
        <w:t>a</w:t>
      </w:r>
      <w:r>
        <w:rPr>
          <w:rFonts w:ascii="Arial" w:hAnsi="Arial" w:cs="Arial"/>
        </w:rPr>
        <w:t>) × K</w:t>
      </w:r>
      <w:r>
        <w:rPr>
          <w:rFonts w:ascii="Arial" w:hAnsi="Arial" w:cs="Arial"/>
          <w:vertAlign w:val="subscript"/>
        </w:rPr>
        <w:t>e</w:t>
      </w:r>
      <w:r>
        <w:rPr>
          <w:rFonts w:ascii="Arial" w:hAnsi="Arial" w:cs="Arial"/>
        </w:rPr>
        <w:t>, where X</w:t>
      </w:r>
      <w:r>
        <w:rPr>
          <w:rFonts w:ascii="Arial" w:hAnsi="Arial" w:cs="Arial"/>
          <w:vertAlign w:val="subscript"/>
        </w:rPr>
        <w:t>a</w:t>
      </w:r>
      <w:r>
        <w:rPr>
          <w:rFonts w:ascii="Arial" w:hAnsi="Arial" w:cs="Arial"/>
        </w:rPr>
        <w:t>/Y</w:t>
      </w:r>
      <w:r>
        <w:rPr>
          <w:rFonts w:ascii="Arial" w:hAnsi="Arial" w:cs="Arial"/>
          <w:vertAlign w:val="subscript"/>
        </w:rPr>
        <w:t>a</w:t>
      </w:r>
      <w:r>
        <w:rPr>
          <w:rFonts w:ascii="Arial" w:hAnsi="Arial" w:cs="Arial"/>
        </w:rPr>
        <w:t xml:space="preserve"> is the molar ratio [TE]</w:t>
      </w:r>
      <w:r>
        <w:rPr>
          <w:rFonts w:ascii="Arial" w:hAnsi="Arial" w:cs="Arial"/>
          <w:vertAlign w:val="subscript"/>
        </w:rPr>
        <w:t>aq</w:t>
      </w:r>
      <w:r>
        <w:rPr>
          <w:rFonts w:ascii="Arial" w:hAnsi="Arial" w:cs="Arial"/>
        </w:rPr>
        <w:t>/[Ca]</w:t>
      </w:r>
      <w:r>
        <w:rPr>
          <w:rFonts w:ascii="Arial" w:hAnsi="Arial" w:cs="Arial"/>
          <w:vertAlign w:val="subscript"/>
        </w:rPr>
        <w:t>aq</w:t>
      </w:r>
      <w:r>
        <w:rPr>
          <w:rFonts w:ascii="Arial" w:hAnsi="Arial" w:cs="Arial"/>
        </w:rPr>
        <w:t>. Any process that changes both concentrations proportionally — notably hydrological dilution, which is the dominant driver of dripwater concentration variability and the very signal the proxy reconstructs — cancels through this ratio and does not affect K</w:t>
      </w:r>
      <w:r>
        <w:rPr>
          <w:rFonts w:ascii="Arial" w:hAnsi="Arial" w:cs="Arial"/>
          <w:vertAlign w:val="subscript"/>
        </w:rPr>
        <w:t>0</w:t>
      </w:r>
      <w:r>
        <w:rPr>
          <w:rFonts w:ascii="Arial" w:hAnsi="Arial" w:cs="Arial"/>
        </w:rPr>
        <w:t>.</w:t>
      </w:r>
    </w:p>
    <w:p w14:paraId="41713123" w14:textId="556E7A9A" w:rsidR="009F5E35" w:rsidRDefault="009F5E35">
      <w:pPr>
        <w:rPr>
          <w:rFonts w:ascii="Arial" w:hAnsi="Arial" w:cs="Arial"/>
        </w:rPr>
      </w:pPr>
      <w:r>
        <w:rPr>
          <w:rFonts w:ascii="Arial" w:hAnsi="Arial" w:cs="Arial"/>
        </w:rPr>
        <w:t>Mechanisms that could shift the ratio on Holocene timescales include: (</w:t>
      </w:r>
      <w:proofErr w:type="spellStart"/>
      <w:r>
        <w:rPr>
          <w:rFonts w:ascii="Arial" w:hAnsi="Arial" w:cs="Arial"/>
        </w:rPr>
        <w:t>i</w:t>
      </w:r>
      <w:proofErr w:type="spellEnd"/>
      <w:r>
        <w:rPr>
          <w:rFonts w:ascii="Arial" w:hAnsi="Arial" w:cs="Arial"/>
        </w:rPr>
        <w:t>) changes in soil organic matter character or accumulation, which would increase [TE]</w:t>
      </w:r>
      <w:r>
        <w:rPr>
          <w:rFonts w:ascii="Arial" w:hAnsi="Arial" w:cs="Arial"/>
          <w:vertAlign w:val="subscript"/>
        </w:rPr>
        <w:t>aq</w:t>
      </w:r>
      <w:r>
        <w:rPr>
          <w:rFonts w:ascii="Arial" w:hAnsi="Arial" w:cs="Arial"/>
        </w:rPr>
        <w:t xml:space="preserve"> (more OMC) while [Ca]</w:t>
      </w:r>
      <w:r>
        <w:rPr>
          <w:rFonts w:ascii="Arial" w:hAnsi="Arial" w:cs="Arial"/>
          <w:vertAlign w:val="subscript"/>
        </w:rPr>
        <w:t>aq</w:t>
      </w:r>
      <w:r>
        <w:rPr>
          <w:rFonts w:ascii="Arial" w:hAnsi="Arial" w:cs="Arial"/>
        </w:rPr>
        <w:t xml:space="preserve"> remains buffered by carbonate equilibrium, raising the ratio; and (ii) changes in soil pCO</w:t>
      </w:r>
      <w:r>
        <w:rPr>
          <w:rFonts w:ascii="Arial" w:hAnsi="Arial" w:cs="Arial"/>
          <w:vertAlign w:val="subscript"/>
        </w:rPr>
        <w:t>2</w:t>
      </w:r>
      <w:r>
        <w:rPr>
          <w:rFonts w:ascii="Arial" w:hAnsi="Arial" w:cs="Arial"/>
        </w:rPr>
        <w:t>, which could increase Ca dissolution without affecting TE, lowering the ratio. Both are slow, monotonic, secular trends — they do not generate the centennial-scale variability that the proxy resolves, and any systematic bias they introduce would be a smooth drift in K</w:t>
      </w:r>
      <w:r>
        <w:rPr>
          <w:rFonts w:ascii="Arial" w:hAnsi="Arial" w:cs="Arial"/>
          <w:vertAlign w:val="subscript"/>
        </w:rPr>
        <w:t>0</w:t>
      </w:r>
      <w:r>
        <w:rPr>
          <w:rFonts w:ascii="Arial" w:hAnsi="Arial" w:cs="Arial"/>
        </w:rPr>
        <w:t xml:space="preserve"> rather than a noise source. Furthermore, [Ca]</w:t>
      </w:r>
      <w:r>
        <w:rPr>
          <w:rFonts w:ascii="Arial" w:hAnsi="Arial" w:cs="Arial"/>
          <w:vertAlign w:val="subscript"/>
        </w:rPr>
        <w:t>aq</w:t>
      </w:r>
      <w:r>
        <w:rPr>
          <w:rFonts w:ascii="Arial" w:hAnsi="Arial" w:cs="Arial"/>
        </w:rPr>
        <w:t xml:space="preserve"> in limestone cave </w:t>
      </w:r>
      <w:proofErr w:type="spellStart"/>
      <w:r>
        <w:rPr>
          <w:rFonts w:ascii="Arial" w:hAnsi="Arial" w:cs="Arial"/>
        </w:rPr>
        <w:t>dripwaters</w:t>
      </w:r>
      <w:proofErr w:type="spellEnd"/>
      <w:r>
        <w:rPr>
          <w:rFonts w:ascii="Arial" w:hAnsi="Arial" w:cs="Arial"/>
        </w:rPr>
        <w:t xml:space="preserve"> is strongly buffered by carbonate dissolution equilibrium, with a monitoring CV of only 6% at Heshang. On Holocene timescales, the carbonate system has even longer to equilibrate, so Ca variability contributes negligibly to ratio uncertainty. The monitoring data confirm this: the CV of the Co/Ca molar ratio (15.9%) is essentially identical to the CV of [Co]</w:t>
      </w:r>
      <w:r>
        <w:rPr>
          <w:rFonts w:ascii="Arial" w:hAnsi="Arial" w:cs="Arial"/>
          <w:vertAlign w:val="subscript"/>
        </w:rPr>
        <w:t>aq</w:t>
      </w:r>
      <w:r>
        <w:rPr>
          <w:rFonts w:ascii="Arial" w:hAnsi="Arial" w:cs="Arial"/>
        </w:rPr>
        <w:t xml:space="preserve"> alone (15.9%), demonstrating that Ca contributes no additional variance to K</w:t>
      </w:r>
      <w:r>
        <w:rPr>
          <w:rFonts w:ascii="Arial" w:hAnsi="Arial" w:cs="Arial"/>
          <w:vertAlign w:val="subscript"/>
        </w:rPr>
        <w:t>0</w:t>
      </w:r>
      <w:r>
        <w:rPr>
          <w:rFonts w:ascii="Arial" w:hAnsi="Arial" w:cs="Arial"/>
        </w:rPr>
        <w:t>.</w:t>
      </w:r>
    </w:p>
    <w:p w14:paraId="2062E081" w14:textId="17F3D854" w:rsidR="009F5E35" w:rsidRDefault="009F5E35">
      <w:pPr>
        <w:rPr>
          <w:rFonts w:ascii="Arial" w:hAnsi="Arial" w:cs="Arial"/>
        </w:rPr>
      </w:pPr>
      <w:r>
        <w:rPr>
          <w:rFonts w:ascii="Arial" w:hAnsi="Arial" w:cs="Arial"/>
        </w:rPr>
        <w:t>The proxy is therefore inherently robust to the dominant mode of Holocene water chemistry change: the signal it reconstructs (hydrological dilution/concentration) is precisely the process that cancels through the ratio on which K</w:t>
      </w:r>
      <w:r>
        <w:rPr>
          <w:rFonts w:ascii="Arial" w:hAnsi="Arial" w:cs="Arial"/>
          <w:vertAlign w:val="subscript"/>
        </w:rPr>
        <w:t>0</w:t>
      </w:r>
      <w:r>
        <w:rPr>
          <w:rFonts w:ascii="Arial" w:hAnsi="Arial" w:cs="Arial"/>
        </w:rPr>
        <w:t xml:space="preserve"> depends. Only processes that differentially affect TE and Ca — such as changes in DOM character or soil development — could introduce a secular bias, and these would manifest as a smooth trend in the reconstruction rather than spurious high-frequency variability. The semi-quantitative mode of the web application, which back-calculates [TE]</w:t>
      </w:r>
      <w:r>
        <w:rPr>
          <w:rFonts w:ascii="Arial" w:hAnsi="Arial" w:cs="Arial"/>
          <w:vertAlign w:val="subscript"/>
        </w:rPr>
        <w:t>aq</w:t>
      </w:r>
      <w:r>
        <w:rPr>
          <w:rFonts w:ascii="Arial" w:hAnsi="Arial" w:cs="Arial"/>
        </w:rPr>
        <w:t xml:space="preserve"> from the observed proxy data at the monitored drip rate, provides a complementary approach for records where secular changes in water chemistry are suspected.</w:t>
      </w:r>
    </w:p>
    <w:p w14:paraId="0C4B7A2D" w14:textId="454BF305" w:rsidR="009F5E35" w:rsidRDefault="009F5E35">
      <w:pPr>
        <w:rPr>
          <w:rFonts w:ascii="Arial" w:hAnsi="Arial" w:cs="Arial"/>
        </w:rPr>
      </w:pPr>
      <w:r>
        <w:rPr>
          <w:rFonts w:ascii="Arial" w:hAnsi="Arial" w:cs="Arial"/>
        </w:rPr>
        <w:t xml:space="preserve">The Holocene drip rate reconstruction itself provides an empirical falsification of the hypothesis that secular changes in aqueous TE concentration could dominate the </w:t>
      </w:r>
      <w:r>
        <w:rPr>
          <w:rFonts w:ascii="Arial" w:hAnsi="Arial" w:cs="Arial"/>
        </w:rPr>
        <w:lastRenderedPageBreak/>
        <w:t xml:space="preserve">speleothem signal. Soil dissolved organic matter (DOM) production tracks temperature </w:t>
      </w:r>
      <w:r>
        <w:rPr>
          <w:rFonts w:ascii="Arial" w:hAnsi="Arial" w:cs="Arial"/>
          <w:vertAlign w:val="superscript"/>
        </w:rPr>
        <w:t>20</w:t>
      </w:r>
      <w:r>
        <w:rPr>
          <w:rFonts w:ascii="Arial" w:hAnsi="Arial" w:cs="Arial"/>
        </w:rPr>
        <w:t>, predicting increased organic–metal complex mobilisation and higher [TE]</w:t>
      </w:r>
      <w:r>
        <w:rPr>
          <w:rFonts w:ascii="Arial" w:hAnsi="Arial" w:cs="Arial"/>
          <w:vertAlign w:val="subscript"/>
        </w:rPr>
        <w:t>aq</w:t>
      </w:r>
      <w:r>
        <w:rPr>
          <w:rFonts w:ascii="Arial" w:hAnsi="Arial" w:cs="Arial"/>
        </w:rPr>
        <w:t xml:space="preserve"> toward the early Holocene thermal maximum. If this increase in [TE]</w:t>
      </w:r>
      <w:r>
        <w:rPr>
          <w:rFonts w:ascii="Arial" w:hAnsi="Arial" w:cs="Arial"/>
          <w:vertAlign w:val="subscript"/>
        </w:rPr>
        <w:t>aq</w:t>
      </w:r>
      <w:r>
        <w:rPr>
          <w:rFonts w:ascii="Arial" w:hAnsi="Arial" w:cs="Arial"/>
        </w:rPr>
        <w:t xml:space="preserve"> dominated the speleothem trace metal signal, the model would reconstruct lower drip rates toward the early Holocene, because higher [TE]</w:t>
      </w:r>
      <w:r>
        <w:rPr>
          <w:rFonts w:ascii="Arial" w:hAnsi="Arial" w:cs="Arial"/>
          <w:vertAlign w:val="subscript"/>
        </w:rPr>
        <w:t>aq</w:t>
      </w:r>
      <w:r>
        <w:rPr>
          <w:rFonts w:ascii="Arial" w:hAnsi="Arial" w:cs="Arial"/>
        </w:rPr>
        <w:t xml:space="preserve"> at fixed drip rate produces higher calcite TE concentrations, which the kinetic inversion would interpret as slower drip rate. The observed trend is the opposite: reconstructed drip rates increase from ~14 drips min⁻¹ (modern) to ~27 drips min⁻¹ (</w:t>
      </w:r>
      <w:proofErr w:type="gramStart"/>
      <w:r>
        <w:rPr>
          <w:rFonts w:ascii="Arial" w:hAnsi="Arial" w:cs="Arial"/>
        </w:rPr>
        <w:t>early–mid</w:t>
      </w:r>
      <w:proofErr w:type="gramEnd"/>
      <w:r>
        <w:rPr>
          <w:rFonts w:ascii="Arial" w:hAnsi="Arial" w:cs="Arial"/>
        </w:rPr>
        <w:t xml:space="preserve"> Holocene), consistent with insolation-driven precipitation decline rather than secular concentration change (Supplementary Fig. 3). The inversion of the predicted DOM trend confirms that thin-film residence time (drip rate), not aqueous concentration, dominates the kinetic signal throughout the Holocene.</w:t>
      </w:r>
    </w:p>
    <w:p w14:paraId="04655952" w14:textId="4A3DE312" w:rsidR="009F5E35" w:rsidRPr="00C75553" w:rsidRDefault="009F5E35">
      <w:pPr>
        <w:rPr>
          <w:rFonts w:ascii="Arial" w:hAnsi="Arial" w:cs="Arial"/>
          <w:i/>
          <w:iCs/>
        </w:rPr>
      </w:pPr>
      <w:r>
        <w:rPr>
          <w:rFonts w:ascii="Arial" w:hAnsi="Arial" w:cs="Arial"/>
          <w:i/>
          <w:iCs/>
        </w:rPr>
        <w:t>S11.5 Conclusions</w:t>
      </w:r>
    </w:p>
    <w:p w14:paraId="3F204EE5" w14:textId="70A4489D" w:rsidR="009F5E35" w:rsidRDefault="009F5E35">
      <w:pPr>
        <w:rPr>
          <w:rFonts w:ascii="Arial" w:hAnsi="Arial" w:cs="Arial"/>
        </w:rPr>
      </w:pPr>
      <w:r>
        <w:rPr>
          <w:rFonts w:ascii="Arial" w:hAnsi="Arial" w:cs="Arial"/>
        </w:rPr>
        <w:t xml:space="preserve">Fixed mean aqueous concentrations are appropriate for the HS4 reconstruction. The integration time of each milled powder measurement (~25 yr) averages ~270 independent water chemistry observations, reducing effective concentration CVs to &lt; 2%. The stochastic framework implemented in the web application remains available for sites where integration times are short, aqueous concentrations are poorly constrained, or evidence exists for secular changes in water chemistry. When applying stochastic priors, the appropriate standard deviations should be corrected for integration time: </w:t>
      </w:r>
      <w:proofErr w:type="spellStart"/>
      <w:r>
        <w:rPr>
          <w:rFonts w:ascii="Arial" w:hAnsi="Arial" w:cs="Arial"/>
        </w:rPr>
        <w:t>σ</w:t>
      </w:r>
      <w:r>
        <w:rPr>
          <w:rFonts w:ascii="Arial" w:hAnsi="Arial" w:cs="Arial"/>
          <w:vertAlign w:val="subscript"/>
        </w:rPr>
        <w:t>eff</w:t>
      </w:r>
      <w:proofErr w:type="spellEnd"/>
      <w:r>
        <w:rPr>
          <w:rFonts w:ascii="Arial" w:hAnsi="Arial" w:cs="Arial"/>
        </w:rPr>
        <w:t xml:space="preserve"> = </w:t>
      </w:r>
      <w:proofErr w:type="spellStart"/>
      <w:r>
        <w:rPr>
          <w:rFonts w:ascii="Arial" w:hAnsi="Arial" w:cs="Arial"/>
        </w:rPr>
        <w:t>σ</w:t>
      </w:r>
      <w:r>
        <w:rPr>
          <w:rFonts w:ascii="Arial" w:hAnsi="Arial" w:cs="Arial"/>
          <w:vertAlign w:val="subscript"/>
        </w:rPr>
        <w:t>monitoring</w:t>
      </w:r>
      <w:proofErr w:type="spellEnd"/>
      <w:r>
        <w:rPr>
          <w:rFonts w:ascii="Arial" w:hAnsi="Arial" w:cs="Arial"/>
        </w:rPr>
        <w:t xml:space="preserve"> / </w:t>
      </w:r>
      <w:proofErr w:type="gramStart"/>
      <w:r>
        <w:rPr>
          <w:rFonts w:ascii="Arial" w:hAnsi="Arial" w:cs="Arial"/>
        </w:rPr>
        <w:t>√(</w:t>
      </w:r>
      <w:proofErr w:type="gramEnd"/>
      <w:r>
        <w:rPr>
          <w:rFonts w:ascii="Arial" w:hAnsi="Arial" w:cs="Arial"/>
        </w:rPr>
        <w:t>T × f</w:t>
      </w:r>
      <w:r>
        <w:rPr>
          <w:rFonts w:ascii="Arial" w:hAnsi="Arial" w:cs="Arial"/>
          <w:vertAlign w:val="subscript"/>
        </w:rPr>
        <w:t>s</w:t>
      </w:r>
      <w:r>
        <w:rPr>
          <w:rFonts w:ascii="Arial" w:hAnsi="Arial" w:cs="Arial"/>
        </w:rPr>
        <w:t>). Using raw monitoring SDs without this correction over-estimates concentration uncertainty by a factor of ~</w:t>
      </w:r>
      <w:proofErr w:type="gramStart"/>
      <w:r>
        <w:rPr>
          <w:rFonts w:ascii="Arial" w:hAnsi="Arial" w:cs="Arial"/>
        </w:rPr>
        <w:t>√(</w:t>
      </w:r>
      <w:proofErr w:type="gramEnd"/>
      <w:r>
        <w:rPr>
          <w:rFonts w:ascii="Arial" w:hAnsi="Arial" w:cs="Arial"/>
        </w:rPr>
        <w:t>T × f</w:t>
      </w:r>
      <w:r>
        <w:rPr>
          <w:rFonts w:ascii="Arial" w:hAnsi="Arial" w:cs="Arial"/>
          <w:vertAlign w:val="subscript"/>
        </w:rPr>
        <w:t>s</w:t>
      </w:r>
      <w:r>
        <w:rPr>
          <w:rFonts w:ascii="Arial" w:hAnsi="Arial" w:cs="Arial"/>
        </w:rPr>
        <w:t>) — approximately 16× for HS4.</w:t>
      </w:r>
    </w:p>
    <w:p w14:paraId="557F7232" w14:textId="77777777" w:rsidR="009F5E35" w:rsidRDefault="009F5E35">
      <w:pPr>
        <w:rPr>
          <w:rFonts w:ascii="Arial" w:hAnsi="Arial" w:cs="Arial"/>
        </w:rPr>
      </w:pPr>
    </w:p>
    <w:p w14:paraId="18B9FAC3" w14:textId="77777777" w:rsidR="00C75553" w:rsidRDefault="00C75553">
      <w:pPr>
        <w:rPr>
          <w:rFonts w:ascii="Arial" w:hAnsi="Arial" w:cs="Arial"/>
        </w:rPr>
      </w:pPr>
    </w:p>
    <w:p w14:paraId="745128C9" w14:textId="77777777" w:rsidR="00C75553" w:rsidRDefault="00C75553">
      <w:pPr>
        <w:rPr>
          <w:rFonts w:ascii="Arial" w:hAnsi="Arial" w:cs="Arial"/>
        </w:rPr>
      </w:pPr>
    </w:p>
    <w:p w14:paraId="77C21A35" w14:textId="77777777" w:rsidR="00C75553" w:rsidRDefault="00C75553">
      <w:pPr>
        <w:rPr>
          <w:rFonts w:ascii="Arial" w:hAnsi="Arial" w:cs="Arial"/>
        </w:rPr>
      </w:pPr>
    </w:p>
    <w:p w14:paraId="43FF2088" w14:textId="77777777" w:rsidR="00C75553" w:rsidRDefault="00C75553">
      <w:pPr>
        <w:rPr>
          <w:rFonts w:ascii="Arial" w:hAnsi="Arial" w:cs="Arial"/>
        </w:rPr>
      </w:pPr>
    </w:p>
    <w:p w14:paraId="0056EE88" w14:textId="77777777" w:rsidR="00C75553" w:rsidRDefault="00C75553">
      <w:pPr>
        <w:rPr>
          <w:rFonts w:ascii="Arial" w:hAnsi="Arial" w:cs="Arial"/>
        </w:rPr>
      </w:pPr>
    </w:p>
    <w:p w14:paraId="636C8E69" w14:textId="77777777" w:rsidR="00C75553" w:rsidRDefault="00C75553">
      <w:pPr>
        <w:rPr>
          <w:rFonts w:ascii="Arial" w:hAnsi="Arial" w:cs="Arial"/>
        </w:rPr>
      </w:pPr>
    </w:p>
    <w:p w14:paraId="5D0B8E74" w14:textId="77777777" w:rsidR="00C75553" w:rsidRDefault="00C75553">
      <w:pPr>
        <w:rPr>
          <w:rFonts w:ascii="Arial" w:hAnsi="Arial" w:cs="Arial"/>
        </w:rPr>
      </w:pPr>
    </w:p>
    <w:p w14:paraId="7D6A72BA" w14:textId="77777777" w:rsidR="00C75553" w:rsidRDefault="00C75553">
      <w:pPr>
        <w:rPr>
          <w:rFonts w:ascii="Arial" w:hAnsi="Arial" w:cs="Arial"/>
        </w:rPr>
      </w:pPr>
    </w:p>
    <w:p w14:paraId="25DE0E0F" w14:textId="77777777" w:rsidR="00C75553" w:rsidRDefault="00C75553">
      <w:pPr>
        <w:rPr>
          <w:rFonts w:ascii="Arial" w:hAnsi="Arial" w:cs="Arial"/>
        </w:rPr>
      </w:pPr>
    </w:p>
    <w:p w14:paraId="5341640D" w14:textId="77777777" w:rsidR="00212F14" w:rsidRDefault="00212F14">
      <w:pPr>
        <w:rPr>
          <w:rFonts w:ascii="Arial" w:hAnsi="Arial" w:cs="Arial"/>
        </w:rPr>
      </w:pPr>
    </w:p>
    <w:p w14:paraId="64D33084" w14:textId="77777777" w:rsidR="00212F14" w:rsidRDefault="00212F14">
      <w:pPr>
        <w:rPr>
          <w:rFonts w:ascii="Arial" w:hAnsi="Arial" w:cs="Arial"/>
        </w:rPr>
      </w:pPr>
    </w:p>
    <w:p w14:paraId="48D11463" w14:textId="77777777" w:rsidR="00C75553" w:rsidRDefault="00C75553">
      <w:pPr>
        <w:rPr>
          <w:rFonts w:ascii="Arial" w:hAnsi="Arial" w:cs="Arial"/>
        </w:rPr>
      </w:pPr>
    </w:p>
    <w:p w14:paraId="154CBB30" w14:textId="77777777" w:rsidR="000411E1" w:rsidRPr="006B21EA" w:rsidRDefault="002B6168" w:rsidP="000411E1">
      <w:pPr>
        <w:rPr>
          <w:rFonts w:ascii="Arial" w:hAnsi="Arial" w:cs="Arial"/>
          <w:b/>
          <w:bCs/>
        </w:rPr>
      </w:pPr>
      <w:r>
        <w:rPr>
          <w:rFonts w:ascii="Arial" w:hAnsi="Arial" w:cs="Arial"/>
          <w:b/>
          <w:bCs/>
        </w:rPr>
        <w:lastRenderedPageBreak/>
        <w:t>Supplementary Data</w:t>
      </w:r>
    </w:p>
    <w:p w14:paraId="3BB5DDCE" w14:textId="77777777" w:rsidR="000411E1" w:rsidRPr="00C75553" w:rsidRDefault="000411E1" w:rsidP="000411E1">
      <w:pPr>
        <w:rPr>
          <w:rFonts w:ascii="Arial" w:hAnsi="Arial" w:cs="Arial"/>
          <w:sz w:val="20"/>
          <w:szCs w:val="20"/>
        </w:rPr>
      </w:pPr>
      <w:r>
        <w:rPr>
          <w:rFonts w:ascii="Arial" w:hAnsi="Arial" w:cs="Arial"/>
          <w:b/>
          <w:bCs/>
          <w:sz w:val="20"/>
          <w:szCs w:val="20"/>
        </w:rPr>
        <w:t>Table S1: Example Calibration Parameters</w:t>
      </w:r>
      <w:r>
        <w:rPr>
          <w:rFonts w:ascii="Arial" w:hAnsi="Arial" w:cs="Arial"/>
          <w:sz w:val="20"/>
          <w:szCs w:val="20"/>
        </w:rPr>
        <w:br/>
        <w:t>(From modern Heshang data; full dataset in Drip_rate.xlsx.)</w:t>
      </w:r>
    </w:p>
    <w:tbl>
      <w:tblPr>
        <w:tblW w:w="0" w:type="auto"/>
        <w:tblCellSpacing w:w="15"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992"/>
        <w:gridCol w:w="5343"/>
      </w:tblGrid>
      <w:tr w:rsidR="000411E1" w:rsidRPr="00C75553" w14:paraId="55388371" w14:textId="77777777" w:rsidTr="007B1D9F">
        <w:trPr>
          <w:tblHeader/>
          <w:tblCellSpacing w:w="15" w:type="dxa"/>
        </w:trPr>
        <w:tc>
          <w:tcPr>
            <w:tcW w:w="1373" w:type="dxa"/>
            <w:vAlign w:val="center"/>
            <w:hideMark/>
          </w:tcPr>
          <w:p w14:paraId="4B0AF89C" w14:textId="77777777" w:rsidR="000411E1" w:rsidRPr="00C75553" w:rsidRDefault="000411E1" w:rsidP="000411E1">
            <w:pPr>
              <w:rPr>
                <w:rFonts w:ascii="Arial" w:hAnsi="Arial" w:cs="Arial"/>
                <w:b/>
                <w:bCs/>
                <w:sz w:val="20"/>
                <w:szCs w:val="20"/>
              </w:rPr>
            </w:pPr>
            <w:r>
              <w:rPr>
                <w:rFonts w:ascii="Arial" w:hAnsi="Arial" w:cs="Arial"/>
                <w:b/>
                <w:bCs/>
                <w:sz w:val="20"/>
                <w:szCs w:val="20"/>
              </w:rPr>
              <w:t>Parameter</w:t>
            </w:r>
          </w:p>
        </w:tc>
        <w:tc>
          <w:tcPr>
            <w:tcW w:w="962" w:type="dxa"/>
            <w:vAlign w:val="center"/>
            <w:hideMark/>
          </w:tcPr>
          <w:p w14:paraId="7EF04B2A" w14:textId="77777777" w:rsidR="000411E1" w:rsidRPr="00C75553" w:rsidRDefault="000411E1" w:rsidP="000411E1">
            <w:pPr>
              <w:rPr>
                <w:rFonts w:ascii="Arial" w:hAnsi="Arial" w:cs="Arial"/>
                <w:b/>
                <w:bCs/>
                <w:sz w:val="20"/>
                <w:szCs w:val="20"/>
              </w:rPr>
            </w:pPr>
            <w:r>
              <w:rPr>
                <w:rFonts w:ascii="Arial" w:hAnsi="Arial" w:cs="Arial"/>
                <w:b/>
                <w:bCs/>
                <w:sz w:val="20"/>
                <w:szCs w:val="20"/>
              </w:rPr>
              <w:t>Value</w:t>
            </w:r>
          </w:p>
        </w:tc>
        <w:tc>
          <w:tcPr>
            <w:tcW w:w="5298" w:type="dxa"/>
            <w:vAlign w:val="center"/>
            <w:hideMark/>
          </w:tcPr>
          <w:p w14:paraId="638089EF" w14:textId="77777777" w:rsidR="000411E1" w:rsidRPr="00C75553" w:rsidRDefault="000411E1" w:rsidP="000411E1">
            <w:pPr>
              <w:rPr>
                <w:rFonts w:ascii="Arial" w:hAnsi="Arial" w:cs="Arial"/>
                <w:b/>
                <w:bCs/>
                <w:sz w:val="20"/>
                <w:szCs w:val="20"/>
              </w:rPr>
            </w:pPr>
            <w:r>
              <w:rPr>
                <w:rFonts w:ascii="Arial" w:hAnsi="Arial" w:cs="Arial"/>
                <w:b/>
                <w:bCs/>
                <w:sz w:val="20"/>
                <w:szCs w:val="20"/>
              </w:rPr>
              <w:t>Source</w:t>
            </w:r>
          </w:p>
        </w:tc>
      </w:tr>
      <w:tr w:rsidR="000411E1" w:rsidRPr="00C75553" w14:paraId="7875D7C5" w14:textId="77777777" w:rsidTr="007B1D9F">
        <w:trPr>
          <w:tblCellSpacing w:w="15" w:type="dxa"/>
        </w:trPr>
        <w:tc>
          <w:tcPr>
            <w:tcW w:w="1373" w:type="dxa"/>
            <w:vAlign w:val="center"/>
            <w:hideMark/>
          </w:tcPr>
          <w:p w14:paraId="74177C49" w14:textId="77777777" w:rsidR="000411E1" w:rsidRPr="00C75553" w:rsidRDefault="000411E1" w:rsidP="000411E1">
            <w:pPr>
              <w:rPr>
                <w:rFonts w:ascii="Arial" w:hAnsi="Arial" w:cs="Arial"/>
                <w:sz w:val="20"/>
                <w:szCs w:val="20"/>
              </w:rPr>
            </w:pPr>
            <w:r>
              <w:rPr>
                <w:rFonts w:ascii="Arial" w:hAnsi="Arial" w:cs="Arial"/>
                <w:sz w:val="20"/>
                <w:szCs w:val="20"/>
              </w:rPr>
              <w:t>μ(Ni)</w:t>
            </w:r>
          </w:p>
        </w:tc>
        <w:tc>
          <w:tcPr>
            <w:tcW w:w="962" w:type="dxa"/>
            <w:vAlign w:val="center"/>
            <w:hideMark/>
          </w:tcPr>
          <w:p w14:paraId="4407EE7C" w14:textId="77777777" w:rsidR="000411E1" w:rsidRPr="00C75553" w:rsidRDefault="000411E1" w:rsidP="000411E1">
            <w:pPr>
              <w:rPr>
                <w:rFonts w:ascii="Arial" w:hAnsi="Arial" w:cs="Arial"/>
                <w:sz w:val="20"/>
                <w:szCs w:val="20"/>
              </w:rPr>
            </w:pPr>
            <w:r>
              <w:rPr>
                <w:rFonts w:ascii="Arial" w:hAnsi="Arial" w:cs="Arial"/>
                <w:sz w:val="20"/>
                <w:szCs w:val="20"/>
              </w:rPr>
              <w:t>-3.91</w:t>
            </w:r>
          </w:p>
        </w:tc>
        <w:tc>
          <w:tcPr>
            <w:tcW w:w="5298" w:type="dxa"/>
            <w:vAlign w:val="center"/>
            <w:hideMark/>
          </w:tcPr>
          <w:p w14:paraId="7F54EF86" w14:textId="77777777" w:rsidR="000411E1" w:rsidRPr="00C75553" w:rsidRDefault="000411E1" w:rsidP="000411E1">
            <w:pPr>
              <w:rPr>
                <w:rFonts w:ascii="Arial" w:hAnsi="Arial" w:cs="Arial"/>
                <w:sz w:val="20"/>
                <w:szCs w:val="20"/>
              </w:rPr>
            </w:pPr>
            <w:r>
              <w:rPr>
                <w:rFonts w:ascii="Arial" w:hAnsi="Arial" w:cs="Arial"/>
                <w:sz w:val="20"/>
                <w:szCs w:val="20"/>
              </w:rPr>
              <w:t>Optimised vs. Yichang P/T (2005–2015)</w:t>
            </w:r>
          </w:p>
        </w:tc>
      </w:tr>
      <w:tr w:rsidR="000411E1" w:rsidRPr="00C75553" w14:paraId="635415C3" w14:textId="77777777" w:rsidTr="007B1D9F">
        <w:trPr>
          <w:tblCellSpacing w:w="15" w:type="dxa"/>
        </w:trPr>
        <w:tc>
          <w:tcPr>
            <w:tcW w:w="1373" w:type="dxa"/>
            <w:vAlign w:val="center"/>
            <w:hideMark/>
          </w:tcPr>
          <w:p w14:paraId="5BE39694" w14:textId="77777777" w:rsidR="000411E1" w:rsidRPr="00C75553" w:rsidRDefault="000411E1" w:rsidP="000411E1">
            <w:pPr>
              <w:rPr>
                <w:rFonts w:ascii="Arial" w:hAnsi="Arial" w:cs="Arial"/>
                <w:sz w:val="20"/>
                <w:szCs w:val="20"/>
              </w:rPr>
            </w:pPr>
            <w:r>
              <w:rPr>
                <w:rFonts w:ascii="Arial" w:hAnsi="Arial" w:cs="Arial"/>
                <w:sz w:val="20"/>
                <w:szCs w:val="20"/>
              </w:rPr>
              <w:t>σ(Ni)</w:t>
            </w:r>
          </w:p>
        </w:tc>
        <w:tc>
          <w:tcPr>
            <w:tcW w:w="962" w:type="dxa"/>
            <w:vAlign w:val="center"/>
            <w:hideMark/>
          </w:tcPr>
          <w:p w14:paraId="451488E7" w14:textId="77777777" w:rsidR="000411E1" w:rsidRPr="00C75553" w:rsidRDefault="000411E1" w:rsidP="000411E1">
            <w:pPr>
              <w:rPr>
                <w:rFonts w:ascii="Arial" w:hAnsi="Arial" w:cs="Arial"/>
                <w:sz w:val="20"/>
                <w:szCs w:val="20"/>
              </w:rPr>
            </w:pPr>
            <w:r>
              <w:rPr>
                <w:rFonts w:ascii="Arial" w:hAnsi="Arial" w:cs="Arial"/>
                <w:sz w:val="20"/>
                <w:szCs w:val="20"/>
              </w:rPr>
              <w:t>1.39</w:t>
            </w:r>
          </w:p>
        </w:tc>
        <w:tc>
          <w:tcPr>
            <w:tcW w:w="5298" w:type="dxa"/>
            <w:vAlign w:val="center"/>
            <w:hideMark/>
          </w:tcPr>
          <w:p w14:paraId="3FD4D74A" w14:textId="77777777" w:rsidR="000411E1" w:rsidRPr="00C75553" w:rsidRDefault="004D3922" w:rsidP="000411E1">
            <w:pPr>
              <w:rPr>
                <w:rFonts w:ascii="Arial" w:hAnsi="Arial" w:cs="Arial"/>
                <w:sz w:val="20"/>
                <w:szCs w:val="20"/>
              </w:rPr>
            </w:pPr>
            <w:r>
              <w:rPr>
                <w:rFonts w:ascii="Arial" w:hAnsi="Arial" w:cs="Arial"/>
                <w:sz w:val="20"/>
                <w:szCs w:val="20"/>
              </w:rPr>
              <w:t>Optimised vs. Yichang P/T (2005–2015)</w:t>
            </w:r>
          </w:p>
        </w:tc>
      </w:tr>
      <w:tr w:rsidR="000411E1" w:rsidRPr="00C75553" w14:paraId="2C7A0B54" w14:textId="77777777" w:rsidTr="007B1D9F">
        <w:trPr>
          <w:tblCellSpacing w:w="15" w:type="dxa"/>
        </w:trPr>
        <w:tc>
          <w:tcPr>
            <w:tcW w:w="1373" w:type="dxa"/>
            <w:vAlign w:val="center"/>
            <w:hideMark/>
          </w:tcPr>
          <w:p w14:paraId="2BD3B88D" w14:textId="77777777" w:rsidR="000411E1" w:rsidRPr="00C75553" w:rsidRDefault="000411E1" w:rsidP="000411E1">
            <w:pPr>
              <w:rPr>
                <w:rFonts w:ascii="Arial" w:hAnsi="Arial" w:cs="Arial"/>
                <w:sz w:val="20"/>
                <w:szCs w:val="20"/>
              </w:rPr>
            </w:pPr>
            <w:proofErr w:type="spellStart"/>
            <w:r>
              <w:rPr>
                <w:rFonts w:ascii="Arial" w:hAnsi="Arial" w:cs="Arial"/>
                <w:sz w:val="20"/>
                <w:szCs w:val="20"/>
              </w:rPr>
              <w:t>λ</w:t>
            </w:r>
            <w:r>
              <w:rPr>
                <w:rFonts w:ascii="Arial" w:hAnsi="Arial" w:cs="Arial"/>
                <w:sz w:val="20"/>
                <w:szCs w:val="20"/>
                <w:vertAlign w:val="subscript"/>
              </w:rPr>
              <w:t>F</w:t>
            </w:r>
            <w:proofErr w:type="spellEnd"/>
          </w:p>
        </w:tc>
        <w:tc>
          <w:tcPr>
            <w:tcW w:w="962" w:type="dxa"/>
            <w:vAlign w:val="center"/>
            <w:hideMark/>
          </w:tcPr>
          <w:p w14:paraId="745BC379" w14:textId="77777777" w:rsidR="000411E1" w:rsidRPr="00C75553" w:rsidRDefault="000411E1" w:rsidP="000411E1">
            <w:pPr>
              <w:rPr>
                <w:rFonts w:ascii="Arial" w:hAnsi="Arial" w:cs="Arial"/>
                <w:sz w:val="20"/>
                <w:szCs w:val="20"/>
              </w:rPr>
            </w:pPr>
            <w:r>
              <w:rPr>
                <w:rFonts w:ascii="Arial" w:hAnsi="Arial" w:cs="Arial"/>
                <w:sz w:val="20"/>
                <w:szCs w:val="20"/>
              </w:rPr>
              <w:t>0.001</w:t>
            </w:r>
          </w:p>
        </w:tc>
        <w:tc>
          <w:tcPr>
            <w:tcW w:w="5298" w:type="dxa"/>
            <w:vAlign w:val="center"/>
            <w:hideMark/>
          </w:tcPr>
          <w:p w14:paraId="7F66F961" w14:textId="77777777" w:rsidR="000411E1" w:rsidRPr="00C75553" w:rsidRDefault="000411E1" w:rsidP="000411E1">
            <w:pPr>
              <w:rPr>
                <w:rFonts w:ascii="Arial" w:hAnsi="Arial" w:cs="Arial"/>
                <w:sz w:val="20"/>
                <w:szCs w:val="20"/>
              </w:rPr>
            </w:pPr>
            <w:r>
              <w:rPr>
                <w:rFonts w:ascii="Arial" w:hAnsi="Arial" w:cs="Arial"/>
                <w:sz w:val="20"/>
                <w:szCs w:val="20"/>
              </w:rPr>
              <w:t>Assumed base following lab data for Cu</w:t>
            </w:r>
            <w:r>
              <w:rPr>
                <w:rFonts w:ascii="Arial" w:hAnsi="Arial" w:cs="Arial"/>
                <w:vertAlign w:val="superscript"/>
              </w:rPr>
              <w:t>1</w:t>
            </w:r>
          </w:p>
        </w:tc>
      </w:tr>
      <w:tr w:rsidR="000411E1" w:rsidRPr="00C75553" w14:paraId="1B4983B3" w14:textId="77777777" w:rsidTr="007B1D9F">
        <w:trPr>
          <w:tblCellSpacing w:w="15" w:type="dxa"/>
        </w:trPr>
        <w:tc>
          <w:tcPr>
            <w:tcW w:w="1373" w:type="dxa"/>
            <w:vAlign w:val="center"/>
            <w:hideMark/>
          </w:tcPr>
          <w:p w14:paraId="6111708D" w14:textId="77777777" w:rsidR="000411E1" w:rsidRPr="00C75553" w:rsidRDefault="000411E1" w:rsidP="000411E1">
            <w:pPr>
              <w:rPr>
                <w:rFonts w:ascii="Arial" w:hAnsi="Arial" w:cs="Arial"/>
                <w:sz w:val="20"/>
                <w:szCs w:val="20"/>
              </w:rPr>
            </w:pPr>
            <w:r>
              <w:rPr>
                <w:rFonts w:ascii="Arial" w:hAnsi="Arial" w:cs="Arial"/>
                <w:sz w:val="20"/>
                <w:szCs w:val="20"/>
              </w:rPr>
              <w:t>[Ca</w:t>
            </w:r>
            <w:r>
              <w:rPr>
                <w:rFonts w:ascii="Arial" w:hAnsi="Arial" w:cs="Arial"/>
                <w:sz w:val="20"/>
                <w:szCs w:val="20"/>
                <w:vertAlign w:val="subscript"/>
              </w:rPr>
              <w:t>aq</w:t>
            </w:r>
            <w:r>
              <w:rPr>
                <w:rFonts w:ascii="Arial" w:hAnsi="Arial" w:cs="Arial"/>
                <w:sz w:val="20"/>
                <w:szCs w:val="20"/>
              </w:rPr>
              <w:t>] (ppb)</w:t>
            </w:r>
          </w:p>
        </w:tc>
        <w:tc>
          <w:tcPr>
            <w:tcW w:w="962" w:type="dxa"/>
            <w:vAlign w:val="center"/>
            <w:hideMark/>
          </w:tcPr>
          <w:p w14:paraId="7517C5A9" w14:textId="77777777" w:rsidR="000411E1" w:rsidRPr="00C75553" w:rsidRDefault="000411E1" w:rsidP="000411E1">
            <w:pPr>
              <w:rPr>
                <w:rFonts w:ascii="Arial" w:hAnsi="Arial" w:cs="Arial"/>
                <w:sz w:val="20"/>
                <w:szCs w:val="20"/>
              </w:rPr>
            </w:pPr>
            <w:r>
              <w:rPr>
                <w:rFonts w:ascii="Arial" w:hAnsi="Arial" w:cs="Arial"/>
                <w:sz w:val="20"/>
                <w:szCs w:val="20"/>
              </w:rPr>
              <w:t>67,437</w:t>
            </w:r>
          </w:p>
        </w:tc>
        <w:tc>
          <w:tcPr>
            <w:tcW w:w="5298" w:type="dxa"/>
            <w:vAlign w:val="center"/>
            <w:hideMark/>
          </w:tcPr>
          <w:p w14:paraId="2C06C893" w14:textId="77777777" w:rsidR="000411E1" w:rsidRPr="00C75553" w:rsidRDefault="000411E1" w:rsidP="000411E1">
            <w:pPr>
              <w:rPr>
                <w:rFonts w:ascii="Arial" w:hAnsi="Arial" w:cs="Arial"/>
                <w:sz w:val="20"/>
                <w:szCs w:val="20"/>
              </w:rPr>
            </w:pPr>
            <w:r>
              <w:rPr>
                <w:rFonts w:ascii="Arial" w:hAnsi="Arial" w:cs="Arial"/>
                <w:sz w:val="20"/>
                <w:szCs w:val="20"/>
              </w:rPr>
              <w:t>Median monitored</w:t>
            </w:r>
          </w:p>
        </w:tc>
      </w:tr>
      <w:tr w:rsidR="00BC5D39" w:rsidRPr="00C75553" w14:paraId="29D9EAE2" w14:textId="77777777" w:rsidTr="007B1D9F">
        <w:trPr>
          <w:tblCellSpacing w:w="15" w:type="dxa"/>
        </w:trPr>
        <w:tc>
          <w:tcPr>
            <w:tcW w:w="1373" w:type="dxa"/>
            <w:vAlign w:val="center"/>
          </w:tcPr>
          <w:p w14:paraId="6E4E2AC3" w14:textId="77777777" w:rsidR="00BC5D39" w:rsidRPr="00C75553" w:rsidRDefault="00BC5D39" w:rsidP="000411E1">
            <w:pPr>
              <w:rPr>
                <w:rFonts w:ascii="Arial" w:hAnsi="Arial" w:cs="Arial"/>
                <w:sz w:val="20"/>
                <w:szCs w:val="20"/>
              </w:rPr>
            </w:pPr>
            <w:r>
              <w:rPr>
                <w:rFonts w:ascii="Arial" w:hAnsi="Arial" w:cs="Arial"/>
                <w:sz w:val="20"/>
                <w:szCs w:val="20"/>
              </w:rPr>
              <w:t>[</w:t>
            </w:r>
            <w:proofErr w:type="spellStart"/>
            <w:r>
              <w:rPr>
                <w:rFonts w:ascii="Arial" w:hAnsi="Arial" w:cs="Arial"/>
                <w:sz w:val="20"/>
                <w:szCs w:val="20"/>
              </w:rPr>
              <w:t>Ni</w:t>
            </w:r>
            <w:r>
              <w:rPr>
                <w:rFonts w:ascii="Arial" w:hAnsi="Arial" w:cs="Arial"/>
                <w:sz w:val="20"/>
                <w:szCs w:val="20"/>
                <w:vertAlign w:val="subscript"/>
              </w:rPr>
              <w:t>aq</w:t>
            </w:r>
            <w:proofErr w:type="spellEnd"/>
            <w:r>
              <w:rPr>
                <w:rFonts w:ascii="Arial" w:hAnsi="Arial" w:cs="Arial"/>
                <w:sz w:val="20"/>
                <w:szCs w:val="20"/>
              </w:rPr>
              <w:t>] (ppb)</w:t>
            </w:r>
          </w:p>
        </w:tc>
        <w:tc>
          <w:tcPr>
            <w:tcW w:w="962" w:type="dxa"/>
            <w:vAlign w:val="center"/>
          </w:tcPr>
          <w:p w14:paraId="47CB78A5" w14:textId="77777777" w:rsidR="00BC5D39" w:rsidRPr="00C75553" w:rsidRDefault="00BC5D39" w:rsidP="000411E1">
            <w:pPr>
              <w:rPr>
                <w:rFonts w:ascii="Arial" w:hAnsi="Arial" w:cs="Arial"/>
                <w:sz w:val="20"/>
                <w:szCs w:val="20"/>
              </w:rPr>
            </w:pPr>
            <w:r>
              <w:rPr>
                <w:rFonts w:ascii="Arial" w:hAnsi="Arial" w:cs="Arial"/>
                <w:sz w:val="20"/>
                <w:szCs w:val="20"/>
              </w:rPr>
              <w:t>4.37</w:t>
            </w:r>
          </w:p>
        </w:tc>
        <w:tc>
          <w:tcPr>
            <w:tcW w:w="5298" w:type="dxa"/>
            <w:vAlign w:val="center"/>
          </w:tcPr>
          <w:p w14:paraId="63E02AE1" w14:textId="77777777" w:rsidR="00BC5D39" w:rsidRPr="00C75553" w:rsidRDefault="00BC5D39" w:rsidP="000411E1">
            <w:pPr>
              <w:rPr>
                <w:rFonts w:ascii="Arial" w:hAnsi="Arial" w:cs="Arial"/>
                <w:sz w:val="20"/>
                <w:szCs w:val="20"/>
              </w:rPr>
            </w:pPr>
            <w:r>
              <w:rPr>
                <w:rFonts w:ascii="Arial" w:hAnsi="Arial" w:cs="Arial"/>
                <w:sz w:val="20"/>
                <w:szCs w:val="20"/>
              </w:rPr>
              <w:t>Median monitored</w:t>
            </w:r>
          </w:p>
        </w:tc>
      </w:tr>
    </w:tbl>
    <w:p w14:paraId="28149E38" w14:textId="77777777" w:rsidR="007B1D9F" w:rsidRPr="00C75553" w:rsidRDefault="007B1D9F" w:rsidP="007B1D9F">
      <w:pPr>
        <w:rPr>
          <w:rFonts w:ascii="Arial" w:hAnsi="Arial" w:cs="Arial"/>
          <w:b/>
          <w:bCs/>
          <w:sz w:val="20"/>
          <w:szCs w:val="20"/>
        </w:rPr>
      </w:pPr>
    </w:p>
    <w:p w14:paraId="3A069413" w14:textId="77777777" w:rsidR="007B1D9F" w:rsidRPr="00C75553" w:rsidRDefault="007B1D9F" w:rsidP="007B1D9F">
      <w:pPr>
        <w:rPr>
          <w:rFonts w:ascii="Arial" w:hAnsi="Arial" w:cs="Arial"/>
          <w:sz w:val="20"/>
          <w:szCs w:val="20"/>
        </w:rPr>
      </w:pPr>
      <w:r>
        <w:rPr>
          <w:rFonts w:ascii="Arial" w:hAnsi="Arial" w:cs="Arial"/>
          <w:b/>
          <w:bCs/>
          <w:sz w:val="20"/>
          <w:szCs w:val="20"/>
        </w:rPr>
        <w:t>Table S2: Regression Parameters for P/T Chained Models</w:t>
      </w:r>
    </w:p>
    <w:tbl>
      <w:tblPr>
        <w:tblW w:w="0" w:type="auto"/>
        <w:tblCellSpacing w:w="15"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822"/>
        <w:gridCol w:w="842"/>
        <w:gridCol w:w="851"/>
        <w:gridCol w:w="2943"/>
      </w:tblGrid>
      <w:tr w:rsidR="007B1D9F" w:rsidRPr="00C75553" w14:paraId="2F2447A2" w14:textId="77777777" w:rsidTr="007B1D9F">
        <w:trPr>
          <w:tblHeader/>
          <w:tblCellSpacing w:w="15" w:type="dxa"/>
        </w:trPr>
        <w:tc>
          <w:tcPr>
            <w:tcW w:w="0" w:type="auto"/>
            <w:vAlign w:val="center"/>
            <w:hideMark/>
          </w:tcPr>
          <w:p w14:paraId="296B6C8E" w14:textId="77777777" w:rsidR="007B1D9F" w:rsidRPr="00C75553" w:rsidRDefault="007B1D9F" w:rsidP="007B1D9F">
            <w:pPr>
              <w:rPr>
                <w:rFonts w:ascii="Arial" w:hAnsi="Arial" w:cs="Arial"/>
                <w:b/>
                <w:bCs/>
                <w:sz w:val="20"/>
                <w:szCs w:val="20"/>
              </w:rPr>
            </w:pPr>
            <w:r>
              <w:rPr>
                <w:rFonts w:ascii="Arial" w:hAnsi="Arial" w:cs="Arial"/>
                <w:b/>
                <w:bCs/>
                <w:sz w:val="20"/>
                <w:szCs w:val="20"/>
              </w:rPr>
              <w:t>Parameter</w:t>
            </w:r>
          </w:p>
        </w:tc>
        <w:tc>
          <w:tcPr>
            <w:tcW w:w="812" w:type="dxa"/>
            <w:vAlign w:val="center"/>
            <w:hideMark/>
          </w:tcPr>
          <w:p w14:paraId="19303A49" w14:textId="77777777" w:rsidR="007B1D9F" w:rsidRPr="00C75553" w:rsidRDefault="007B1D9F" w:rsidP="007B1D9F">
            <w:pPr>
              <w:rPr>
                <w:rFonts w:ascii="Arial" w:hAnsi="Arial" w:cs="Arial"/>
                <w:b/>
                <w:bCs/>
                <w:sz w:val="20"/>
                <w:szCs w:val="20"/>
              </w:rPr>
            </w:pPr>
            <w:r>
              <w:rPr>
                <w:rFonts w:ascii="Arial" w:hAnsi="Arial" w:cs="Arial"/>
                <w:b/>
                <w:bCs/>
                <w:sz w:val="20"/>
                <w:szCs w:val="20"/>
              </w:rPr>
              <w:t>Mean</w:t>
            </w:r>
          </w:p>
        </w:tc>
        <w:tc>
          <w:tcPr>
            <w:tcW w:w="821" w:type="dxa"/>
            <w:vAlign w:val="center"/>
            <w:hideMark/>
          </w:tcPr>
          <w:p w14:paraId="6A38CCEC" w14:textId="77777777" w:rsidR="007B1D9F" w:rsidRPr="00C75553" w:rsidRDefault="007B1D9F" w:rsidP="007B1D9F">
            <w:pPr>
              <w:rPr>
                <w:rFonts w:ascii="Arial" w:hAnsi="Arial" w:cs="Arial"/>
                <w:b/>
                <w:bCs/>
                <w:sz w:val="20"/>
                <w:szCs w:val="20"/>
              </w:rPr>
            </w:pPr>
            <w:r>
              <w:rPr>
                <w:rFonts w:ascii="Arial" w:hAnsi="Arial" w:cs="Arial"/>
                <w:b/>
                <w:bCs/>
                <w:sz w:val="20"/>
                <w:szCs w:val="20"/>
              </w:rPr>
              <w:t>Std</w:t>
            </w:r>
          </w:p>
        </w:tc>
        <w:tc>
          <w:tcPr>
            <w:tcW w:w="2898" w:type="dxa"/>
            <w:vAlign w:val="center"/>
            <w:hideMark/>
          </w:tcPr>
          <w:p w14:paraId="201A61BD" w14:textId="77777777" w:rsidR="007B1D9F" w:rsidRPr="00C75553" w:rsidRDefault="007B1D9F" w:rsidP="007B1D9F">
            <w:pPr>
              <w:rPr>
                <w:rFonts w:ascii="Arial" w:hAnsi="Arial" w:cs="Arial"/>
                <w:b/>
                <w:bCs/>
                <w:sz w:val="20"/>
                <w:szCs w:val="20"/>
              </w:rPr>
            </w:pPr>
            <w:r>
              <w:rPr>
                <w:rFonts w:ascii="Arial" w:hAnsi="Arial" w:cs="Arial"/>
                <w:b/>
                <w:bCs/>
                <w:sz w:val="20"/>
                <w:szCs w:val="20"/>
              </w:rPr>
              <w:t>Source</w:t>
            </w:r>
          </w:p>
        </w:tc>
      </w:tr>
      <w:tr w:rsidR="007B1D9F" w:rsidRPr="00C75553" w14:paraId="1FFD7ECC" w14:textId="77777777" w:rsidTr="007B1D9F">
        <w:trPr>
          <w:tblCellSpacing w:w="15" w:type="dxa"/>
        </w:trPr>
        <w:tc>
          <w:tcPr>
            <w:tcW w:w="0" w:type="auto"/>
            <w:vAlign w:val="center"/>
            <w:hideMark/>
          </w:tcPr>
          <w:p w14:paraId="1DDCDFA1" w14:textId="77777777" w:rsidR="007B1D9F" w:rsidRPr="00C75553" w:rsidRDefault="007B1D9F" w:rsidP="007B1D9F">
            <w:pPr>
              <w:rPr>
                <w:rFonts w:ascii="Arial" w:hAnsi="Arial" w:cs="Arial"/>
                <w:sz w:val="20"/>
                <w:szCs w:val="20"/>
              </w:rPr>
            </w:pPr>
            <w:r>
              <w:rPr>
                <w:rFonts w:ascii="Arial" w:hAnsi="Arial" w:cs="Arial"/>
                <w:sz w:val="20"/>
                <w:szCs w:val="20"/>
              </w:rPr>
              <w:t>a</w:t>
            </w:r>
            <w:r>
              <w:rPr>
                <w:rFonts w:ascii="Arial" w:hAnsi="Arial" w:cs="Arial"/>
                <w:sz w:val="20"/>
                <w:szCs w:val="20"/>
                <w:vertAlign w:val="subscript"/>
              </w:rPr>
              <w:t>h</w:t>
            </w:r>
            <w:r>
              <w:rPr>
                <w:rFonts w:ascii="Arial" w:hAnsi="Arial" w:cs="Arial"/>
                <w:sz w:val="20"/>
                <w:szCs w:val="20"/>
              </w:rPr>
              <w:t xml:space="preserve"> (Heshang slope)</w:t>
            </w:r>
          </w:p>
        </w:tc>
        <w:tc>
          <w:tcPr>
            <w:tcW w:w="812" w:type="dxa"/>
            <w:vAlign w:val="center"/>
            <w:hideMark/>
          </w:tcPr>
          <w:p w14:paraId="3D7BEBCB" w14:textId="77777777" w:rsidR="007B1D9F" w:rsidRPr="00C75553" w:rsidRDefault="007B1D9F" w:rsidP="007B1D9F">
            <w:pPr>
              <w:rPr>
                <w:rFonts w:ascii="Arial" w:hAnsi="Arial" w:cs="Arial"/>
                <w:sz w:val="20"/>
                <w:szCs w:val="20"/>
              </w:rPr>
            </w:pPr>
            <w:r>
              <w:rPr>
                <w:rFonts w:ascii="Arial" w:hAnsi="Arial" w:cs="Arial"/>
                <w:sz w:val="20"/>
                <w:szCs w:val="20"/>
              </w:rPr>
              <w:t>0.0102</w:t>
            </w:r>
          </w:p>
        </w:tc>
        <w:tc>
          <w:tcPr>
            <w:tcW w:w="821" w:type="dxa"/>
            <w:vAlign w:val="center"/>
            <w:hideMark/>
          </w:tcPr>
          <w:p w14:paraId="5611AF73" w14:textId="77777777" w:rsidR="007B1D9F" w:rsidRPr="00C75553" w:rsidRDefault="007B1D9F" w:rsidP="007B1D9F">
            <w:pPr>
              <w:rPr>
                <w:rFonts w:ascii="Arial" w:hAnsi="Arial" w:cs="Arial"/>
                <w:sz w:val="20"/>
                <w:szCs w:val="20"/>
              </w:rPr>
            </w:pPr>
            <w:r>
              <w:rPr>
                <w:rFonts w:ascii="Arial" w:hAnsi="Arial" w:cs="Arial"/>
                <w:sz w:val="20"/>
                <w:szCs w:val="20"/>
              </w:rPr>
              <w:t>0.0025</w:t>
            </w:r>
          </w:p>
        </w:tc>
        <w:tc>
          <w:tcPr>
            <w:tcW w:w="2898" w:type="dxa"/>
            <w:vAlign w:val="center"/>
            <w:hideMark/>
          </w:tcPr>
          <w:p w14:paraId="7F84AD69" w14:textId="77777777" w:rsidR="007B1D9F" w:rsidRPr="00C75553" w:rsidRDefault="007B1D9F" w:rsidP="007B1D9F">
            <w:pPr>
              <w:rPr>
                <w:rFonts w:ascii="Arial" w:hAnsi="Arial" w:cs="Arial"/>
                <w:sz w:val="20"/>
                <w:szCs w:val="20"/>
              </w:rPr>
            </w:pPr>
            <w:r>
              <w:rPr>
                <w:rFonts w:ascii="Arial" w:hAnsi="Arial" w:cs="Arial"/>
                <w:sz w:val="20"/>
                <w:szCs w:val="20"/>
              </w:rPr>
              <w:t>Fit to cave drip vs. P/T</w:t>
            </w:r>
          </w:p>
        </w:tc>
      </w:tr>
      <w:tr w:rsidR="007B1D9F" w:rsidRPr="00C75553" w14:paraId="3D4F984D" w14:textId="77777777" w:rsidTr="007B1D9F">
        <w:trPr>
          <w:tblCellSpacing w:w="15" w:type="dxa"/>
        </w:trPr>
        <w:tc>
          <w:tcPr>
            <w:tcW w:w="0" w:type="auto"/>
            <w:vAlign w:val="center"/>
            <w:hideMark/>
          </w:tcPr>
          <w:p w14:paraId="5AF61014" w14:textId="77777777" w:rsidR="007B1D9F" w:rsidRPr="00C75553" w:rsidRDefault="007B1D9F" w:rsidP="007B1D9F">
            <w:pPr>
              <w:rPr>
                <w:rFonts w:ascii="Arial" w:hAnsi="Arial" w:cs="Arial"/>
                <w:sz w:val="20"/>
                <w:szCs w:val="20"/>
              </w:rPr>
            </w:pPr>
            <w:proofErr w:type="spellStart"/>
            <w:r>
              <w:rPr>
                <w:rFonts w:ascii="Arial" w:hAnsi="Arial" w:cs="Arial"/>
                <w:sz w:val="20"/>
                <w:szCs w:val="20"/>
              </w:rPr>
              <w:t>b</w:t>
            </w:r>
            <w:r>
              <w:rPr>
                <w:rFonts w:ascii="Arial" w:hAnsi="Arial" w:cs="Arial"/>
                <w:sz w:val="20"/>
                <w:szCs w:val="20"/>
                <w:vertAlign w:val="subscript"/>
              </w:rPr>
              <w:t>h</w:t>
            </w:r>
            <w:proofErr w:type="spellEnd"/>
            <w:r>
              <w:rPr>
                <w:rFonts w:ascii="Arial" w:hAnsi="Arial" w:cs="Arial"/>
                <w:sz w:val="20"/>
                <w:szCs w:val="20"/>
              </w:rPr>
              <w:t xml:space="preserve"> (Heshang intercept)</w:t>
            </w:r>
          </w:p>
        </w:tc>
        <w:tc>
          <w:tcPr>
            <w:tcW w:w="812" w:type="dxa"/>
            <w:vAlign w:val="center"/>
            <w:hideMark/>
          </w:tcPr>
          <w:p w14:paraId="2CD3C368" w14:textId="77777777" w:rsidR="007B1D9F" w:rsidRPr="00C75553" w:rsidRDefault="007B1D9F" w:rsidP="007B1D9F">
            <w:pPr>
              <w:rPr>
                <w:rFonts w:ascii="Arial" w:hAnsi="Arial" w:cs="Arial"/>
                <w:sz w:val="20"/>
                <w:szCs w:val="20"/>
              </w:rPr>
            </w:pPr>
            <w:r>
              <w:rPr>
                <w:rFonts w:ascii="Arial" w:hAnsi="Arial" w:cs="Arial"/>
                <w:sz w:val="20"/>
                <w:szCs w:val="20"/>
              </w:rPr>
              <w:t>-0.0151</w:t>
            </w:r>
          </w:p>
        </w:tc>
        <w:tc>
          <w:tcPr>
            <w:tcW w:w="821" w:type="dxa"/>
            <w:vAlign w:val="center"/>
            <w:hideMark/>
          </w:tcPr>
          <w:p w14:paraId="52FC3516" w14:textId="77777777" w:rsidR="007B1D9F" w:rsidRPr="00C75553" w:rsidRDefault="007B1D9F" w:rsidP="007B1D9F">
            <w:pPr>
              <w:rPr>
                <w:rFonts w:ascii="Arial" w:hAnsi="Arial" w:cs="Arial"/>
                <w:sz w:val="20"/>
                <w:szCs w:val="20"/>
              </w:rPr>
            </w:pPr>
            <w:r>
              <w:rPr>
                <w:rFonts w:ascii="Arial" w:hAnsi="Arial" w:cs="Arial"/>
                <w:sz w:val="20"/>
                <w:szCs w:val="20"/>
              </w:rPr>
              <w:t>0.0393</w:t>
            </w:r>
          </w:p>
        </w:tc>
        <w:tc>
          <w:tcPr>
            <w:tcW w:w="2898" w:type="dxa"/>
            <w:vAlign w:val="center"/>
            <w:hideMark/>
          </w:tcPr>
          <w:p w14:paraId="308D71B2" w14:textId="77777777" w:rsidR="007B1D9F" w:rsidRPr="00C75553" w:rsidRDefault="007B1D9F" w:rsidP="007B1D9F">
            <w:pPr>
              <w:rPr>
                <w:rFonts w:ascii="Arial" w:hAnsi="Arial" w:cs="Arial"/>
                <w:sz w:val="20"/>
                <w:szCs w:val="20"/>
              </w:rPr>
            </w:pPr>
            <w:r>
              <w:rPr>
                <w:rFonts w:ascii="Arial" w:hAnsi="Arial" w:cs="Arial"/>
                <w:sz w:val="20"/>
                <w:szCs w:val="20"/>
              </w:rPr>
              <w:t>Fit to cave drip vs. P/T</w:t>
            </w:r>
          </w:p>
        </w:tc>
      </w:tr>
      <w:tr w:rsidR="007B1D9F" w:rsidRPr="00C75553" w14:paraId="2C98F972" w14:textId="77777777" w:rsidTr="007B1D9F">
        <w:trPr>
          <w:tblCellSpacing w:w="15" w:type="dxa"/>
        </w:trPr>
        <w:tc>
          <w:tcPr>
            <w:tcW w:w="0" w:type="auto"/>
            <w:vAlign w:val="center"/>
            <w:hideMark/>
          </w:tcPr>
          <w:p w14:paraId="31928542" w14:textId="77777777" w:rsidR="007B1D9F" w:rsidRPr="00C75553" w:rsidRDefault="007B1D9F" w:rsidP="007B1D9F">
            <w:pPr>
              <w:rPr>
                <w:rFonts w:ascii="Arial" w:hAnsi="Arial" w:cs="Arial"/>
                <w:sz w:val="20"/>
                <w:szCs w:val="20"/>
              </w:rPr>
            </w:pPr>
            <w:proofErr w:type="spellStart"/>
            <w:r>
              <w:rPr>
                <w:rFonts w:ascii="Arial" w:hAnsi="Arial" w:cs="Arial"/>
                <w:sz w:val="20"/>
                <w:szCs w:val="20"/>
              </w:rPr>
              <w:t>resid</w:t>
            </w:r>
            <w:r>
              <w:rPr>
                <w:rFonts w:ascii="Arial" w:hAnsi="Arial" w:cs="Arial"/>
                <w:sz w:val="20"/>
                <w:szCs w:val="20"/>
                <w:vertAlign w:val="subscript"/>
              </w:rPr>
              <w:t>hstd</w:t>
            </w:r>
            <w:proofErr w:type="spellEnd"/>
            <w:r>
              <w:rPr>
                <w:rFonts w:ascii="Arial" w:hAnsi="Arial" w:cs="Arial"/>
                <w:sz w:val="20"/>
                <w:szCs w:val="20"/>
              </w:rPr>
              <w:t xml:space="preserve"> (Heshang residual std)</w:t>
            </w:r>
          </w:p>
        </w:tc>
        <w:tc>
          <w:tcPr>
            <w:tcW w:w="812" w:type="dxa"/>
            <w:vAlign w:val="center"/>
            <w:hideMark/>
          </w:tcPr>
          <w:p w14:paraId="5D0F1329" w14:textId="77777777" w:rsidR="007B1D9F" w:rsidRPr="00C75553" w:rsidRDefault="007B1D9F" w:rsidP="007B1D9F">
            <w:pPr>
              <w:rPr>
                <w:rFonts w:ascii="Arial" w:hAnsi="Arial" w:cs="Arial"/>
                <w:sz w:val="20"/>
                <w:szCs w:val="20"/>
              </w:rPr>
            </w:pPr>
            <w:r>
              <w:rPr>
                <w:rFonts w:ascii="Arial" w:hAnsi="Arial" w:cs="Arial"/>
                <w:sz w:val="20"/>
                <w:szCs w:val="20"/>
              </w:rPr>
              <w:t>-</w:t>
            </w:r>
          </w:p>
        </w:tc>
        <w:tc>
          <w:tcPr>
            <w:tcW w:w="821" w:type="dxa"/>
            <w:vAlign w:val="center"/>
            <w:hideMark/>
          </w:tcPr>
          <w:p w14:paraId="265EF219" w14:textId="77777777" w:rsidR="007B1D9F" w:rsidRPr="00C75553" w:rsidRDefault="007B1D9F" w:rsidP="007B1D9F">
            <w:pPr>
              <w:rPr>
                <w:rFonts w:ascii="Arial" w:hAnsi="Arial" w:cs="Arial"/>
                <w:sz w:val="20"/>
                <w:szCs w:val="20"/>
              </w:rPr>
            </w:pPr>
            <w:r>
              <w:rPr>
                <w:rFonts w:ascii="Arial" w:hAnsi="Arial" w:cs="Arial"/>
                <w:sz w:val="20"/>
                <w:szCs w:val="20"/>
              </w:rPr>
              <w:t>0.0217</w:t>
            </w:r>
          </w:p>
        </w:tc>
        <w:tc>
          <w:tcPr>
            <w:tcW w:w="2898" w:type="dxa"/>
            <w:vAlign w:val="center"/>
            <w:hideMark/>
          </w:tcPr>
          <w:p w14:paraId="237A79A2" w14:textId="77777777" w:rsidR="007B1D9F" w:rsidRPr="00C75553" w:rsidRDefault="007B1D9F" w:rsidP="007B1D9F">
            <w:pPr>
              <w:rPr>
                <w:rFonts w:ascii="Arial" w:hAnsi="Arial" w:cs="Arial"/>
                <w:sz w:val="20"/>
                <w:szCs w:val="20"/>
              </w:rPr>
            </w:pPr>
            <w:r>
              <w:rPr>
                <w:rFonts w:ascii="Arial" w:hAnsi="Arial" w:cs="Arial"/>
                <w:sz w:val="20"/>
                <w:szCs w:val="20"/>
              </w:rPr>
              <w:t>Fit residuals</w:t>
            </w:r>
          </w:p>
        </w:tc>
      </w:tr>
      <w:tr w:rsidR="007B1D9F" w:rsidRPr="00C75553" w14:paraId="23B87E24" w14:textId="77777777" w:rsidTr="007B1D9F">
        <w:trPr>
          <w:tblCellSpacing w:w="15" w:type="dxa"/>
        </w:trPr>
        <w:tc>
          <w:tcPr>
            <w:tcW w:w="0" w:type="auto"/>
            <w:vAlign w:val="center"/>
            <w:hideMark/>
          </w:tcPr>
          <w:p w14:paraId="03A649BC" w14:textId="77777777" w:rsidR="007B1D9F" w:rsidRPr="00C75553" w:rsidRDefault="007B1D9F" w:rsidP="007B1D9F">
            <w:pPr>
              <w:rPr>
                <w:rFonts w:ascii="Arial" w:hAnsi="Arial" w:cs="Arial"/>
                <w:sz w:val="20"/>
                <w:szCs w:val="20"/>
              </w:rPr>
            </w:pPr>
            <w:r>
              <w:rPr>
                <w:rFonts w:ascii="Arial" w:hAnsi="Arial" w:cs="Arial"/>
                <w:sz w:val="20"/>
                <w:szCs w:val="20"/>
              </w:rPr>
              <w:t>a</w:t>
            </w:r>
            <w:r>
              <w:rPr>
                <w:rFonts w:ascii="Arial" w:hAnsi="Arial" w:cs="Arial"/>
                <w:sz w:val="20"/>
                <w:szCs w:val="20"/>
                <w:vertAlign w:val="subscript"/>
              </w:rPr>
              <w:t>y</w:t>
            </w:r>
            <w:r>
              <w:rPr>
                <w:rFonts w:ascii="Arial" w:hAnsi="Arial" w:cs="Arial"/>
                <w:sz w:val="20"/>
                <w:szCs w:val="20"/>
              </w:rPr>
              <w:t xml:space="preserve"> (Yichang slope)</w:t>
            </w:r>
          </w:p>
        </w:tc>
        <w:tc>
          <w:tcPr>
            <w:tcW w:w="812" w:type="dxa"/>
            <w:vAlign w:val="center"/>
            <w:hideMark/>
          </w:tcPr>
          <w:p w14:paraId="1D675112" w14:textId="77777777" w:rsidR="007B1D9F" w:rsidRPr="00C75553" w:rsidRDefault="007B1D9F" w:rsidP="007B1D9F">
            <w:pPr>
              <w:rPr>
                <w:rFonts w:ascii="Arial" w:hAnsi="Arial" w:cs="Arial"/>
                <w:sz w:val="20"/>
                <w:szCs w:val="20"/>
              </w:rPr>
            </w:pPr>
            <w:r>
              <w:rPr>
                <w:rFonts w:ascii="Arial" w:hAnsi="Arial" w:cs="Arial"/>
                <w:sz w:val="20"/>
                <w:szCs w:val="20"/>
              </w:rPr>
              <w:t>0.4393</w:t>
            </w:r>
          </w:p>
        </w:tc>
        <w:tc>
          <w:tcPr>
            <w:tcW w:w="821" w:type="dxa"/>
            <w:vAlign w:val="center"/>
            <w:hideMark/>
          </w:tcPr>
          <w:p w14:paraId="1F9DD39E" w14:textId="77777777" w:rsidR="007B1D9F" w:rsidRPr="00C75553" w:rsidRDefault="007B1D9F" w:rsidP="007B1D9F">
            <w:pPr>
              <w:rPr>
                <w:rFonts w:ascii="Arial" w:hAnsi="Arial" w:cs="Arial"/>
                <w:sz w:val="20"/>
                <w:szCs w:val="20"/>
              </w:rPr>
            </w:pPr>
            <w:r>
              <w:rPr>
                <w:rFonts w:ascii="Arial" w:hAnsi="Arial" w:cs="Arial"/>
                <w:sz w:val="20"/>
                <w:szCs w:val="20"/>
              </w:rPr>
              <w:t>0.266</w:t>
            </w:r>
          </w:p>
        </w:tc>
        <w:tc>
          <w:tcPr>
            <w:tcW w:w="2898" w:type="dxa"/>
            <w:vAlign w:val="center"/>
            <w:hideMark/>
          </w:tcPr>
          <w:p w14:paraId="04CC1118" w14:textId="77777777" w:rsidR="007B1D9F" w:rsidRPr="00C75553" w:rsidRDefault="007B1D9F" w:rsidP="007B1D9F">
            <w:pPr>
              <w:rPr>
                <w:rFonts w:ascii="Arial" w:hAnsi="Arial" w:cs="Arial"/>
                <w:sz w:val="20"/>
                <w:szCs w:val="20"/>
              </w:rPr>
            </w:pPr>
            <w:r>
              <w:rPr>
                <w:rFonts w:ascii="Arial" w:hAnsi="Arial" w:cs="Arial"/>
                <w:sz w:val="20"/>
                <w:szCs w:val="20"/>
              </w:rPr>
              <w:t>Fit to regional P/T</w:t>
            </w:r>
          </w:p>
        </w:tc>
      </w:tr>
      <w:tr w:rsidR="007B1D9F" w:rsidRPr="00C75553" w14:paraId="12C48A03" w14:textId="77777777" w:rsidTr="007B1D9F">
        <w:trPr>
          <w:tblCellSpacing w:w="15" w:type="dxa"/>
        </w:trPr>
        <w:tc>
          <w:tcPr>
            <w:tcW w:w="0" w:type="auto"/>
            <w:vAlign w:val="center"/>
            <w:hideMark/>
          </w:tcPr>
          <w:p w14:paraId="77CBFC4C" w14:textId="77777777" w:rsidR="007B1D9F" w:rsidRPr="00C75553" w:rsidRDefault="007B1D9F" w:rsidP="007B1D9F">
            <w:pPr>
              <w:rPr>
                <w:rFonts w:ascii="Arial" w:hAnsi="Arial" w:cs="Arial"/>
                <w:sz w:val="20"/>
                <w:szCs w:val="20"/>
              </w:rPr>
            </w:pPr>
            <w:r>
              <w:rPr>
                <w:rFonts w:ascii="Arial" w:hAnsi="Arial" w:cs="Arial"/>
                <w:sz w:val="20"/>
                <w:szCs w:val="20"/>
              </w:rPr>
              <w:t>b</w:t>
            </w:r>
            <w:r>
              <w:rPr>
                <w:rFonts w:ascii="Arial" w:hAnsi="Arial" w:cs="Arial"/>
                <w:sz w:val="20"/>
                <w:szCs w:val="20"/>
                <w:vertAlign w:val="subscript"/>
              </w:rPr>
              <w:t>y</w:t>
            </w:r>
            <w:r>
              <w:rPr>
                <w:rFonts w:ascii="Arial" w:hAnsi="Arial" w:cs="Arial"/>
                <w:sz w:val="20"/>
                <w:szCs w:val="20"/>
              </w:rPr>
              <w:t xml:space="preserve"> (Yichang intercept)</w:t>
            </w:r>
          </w:p>
        </w:tc>
        <w:tc>
          <w:tcPr>
            <w:tcW w:w="812" w:type="dxa"/>
            <w:vAlign w:val="center"/>
            <w:hideMark/>
          </w:tcPr>
          <w:p w14:paraId="679AEBEA" w14:textId="77777777" w:rsidR="007B1D9F" w:rsidRPr="00C75553" w:rsidRDefault="007B1D9F" w:rsidP="007B1D9F">
            <w:pPr>
              <w:rPr>
                <w:rFonts w:ascii="Arial" w:hAnsi="Arial" w:cs="Arial"/>
                <w:sz w:val="20"/>
                <w:szCs w:val="20"/>
              </w:rPr>
            </w:pPr>
            <w:r>
              <w:rPr>
                <w:rFonts w:ascii="Arial" w:hAnsi="Arial" w:cs="Arial"/>
                <w:sz w:val="20"/>
                <w:szCs w:val="20"/>
              </w:rPr>
              <w:t>0.1074</w:t>
            </w:r>
          </w:p>
        </w:tc>
        <w:tc>
          <w:tcPr>
            <w:tcW w:w="821" w:type="dxa"/>
            <w:vAlign w:val="center"/>
            <w:hideMark/>
          </w:tcPr>
          <w:p w14:paraId="3D595709" w14:textId="77777777" w:rsidR="007B1D9F" w:rsidRPr="00C75553" w:rsidRDefault="007B1D9F" w:rsidP="007B1D9F">
            <w:pPr>
              <w:rPr>
                <w:rFonts w:ascii="Arial" w:hAnsi="Arial" w:cs="Arial"/>
                <w:sz w:val="20"/>
                <w:szCs w:val="20"/>
              </w:rPr>
            </w:pPr>
            <w:r>
              <w:rPr>
                <w:rFonts w:ascii="Arial" w:hAnsi="Arial" w:cs="Arial"/>
                <w:sz w:val="20"/>
                <w:szCs w:val="20"/>
              </w:rPr>
              <w:t>0.041</w:t>
            </w:r>
          </w:p>
        </w:tc>
        <w:tc>
          <w:tcPr>
            <w:tcW w:w="2898" w:type="dxa"/>
            <w:vAlign w:val="center"/>
            <w:hideMark/>
          </w:tcPr>
          <w:p w14:paraId="276CC4BF" w14:textId="77777777" w:rsidR="007B1D9F" w:rsidRPr="00C75553" w:rsidRDefault="007B1D9F" w:rsidP="007B1D9F">
            <w:pPr>
              <w:rPr>
                <w:rFonts w:ascii="Arial" w:hAnsi="Arial" w:cs="Arial"/>
                <w:sz w:val="20"/>
                <w:szCs w:val="20"/>
              </w:rPr>
            </w:pPr>
            <w:r>
              <w:rPr>
                <w:rFonts w:ascii="Arial" w:hAnsi="Arial" w:cs="Arial"/>
                <w:sz w:val="20"/>
                <w:szCs w:val="20"/>
              </w:rPr>
              <w:t>Fit to regional P/T</w:t>
            </w:r>
          </w:p>
        </w:tc>
      </w:tr>
      <w:tr w:rsidR="007B1D9F" w:rsidRPr="00C75553" w14:paraId="385415AC" w14:textId="77777777" w:rsidTr="007B1D9F">
        <w:trPr>
          <w:tblCellSpacing w:w="15" w:type="dxa"/>
        </w:trPr>
        <w:tc>
          <w:tcPr>
            <w:tcW w:w="0" w:type="auto"/>
            <w:vAlign w:val="center"/>
            <w:hideMark/>
          </w:tcPr>
          <w:p w14:paraId="18EF5887" w14:textId="77777777" w:rsidR="007B1D9F" w:rsidRPr="00C75553" w:rsidRDefault="007B1D9F" w:rsidP="007B1D9F">
            <w:pPr>
              <w:rPr>
                <w:rFonts w:ascii="Arial" w:hAnsi="Arial" w:cs="Arial"/>
                <w:sz w:val="20"/>
                <w:szCs w:val="20"/>
              </w:rPr>
            </w:pPr>
            <w:proofErr w:type="spellStart"/>
            <w:r>
              <w:rPr>
                <w:rFonts w:ascii="Arial" w:hAnsi="Arial" w:cs="Arial"/>
                <w:sz w:val="20"/>
                <w:szCs w:val="20"/>
              </w:rPr>
              <w:t>resid</w:t>
            </w:r>
            <w:r>
              <w:rPr>
                <w:rFonts w:ascii="Arial" w:hAnsi="Arial" w:cs="Arial"/>
                <w:sz w:val="20"/>
                <w:szCs w:val="20"/>
                <w:vertAlign w:val="subscript"/>
              </w:rPr>
              <w:t>ystd</w:t>
            </w:r>
            <w:proofErr w:type="spellEnd"/>
            <w:r>
              <w:rPr>
                <w:rFonts w:ascii="Arial" w:hAnsi="Arial" w:cs="Arial"/>
                <w:sz w:val="20"/>
                <w:szCs w:val="20"/>
              </w:rPr>
              <w:t xml:space="preserve"> (Yichang residual std)</w:t>
            </w:r>
          </w:p>
        </w:tc>
        <w:tc>
          <w:tcPr>
            <w:tcW w:w="812" w:type="dxa"/>
            <w:vAlign w:val="center"/>
            <w:hideMark/>
          </w:tcPr>
          <w:p w14:paraId="3123F8CD" w14:textId="77777777" w:rsidR="007B1D9F" w:rsidRPr="00C75553" w:rsidRDefault="007B1D9F" w:rsidP="007B1D9F">
            <w:pPr>
              <w:rPr>
                <w:rFonts w:ascii="Arial" w:hAnsi="Arial" w:cs="Arial"/>
                <w:sz w:val="20"/>
                <w:szCs w:val="20"/>
              </w:rPr>
            </w:pPr>
            <w:r>
              <w:rPr>
                <w:rFonts w:ascii="Arial" w:hAnsi="Arial" w:cs="Arial"/>
                <w:sz w:val="20"/>
                <w:szCs w:val="20"/>
              </w:rPr>
              <w:t>-</w:t>
            </w:r>
          </w:p>
        </w:tc>
        <w:tc>
          <w:tcPr>
            <w:tcW w:w="821" w:type="dxa"/>
            <w:vAlign w:val="center"/>
            <w:hideMark/>
          </w:tcPr>
          <w:p w14:paraId="4C0CAE6F" w14:textId="77777777" w:rsidR="007B1D9F" w:rsidRPr="00C75553" w:rsidRDefault="007B1D9F" w:rsidP="007B1D9F">
            <w:pPr>
              <w:rPr>
                <w:rFonts w:ascii="Arial" w:hAnsi="Arial" w:cs="Arial"/>
                <w:sz w:val="20"/>
                <w:szCs w:val="20"/>
              </w:rPr>
            </w:pPr>
            <w:r>
              <w:rPr>
                <w:rFonts w:ascii="Arial" w:hAnsi="Arial" w:cs="Arial"/>
                <w:sz w:val="20"/>
                <w:szCs w:val="20"/>
              </w:rPr>
              <w:t>0.0249</w:t>
            </w:r>
          </w:p>
        </w:tc>
        <w:tc>
          <w:tcPr>
            <w:tcW w:w="2898" w:type="dxa"/>
            <w:vAlign w:val="center"/>
            <w:hideMark/>
          </w:tcPr>
          <w:p w14:paraId="1D8CA9A0" w14:textId="77777777" w:rsidR="007B1D9F" w:rsidRPr="00C75553" w:rsidRDefault="007B1D9F" w:rsidP="007B1D9F">
            <w:pPr>
              <w:rPr>
                <w:rFonts w:ascii="Arial" w:hAnsi="Arial" w:cs="Arial"/>
                <w:sz w:val="20"/>
                <w:szCs w:val="20"/>
              </w:rPr>
            </w:pPr>
            <w:r>
              <w:rPr>
                <w:rFonts w:ascii="Arial" w:hAnsi="Arial" w:cs="Arial"/>
                <w:sz w:val="20"/>
                <w:szCs w:val="20"/>
              </w:rPr>
              <w:t>Fit residuals</w:t>
            </w:r>
          </w:p>
        </w:tc>
      </w:tr>
      <w:tr w:rsidR="007B1D9F" w:rsidRPr="00C75553" w14:paraId="17E6FCBE" w14:textId="77777777" w:rsidTr="007B1D9F">
        <w:trPr>
          <w:tblCellSpacing w:w="15" w:type="dxa"/>
        </w:trPr>
        <w:tc>
          <w:tcPr>
            <w:tcW w:w="0" w:type="auto"/>
            <w:vAlign w:val="center"/>
            <w:hideMark/>
          </w:tcPr>
          <w:p w14:paraId="0CD04A51" w14:textId="77777777" w:rsidR="007B1D9F" w:rsidRPr="00C75553" w:rsidRDefault="007B1D9F" w:rsidP="007B1D9F">
            <w:pPr>
              <w:rPr>
                <w:rFonts w:ascii="Arial" w:hAnsi="Arial" w:cs="Arial"/>
                <w:sz w:val="20"/>
                <w:szCs w:val="20"/>
              </w:rPr>
            </w:pPr>
            <w:proofErr w:type="spellStart"/>
            <w:r>
              <w:rPr>
                <w:rFonts w:ascii="Arial" w:hAnsi="Arial" w:cs="Arial"/>
                <w:sz w:val="20"/>
                <w:szCs w:val="20"/>
              </w:rPr>
              <w:t>T</w:t>
            </w:r>
            <w:r>
              <w:rPr>
                <w:rFonts w:ascii="Arial" w:hAnsi="Arial" w:cs="Arial"/>
                <w:sz w:val="20"/>
                <w:szCs w:val="20"/>
                <w:vertAlign w:val="subscript"/>
              </w:rPr>
              <w:t>std</w:t>
            </w:r>
            <w:proofErr w:type="spellEnd"/>
            <w:r>
              <w:rPr>
                <w:rFonts w:ascii="Arial" w:hAnsi="Arial" w:cs="Arial"/>
                <w:sz w:val="20"/>
                <w:szCs w:val="20"/>
              </w:rPr>
              <w:t xml:space="preserve"> (Temperature uncertainty)</w:t>
            </w:r>
          </w:p>
        </w:tc>
        <w:tc>
          <w:tcPr>
            <w:tcW w:w="812" w:type="dxa"/>
            <w:vAlign w:val="center"/>
            <w:hideMark/>
          </w:tcPr>
          <w:p w14:paraId="2DBFCF4E" w14:textId="77777777" w:rsidR="007B1D9F" w:rsidRPr="00C75553" w:rsidRDefault="007B1D9F" w:rsidP="007B1D9F">
            <w:pPr>
              <w:rPr>
                <w:rFonts w:ascii="Arial" w:hAnsi="Arial" w:cs="Arial"/>
                <w:sz w:val="20"/>
                <w:szCs w:val="20"/>
              </w:rPr>
            </w:pPr>
            <w:r>
              <w:rPr>
                <w:rFonts w:ascii="Arial" w:hAnsi="Arial" w:cs="Arial"/>
                <w:sz w:val="20"/>
                <w:szCs w:val="20"/>
              </w:rPr>
              <w:t>-</w:t>
            </w:r>
          </w:p>
        </w:tc>
        <w:tc>
          <w:tcPr>
            <w:tcW w:w="821" w:type="dxa"/>
            <w:vAlign w:val="center"/>
            <w:hideMark/>
          </w:tcPr>
          <w:p w14:paraId="3280C0EC" w14:textId="77777777" w:rsidR="007B1D9F" w:rsidRPr="00C75553" w:rsidRDefault="007B1D9F" w:rsidP="007B1D9F">
            <w:pPr>
              <w:rPr>
                <w:rFonts w:ascii="Arial" w:hAnsi="Arial" w:cs="Arial"/>
                <w:sz w:val="20"/>
                <w:szCs w:val="20"/>
              </w:rPr>
            </w:pPr>
            <w:r>
              <w:rPr>
                <w:rFonts w:ascii="Arial" w:hAnsi="Arial" w:cs="Arial"/>
                <w:sz w:val="20"/>
                <w:szCs w:val="20"/>
              </w:rPr>
              <w:t>2.6</w:t>
            </w:r>
          </w:p>
        </w:tc>
        <w:tc>
          <w:tcPr>
            <w:tcW w:w="2898" w:type="dxa"/>
            <w:vAlign w:val="center"/>
            <w:hideMark/>
          </w:tcPr>
          <w:p w14:paraId="1075F28E" w14:textId="77777777" w:rsidR="007B1D9F" w:rsidRPr="00C75553" w:rsidRDefault="007B1D9F" w:rsidP="007B1D9F">
            <w:pPr>
              <w:rPr>
                <w:rFonts w:ascii="Arial" w:hAnsi="Arial" w:cs="Arial"/>
                <w:sz w:val="20"/>
                <w:szCs w:val="20"/>
              </w:rPr>
            </w:pPr>
            <w:r>
              <w:rPr>
                <w:rFonts w:ascii="Arial" w:hAnsi="Arial" w:cs="Arial"/>
                <w:sz w:val="20"/>
                <w:szCs w:val="20"/>
              </w:rPr>
              <w:t>RMSE from bacterial fatty acids proxy</w:t>
            </w:r>
          </w:p>
        </w:tc>
      </w:tr>
    </w:tbl>
    <w:p w14:paraId="137ABF9F" w14:textId="77777777" w:rsidR="000411E1" w:rsidRPr="00C75553" w:rsidRDefault="000411E1">
      <w:pPr>
        <w:rPr>
          <w:rFonts w:ascii="Arial" w:hAnsi="Arial" w:cs="Arial"/>
          <w:sz w:val="20"/>
          <w:szCs w:val="20"/>
        </w:rPr>
      </w:pPr>
    </w:p>
    <w:p w14:paraId="6715EBE2" w14:textId="77777777" w:rsidR="008468D4" w:rsidRPr="006B21EA" w:rsidRDefault="008468D4">
      <w:pPr>
        <w:rPr>
          <w:rFonts w:ascii="Arial" w:hAnsi="Arial" w:cs="Arial"/>
        </w:rPr>
      </w:pPr>
    </w:p>
    <w:p w14:paraId="4F0734FC" w14:textId="77777777" w:rsidR="008468D4" w:rsidRPr="006B21EA" w:rsidRDefault="00681994">
      <w:pPr>
        <w:rPr>
          <w:rFonts w:ascii="Arial" w:hAnsi="Arial" w:cs="Arial"/>
        </w:rPr>
      </w:pPr>
      <w:r>
        <w:rPr>
          <w:rFonts w:ascii="Arial" w:hAnsi="Arial" w:cs="Arial"/>
          <w:noProof/>
        </w:rPr>
        <w:lastRenderedPageBreak/>
        <w:drawing>
          <wp:inline distT="0" distB="0" distL="0" distR="0" wp14:anchorId="6B31583E" wp14:editId="4457DDA1">
            <wp:extent cx="5731510" cy="6451600"/>
            <wp:effectExtent l="0" t="0" r="2540" b="6350"/>
            <wp:docPr id="1080312414" name="Picture 5" descr="A graph of a graph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312414" name="Picture 5" descr="A graph of a graph  AI-generated content may be incorrect."/>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731510" cy="6451600"/>
                    </a:xfrm>
                    <a:prstGeom prst="rect">
                      <a:avLst/>
                    </a:prstGeom>
                  </pic:spPr>
                </pic:pic>
              </a:graphicData>
            </a:graphic>
          </wp:inline>
        </w:drawing>
      </w:r>
    </w:p>
    <w:p w14:paraId="6288995C" w14:textId="294F1376" w:rsidR="008468D4" w:rsidRPr="00C75553" w:rsidRDefault="00745519" w:rsidP="008468D4">
      <w:pPr>
        <w:rPr>
          <w:rFonts w:ascii="Arial" w:hAnsi="Arial" w:cs="Arial"/>
          <w:sz w:val="20"/>
          <w:szCs w:val="20"/>
        </w:rPr>
      </w:pPr>
      <w:r>
        <w:rPr>
          <w:rFonts w:ascii="Arial" w:hAnsi="Arial" w:cs="Arial"/>
          <w:b/>
          <w:bCs/>
          <w:sz w:val="20"/>
          <w:szCs w:val="20"/>
        </w:rPr>
        <w:t xml:space="preserve">Supplementary Figure 3 | </w:t>
      </w:r>
      <w:r>
        <w:rPr>
          <w:rFonts w:ascii="Arial" w:hAnsi="Arial" w:cs="Arial"/>
          <w:sz w:val="20"/>
          <w:szCs w:val="20"/>
        </w:rPr>
        <w:t xml:space="preserve">Time series of drip rates and metal concentrations. (a) Median drip rate (blue line) with 25th–75th percentile range (blue shading) in drips per minute as a function of age (years BP). (b) Nickel (Ni) concentration (ppm, green line) versus age. (c) Cobalt (Co) concentration (ppm, red line) versus age. </w:t>
      </w:r>
    </w:p>
    <w:p w14:paraId="2AA74C7E" w14:textId="77777777" w:rsidR="008468D4" w:rsidRPr="006B21EA" w:rsidRDefault="0037005F" w:rsidP="008468D4">
      <w:pPr>
        <w:jc w:val="center"/>
        <w:rPr>
          <w:rFonts w:ascii="Arial" w:hAnsi="Arial" w:cs="Arial"/>
          <w:b/>
          <w:bCs/>
        </w:rPr>
      </w:pPr>
      <w:r>
        <w:rPr>
          <w:rFonts w:ascii="Arial" w:hAnsi="Arial" w:cs="Arial"/>
          <w:b/>
          <w:bCs/>
          <w:noProof/>
        </w:rPr>
        <w:lastRenderedPageBreak/>
        <w:drawing>
          <wp:inline distT="0" distB="0" distL="0" distR="0" wp14:anchorId="5613B4B6" wp14:editId="670D9C60">
            <wp:extent cx="4743450" cy="4743450"/>
            <wp:effectExtent l="0" t="0" r="0" b="0"/>
            <wp:docPr id="1668234025" name="Picture 4" descr="A graph of different colored dot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34025" name="Picture 4" descr="A graph of different colored dots  AI-generated content may be incorrec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743795" cy="4743795"/>
                    </a:xfrm>
                    <a:prstGeom prst="rect">
                      <a:avLst/>
                    </a:prstGeom>
                  </pic:spPr>
                </pic:pic>
              </a:graphicData>
            </a:graphic>
          </wp:inline>
        </w:drawing>
      </w:r>
    </w:p>
    <w:p w14:paraId="6F2E3EA9" w14:textId="79DFCC2F" w:rsidR="008468D4" w:rsidRPr="00C75553" w:rsidRDefault="008468D4" w:rsidP="008468D4">
      <w:pPr>
        <w:rPr>
          <w:rFonts w:ascii="Arial" w:hAnsi="Arial" w:cs="Arial"/>
          <w:sz w:val="20"/>
          <w:szCs w:val="20"/>
          <w:lang w:val="en-US"/>
        </w:rPr>
      </w:pPr>
      <w:r>
        <w:rPr>
          <w:rFonts w:ascii="Arial" w:hAnsi="Arial" w:cs="Arial"/>
          <w:b/>
          <w:bCs/>
          <w:sz w:val="20"/>
          <w:szCs w:val="20"/>
        </w:rPr>
        <w:t xml:space="preserve">Supplementary Figure 4 | </w:t>
      </w:r>
      <w:r>
        <w:rPr>
          <w:rFonts w:ascii="Arial" w:hAnsi="Arial" w:cs="Arial"/>
          <w:sz w:val="20"/>
          <w:szCs w:val="20"/>
        </w:rPr>
        <w:t xml:space="preserve">Nickel versus Cobalt concentrations across time periods. Scatter plot of Ni concentration (ppm) versus Co concentration (ppm), with two outliers excluded. Data points are coloured by epoch: Early Holocene (9.5–6 </w:t>
      </w:r>
      <w:proofErr w:type="spellStart"/>
      <w:r>
        <w:rPr>
          <w:rFonts w:ascii="Arial" w:hAnsi="Arial" w:cs="Arial"/>
          <w:sz w:val="20"/>
          <w:szCs w:val="20"/>
        </w:rPr>
        <w:t>kyr</w:t>
      </w:r>
      <w:proofErr w:type="spellEnd"/>
      <w:r>
        <w:rPr>
          <w:rFonts w:ascii="Arial" w:hAnsi="Arial" w:cs="Arial"/>
          <w:sz w:val="20"/>
          <w:szCs w:val="20"/>
        </w:rPr>
        <w:t xml:space="preserve"> BP, purple), 5.2 </w:t>
      </w:r>
      <w:proofErr w:type="spellStart"/>
      <w:r>
        <w:rPr>
          <w:rFonts w:ascii="Arial" w:hAnsi="Arial" w:cs="Arial"/>
          <w:sz w:val="20"/>
          <w:szCs w:val="20"/>
        </w:rPr>
        <w:t>kyr</w:t>
      </w:r>
      <w:proofErr w:type="spellEnd"/>
      <w:r>
        <w:rPr>
          <w:rFonts w:ascii="Arial" w:hAnsi="Arial" w:cs="Arial"/>
          <w:sz w:val="20"/>
          <w:szCs w:val="20"/>
        </w:rPr>
        <w:t xml:space="preserve"> event (6–5 </w:t>
      </w:r>
      <w:proofErr w:type="spellStart"/>
      <w:r>
        <w:rPr>
          <w:rFonts w:ascii="Arial" w:hAnsi="Arial" w:cs="Arial"/>
          <w:sz w:val="20"/>
          <w:szCs w:val="20"/>
        </w:rPr>
        <w:t>kyr</w:t>
      </w:r>
      <w:proofErr w:type="spellEnd"/>
      <w:r>
        <w:rPr>
          <w:rFonts w:ascii="Arial" w:hAnsi="Arial" w:cs="Arial"/>
          <w:sz w:val="20"/>
          <w:szCs w:val="20"/>
        </w:rPr>
        <w:t xml:space="preserve"> BP, orange), Late Holocene (5–0.2 </w:t>
      </w:r>
      <w:proofErr w:type="spellStart"/>
      <w:r>
        <w:rPr>
          <w:rFonts w:ascii="Arial" w:hAnsi="Arial" w:cs="Arial"/>
          <w:sz w:val="20"/>
          <w:szCs w:val="20"/>
        </w:rPr>
        <w:t>kyr</w:t>
      </w:r>
      <w:proofErr w:type="spellEnd"/>
      <w:r>
        <w:rPr>
          <w:rFonts w:ascii="Arial" w:hAnsi="Arial" w:cs="Arial"/>
          <w:sz w:val="20"/>
          <w:szCs w:val="20"/>
        </w:rPr>
        <w:t xml:space="preserve"> BP, green), and Last 200 years (0.2–0 </w:t>
      </w:r>
      <w:proofErr w:type="spellStart"/>
      <w:r>
        <w:rPr>
          <w:rFonts w:ascii="Arial" w:hAnsi="Arial" w:cs="Arial"/>
          <w:sz w:val="20"/>
          <w:szCs w:val="20"/>
        </w:rPr>
        <w:t>kyr</w:t>
      </w:r>
      <w:proofErr w:type="spellEnd"/>
      <w:r>
        <w:rPr>
          <w:rFonts w:ascii="Arial" w:hAnsi="Arial" w:cs="Arial"/>
          <w:sz w:val="20"/>
          <w:szCs w:val="20"/>
        </w:rPr>
        <w:t xml:space="preserve"> BP, blue). An exponential fit (black dashed line) highlights the relationship, emphasizing the slower dissociation rate of OMC-Co complexes, which require longer thin film residence times to contribute to the speleothem record.</w:t>
      </w:r>
    </w:p>
    <w:p w14:paraId="5C26BEC5" w14:textId="77777777" w:rsidR="008468D4" w:rsidRPr="006B21EA" w:rsidRDefault="008468D4" w:rsidP="008468D4">
      <w:pPr>
        <w:rPr>
          <w:rFonts w:ascii="Arial" w:hAnsi="Arial" w:cs="Arial"/>
          <w:b/>
          <w:bCs/>
        </w:rPr>
      </w:pPr>
    </w:p>
    <w:p w14:paraId="557182A0" w14:textId="77777777" w:rsidR="0040740C" w:rsidRPr="006B21EA" w:rsidRDefault="0040740C" w:rsidP="008468D4">
      <w:pPr>
        <w:rPr>
          <w:rFonts w:ascii="Arial" w:hAnsi="Arial" w:cs="Arial"/>
          <w:b/>
          <w:bCs/>
        </w:rPr>
      </w:pPr>
    </w:p>
    <w:p w14:paraId="7EAD2603" w14:textId="77777777" w:rsidR="0040740C" w:rsidRPr="006B21EA" w:rsidRDefault="0040740C" w:rsidP="008468D4">
      <w:pPr>
        <w:rPr>
          <w:rFonts w:ascii="Arial" w:hAnsi="Arial" w:cs="Arial"/>
          <w:b/>
          <w:bCs/>
        </w:rPr>
      </w:pPr>
    </w:p>
    <w:p w14:paraId="539844E3" w14:textId="77777777" w:rsidR="0040740C" w:rsidRPr="006B21EA" w:rsidRDefault="0040740C" w:rsidP="008468D4">
      <w:pPr>
        <w:rPr>
          <w:rFonts w:ascii="Arial" w:hAnsi="Arial" w:cs="Arial"/>
          <w:b/>
          <w:bCs/>
        </w:rPr>
      </w:pPr>
    </w:p>
    <w:p w14:paraId="1397A5CA" w14:textId="77777777" w:rsidR="0040740C" w:rsidRPr="006B21EA" w:rsidRDefault="0040740C" w:rsidP="008468D4">
      <w:pPr>
        <w:rPr>
          <w:rFonts w:ascii="Arial" w:hAnsi="Arial" w:cs="Arial"/>
          <w:b/>
          <w:bCs/>
        </w:rPr>
      </w:pPr>
    </w:p>
    <w:p w14:paraId="3BBFEA62" w14:textId="77777777" w:rsidR="0040740C" w:rsidRPr="006B21EA" w:rsidRDefault="0040740C" w:rsidP="008468D4">
      <w:pPr>
        <w:rPr>
          <w:rFonts w:ascii="Arial" w:hAnsi="Arial" w:cs="Arial"/>
          <w:b/>
          <w:bCs/>
        </w:rPr>
      </w:pPr>
    </w:p>
    <w:p w14:paraId="4C8F8DB0" w14:textId="77777777" w:rsidR="00F76546" w:rsidRPr="006B21EA" w:rsidRDefault="00F76546" w:rsidP="008468D4">
      <w:pPr>
        <w:rPr>
          <w:rFonts w:ascii="Arial" w:hAnsi="Arial" w:cs="Arial"/>
          <w:b/>
          <w:bCs/>
        </w:rPr>
      </w:pPr>
    </w:p>
    <w:p w14:paraId="3A3B7BD8" w14:textId="77777777" w:rsidR="00F76546" w:rsidRPr="006B21EA" w:rsidRDefault="00F76546" w:rsidP="00813281">
      <w:pPr>
        <w:jc w:val="center"/>
        <w:rPr>
          <w:rFonts w:ascii="Arial" w:hAnsi="Arial" w:cs="Arial"/>
          <w:b/>
          <w:bCs/>
        </w:rPr>
      </w:pPr>
      <w:r>
        <w:rPr>
          <w:rFonts w:ascii="Arial" w:hAnsi="Arial" w:cs="Arial"/>
          <w:b/>
          <w:bCs/>
          <w:noProof/>
        </w:rPr>
        <w:lastRenderedPageBreak/>
        <w:drawing>
          <wp:inline distT="0" distB="0" distL="0" distR="0" wp14:anchorId="3E0A1630" wp14:editId="199E4018">
            <wp:extent cx="4721599" cy="3571875"/>
            <wp:effectExtent l="0" t="0" r="3175" b="0"/>
            <wp:docPr id="2109561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6120" name="Picture 210956120"/>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733900" cy="3581181"/>
                    </a:xfrm>
                    <a:prstGeom prst="rect">
                      <a:avLst/>
                    </a:prstGeom>
                  </pic:spPr>
                </pic:pic>
              </a:graphicData>
            </a:graphic>
          </wp:inline>
        </w:drawing>
      </w:r>
    </w:p>
    <w:p w14:paraId="170ADE52" w14:textId="0613060C" w:rsidR="0040740C" w:rsidRPr="00C75553" w:rsidRDefault="009373C1" w:rsidP="008468D4">
      <w:pPr>
        <w:rPr>
          <w:rFonts w:ascii="Arial" w:hAnsi="Arial" w:cs="Arial"/>
          <w:b/>
          <w:bCs/>
          <w:sz w:val="20"/>
          <w:szCs w:val="20"/>
          <w:lang w:val="en-US"/>
        </w:rPr>
      </w:pPr>
      <w:r>
        <w:rPr>
          <w:rFonts w:ascii="Arial" w:hAnsi="Arial" w:cs="Arial"/>
          <w:b/>
          <w:bCs/>
          <w:sz w:val="20"/>
          <w:szCs w:val="20"/>
        </w:rPr>
        <w:t xml:space="preserve">Supplementary Figure 5 | </w:t>
      </w:r>
      <w:r>
        <w:rPr>
          <w:rFonts w:ascii="Arial" w:hAnsi="Arial" w:cs="Arial"/>
          <w:sz w:val="20"/>
          <w:szCs w:val="20"/>
        </w:rPr>
        <w:t xml:space="preserve">Modelled </w:t>
      </w:r>
      <w:proofErr w:type="spellStart"/>
      <w:r>
        <w:rPr>
          <w:rFonts w:ascii="Arial" w:hAnsi="Arial" w:cs="Arial"/>
          <w:sz w:val="20"/>
          <w:szCs w:val="20"/>
        </w:rPr>
        <w:t>i</w:t>
      </w:r>
      <w:r>
        <w:rPr>
          <w:rFonts w:ascii="Arial" w:hAnsi="Arial" w:cs="Arial"/>
          <w:sz w:val="20"/>
          <w:szCs w:val="20"/>
          <w:lang w:val="en-US"/>
        </w:rPr>
        <w:t>sotopic</w:t>
      </w:r>
      <w:proofErr w:type="spellEnd"/>
      <w:r>
        <w:rPr>
          <w:rFonts w:ascii="Arial" w:hAnsi="Arial" w:cs="Arial"/>
          <w:sz w:val="20"/>
          <w:szCs w:val="20"/>
          <w:lang w:val="en-US"/>
        </w:rPr>
        <w:t xml:space="preserve"> composition of the labile pool (</w:t>
      </w:r>
      <w:proofErr w:type="spellStart"/>
      <w:r>
        <w:rPr>
          <w:rFonts w:ascii="Arial" w:hAnsi="Arial" w:cs="Arial"/>
          <w:i/>
          <w:iCs/>
          <w:sz w:val="20"/>
          <w:szCs w:val="20"/>
          <w:lang w:val="en-US"/>
        </w:rPr>
        <w:t>d</w:t>
      </w:r>
      <w:r>
        <w:rPr>
          <w:rFonts w:ascii="Arial" w:hAnsi="Arial" w:cs="Arial"/>
          <w:sz w:val="20"/>
          <w:szCs w:val="20"/>
          <w:vertAlign w:val="subscript"/>
          <w:lang w:val="en-US"/>
        </w:rPr>
        <w:t>labile</w:t>
      </w:r>
      <w:proofErr w:type="spellEnd"/>
      <w:r>
        <w:rPr>
          <w:rFonts w:ascii="Arial" w:hAnsi="Arial" w:cs="Arial"/>
          <w:sz w:val="20"/>
          <w:szCs w:val="20"/>
          <w:lang w:val="en-US"/>
        </w:rPr>
        <w:t>) for nickel (d</w:t>
      </w:r>
      <w:r>
        <w:rPr>
          <w:rFonts w:ascii="Arial" w:hAnsi="Arial" w:cs="Arial"/>
          <w:sz w:val="20"/>
          <w:szCs w:val="20"/>
          <w:vertAlign w:val="superscript"/>
          <w:lang w:val="en-US"/>
        </w:rPr>
        <w:t>60</w:t>
      </w:r>
      <w:r>
        <w:rPr>
          <w:rFonts w:ascii="Arial" w:hAnsi="Arial" w:cs="Arial"/>
          <w:sz w:val="20"/>
          <w:szCs w:val="20"/>
          <w:lang w:val="en-US"/>
        </w:rPr>
        <w:t>Ni) and copper (d</w:t>
      </w:r>
      <w:r>
        <w:rPr>
          <w:rFonts w:ascii="Arial" w:hAnsi="Arial" w:cs="Arial"/>
          <w:sz w:val="20"/>
          <w:szCs w:val="20"/>
          <w:vertAlign w:val="superscript"/>
          <w:lang w:val="en-US"/>
        </w:rPr>
        <w:t>65</w:t>
      </w:r>
      <w:r>
        <w:rPr>
          <w:rFonts w:ascii="Arial" w:hAnsi="Arial" w:cs="Arial"/>
          <w:sz w:val="20"/>
          <w:szCs w:val="20"/>
          <w:lang w:val="en-US"/>
        </w:rPr>
        <w:t>Cu) during organic-metal complex (OMC) dissociation in the stalagmite thin film, modeled with initial isotopic values d</w:t>
      </w:r>
      <w:r>
        <w:rPr>
          <w:rFonts w:ascii="Arial" w:hAnsi="Arial" w:cs="Arial"/>
          <w:sz w:val="20"/>
          <w:szCs w:val="20"/>
          <w:vertAlign w:val="superscript"/>
          <w:lang w:val="en-US"/>
        </w:rPr>
        <w:t>60</w:t>
      </w:r>
      <w:r>
        <w:rPr>
          <w:rFonts w:ascii="Arial" w:hAnsi="Arial" w:cs="Arial"/>
          <w:sz w:val="20"/>
          <w:szCs w:val="20"/>
          <w:lang w:val="en-US"/>
        </w:rPr>
        <w:t>Ni = 0.0‰, (d</w:t>
      </w:r>
      <w:r>
        <w:rPr>
          <w:rFonts w:ascii="Arial" w:hAnsi="Arial" w:cs="Arial"/>
          <w:sz w:val="20"/>
          <w:szCs w:val="20"/>
          <w:vertAlign w:val="superscript"/>
          <w:lang w:val="en-US"/>
        </w:rPr>
        <w:t>65</w:t>
      </w:r>
      <w:r>
        <w:rPr>
          <w:rFonts w:ascii="Arial" w:hAnsi="Arial" w:cs="Arial"/>
          <w:sz w:val="20"/>
          <w:szCs w:val="20"/>
          <w:lang w:val="en-US"/>
        </w:rPr>
        <w:t xml:space="preserve">Cu = -0.3‰, and a kinetic fractionation factor </w:t>
      </w:r>
      <w:proofErr w:type="spellStart"/>
      <w:r>
        <w:rPr>
          <w:rFonts w:ascii="Arial" w:hAnsi="Arial" w:cs="Arial"/>
          <w:sz w:val="20"/>
          <w:szCs w:val="20"/>
          <w:lang w:val="en-US"/>
        </w:rPr>
        <w:t>a</w:t>
      </w:r>
      <w:r>
        <w:rPr>
          <w:rFonts w:ascii="Arial" w:hAnsi="Arial" w:cs="Arial"/>
          <w:sz w:val="20"/>
          <w:szCs w:val="20"/>
          <w:vertAlign w:val="subscript"/>
          <w:lang w:val="en-US"/>
        </w:rPr>
        <w:t>k</w:t>
      </w:r>
      <w:proofErr w:type="spellEnd"/>
      <w:r>
        <w:rPr>
          <w:rFonts w:ascii="Arial" w:hAnsi="Arial" w:cs="Arial"/>
          <w:sz w:val="20"/>
          <w:szCs w:val="20"/>
          <w:lang w:val="en-US"/>
        </w:rPr>
        <w:t xml:space="preserve"> = 0.9995. The main plot shows </w:t>
      </w:r>
      <w:proofErr w:type="spellStart"/>
      <w:r>
        <w:rPr>
          <w:rFonts w:ascii="Arial" w:hAnsi="Arial" w:cs="Arial"/>
          <w:i/>
          <w:iCs/>
          <w:sz w:val="20"/>
          <w:szCs w:val="20"/>
          <w:lang w:val="en-US"/>
        </w:rPr>
        <w:t>d</w:t>
      </w:r>
      <w:r>
        <w:rPr>
          <w:rFonts w:ascii="Arial" w:hAnsi="Arial" w:cs="Arial"/>
          <w:sz w:val="20"/>
          <w:szCs w:val="20"/>
          <w:vertAlign w:val="subscript"/>
          <w:lang w:val="en-US"/>
        </w:rPr>
        <w:t>labile</w:t>
      </w:r>
      <w:proofErr w:type="spellEnd"/>
      <w:r>
        <w:rPr>
          <w:rFonts w:ascii="Arial" w:hAnsi="Arial" w:cs="Arial"/>
          <w:sz w:val="20"/>
          <w:szCs w:val="20"/>
          <w:lang w:val="en-US"/>
        </w:rPr>
        <w:t xml:space="preserve"> versus drip rate (0 to 30 drips min</w:t>
      </w:r>
      <w:r>
        <w:rPr>
          <w:rFonts w:ascii="Arial" w:hAnsi="Arial" w:cs="Arial"/>
          <w:sz w:val="20"/>
          <w:szCs w:val="20"/>
          <w:vertAlign w:val="superscript"/>
          <w:lang w:val="en-US"/>
        </w:rPr>
        <w:t>-1</w:t>
      </w:r>
      <w:r>
        <w:rPr>
          <w:rFonts w:ascii="Arial" w:hAnsi="Arial" w:cs="Arial"/>
          <w:sz w:val="20"/>
          <w:szCs w:val="20"/>
          <w:lang w:val="en-US"/>
        </w:rPr>
        <w:t>, linear scale) with a secondary axis for residence time (t = 60/d, ∞ to 2 s). The inset plot (bottom right) uses a logarithmic drip rate scale (0.01 to 30 drips min</w:t>
      </w:r>
      <w:r>
        <w:rPr>
          <w:rFonts w:ascii="Arial" w:hAnsi="Arial" w:cs="Arial"/>
          <w:sz w:val="20"/>
          <w:szCs w:val="20"/>
          <w:vertAlign w:val="superscript"/>
          <w:lang w:val="en-US"/>
        </w:rPr>
        <w:t>-1</w:t>
      </w:r>
      <w:r>
        <w:rPr>
          <w:rFonts w:ascii="Arial" w:hAnsi="Arial" w:cs="Arial"/>
          <w:sz w:val="20"/>
          <w:szCs w:val="20"/>
          <w:lang w:val="en-US"/>
        </w:rPr>
        <w:t>) with t from 6000 to 2 s for low-rate detail. Solid lines represent fully labile pools; dashed lines include a 0.2 inert fraction.</w:t>
      </w:r>
    </w:p>
    <w:p w14:paraId="16FFA2E5" w14:textId="77777777" w:rsidR="0040740C" w:rsidRPr="006B21EA" w:rsidRDefault="0040740C" w:rsidP="008468D4">
      <w:pPr>
        <w:rPr>
          <w:rFonts w:ascii="Arial" w:hAnsi="Arial" w:cs="Arial"/>
          <w:b/>
          <w:bCs/>
        </w:rPr>
      </w:pPr>
    </w:p>
    <w:p w14:paraId="6818DA05" w14:textId="77777777" w:rsidR="00F76546" w:rsidRPr="006B21EA" w:rsidRDefault="00F76546" w:rsidP="008468D4">
      <w:pPr>
        <w:rPr>
          <w:rFonts w:ascii="Arial" w:hAnsi="Arial" w:cs="Arial"/>
          <w:b/>
          <w:bCs/>
        </w:rPr>
      </w:pPr>
    </w:p>
    <w:p w14:paraId="1C70DFD0" w14:textId="77777777" w:rsidR="00F76546" w:rsidRPr="006B21EA" w:rsidRDefault="00F76546" w:rsidP="008468D4">
      <w:pPr>
        <w:rPr>
          <w:rFonts w:ascii="Arial" w:hAnsi="Arial" w:cs="Arial"/>
          <w:b/>
          <w:bCs/>
        </w:rPr>
      </w:pPr>
    </w:p>
    <w:p w14:paraId="3146FAEA" w14:textId="77777777" w:rsidR="00F76546" w:rsidRPr="006B21EA" w:rsidRDefault="00F76546" w:rsidP="008468D4">
      <w:pPr>
        <w:rPr>
          <w:rFonts w:ascii="Arial" w:hAnsi="Arial" w:cs="Arial"/>
          <w:b/>
          <w:bCs/>
        </w:rPr>
      </w:pPr>
    </w:p>
    <w:p w14:paraId="0B14C05F" w14:textId="77777777" w:rsidR="00F76546" w:rsidRPr="006B21EA" w:rsidRDefault="00F76546" w:rsidP="008468D4">
      <w:pPr>
        <w:rPr>
          <w:rFonts w:ascii="Arial" w:hAnsi="Arial" w:cs="Arial"/>
          <w:b/>
          <w:bCs/>
        </w:rPr>
      </w:pPr>
    </w:p>
    <w:p w14:paraId="3624BC6D" w14:textId="77777777" w:rsidR="00681994" w:rsidRPr="006B21EA" w:rsidRDefault="00681994" w:rsidP="008468D4">
      <w:pPr>
        <w:rPr>
          <w:rFonts w:ascii="Arial" w:hAnsi="Arial" w:cs="Arial"/>
          <w:b/>
          <w:bCs/>
        </w:rPr>
      </w:pPr>
    </w:p>
    <w:p w14:paraId="3A5D791D" w14:textId="77777777" w:rsidR="00681994" w:rsidRPr="006B21EA" w:rsidRDefault="00681994" w:rsidP="008468D4">
      <w:pPr>
        <w:rPr>
          <w:rFonts w:ascii="Arial" w:hAnsi="Arial" w:cs="Arial"/>
          <w:b/>
          <w:bCs/>
        </w:rPr>
      </w:pPr>
    </w:p>
    <w:p w14:paraId="2EFC2D5F" w14:textId="77777777" w:rsidR="00F76546" w:rsidRPr="006B21EA" w:rsidRDefault="00F76546" w:rsidP="008468D4">
      <w:pPr>
        <w:rPr>
          <w:rFonts w:ascii="Arial" w:hAnsi="Arial" w:cs="Arial"/>
          <w:b/>
          <w:bCs/>
        </w:rPr>
      </w:pPr>
    </w:p>
    <w:p w14:paraId="1B655534" w14:textId="77777777" w:rsidR="00F76546" w:rsidRDefault="00F76546" w:rsidP="008468D4">
      <w:pPr>
        <w:rPr>
          <w:rFonts w:ascii="Arial" w:hAnsi="Arial" w:cs="Arial"/>
          <w:b/>
          <w:bCs/>
        </w:rPr>
      </w:pPr>
    </w:p>
    <w:p w14:paraId="1DDF5682" w14:textId="77777777" w:rsidR="00C75553" w:rsidRDefault="00C75553" w:rsidP="008468D4">
      <w:pPr>
        <w:rPr>
          <w:rFonts w:ascii="Arial" w:hAnsi="Arial" w:cs="Arial"/>
          <w:b/>
          <w:bCs/>
        </w:rPr>
      </w:pPr>
    </w:p>
    <w:p w14:paraId="3DC72417" w14:textId="77777777" w:rsidR="00C75553" w:rsidRDefault="00C75553" w:rsidP="008468D4">
      <w:pPr>
        <w:rPr>
          <w:rFonts w:ascii="Arial" w:hAnsi="Arial" w:cs="Arial"/>
          <w:b/>
          <w:bCs/>
        </w:rPr>
      </w:pPr>
    </w:p>
    <w:p w14:paraId="3B712FC8" w14:textId="77777777" w:rsidR="00C75553" w:rsidRPr="006B21EA" w:rsidRDefault="00C75553" w:rsidP="008468D4">
      <w:pPr>
        <w:rPr>
          <w:rFonts w:ascii="Arial" w:hAnsi="Arial" w:cs="Arial"/>
          <w:b/>
          <w:bCs/>
        </w:rPr>
      </w:pPr>
    </w:p>
    <w:p w14:paraId="19826E81" w14:textId="77777777" w:rsidR="00F76546" w:rsidRPr="006B21EA" w:rsidRDefault="00F76546" w:rsidP="008468D4">
      <w:pPr>
        <w:rPr>
          <w:rFonts w:ascii="Arial" w:hAnsi="Arial" w:cs="Arial"/>
          <w:b/>
          <w:bCs/>
        </w:rPr>
      </w:pPr>
    </w:p>
    <w:p w14:paraId="3BD610B2" w14:textId="77777777" w:rsidR="00227DC3" w:rsidRPr="006B21EA" w:rsidRDefault="00EB5A15">
      <w:pPr>
        <w:rPr>
          <w:rFonts w:ascii="Arial" w:hAnsi="Arial" w:cs="Arial"/>
          <w:b/>
          <w:bCs/>
        </w:rPr>
      </w:pPr>
      <w:r>
        <w:rPr>
          <w:rFonts w:ascii="Arial" w:hAnsi="Arial" w:cs="Arial"/>
          <w:b/>
          <w:bCs/>
        </w:rPr>
        <w:lastRenderedPageBreak/>
        <w:t>Supplementary References</w:t>
      </w:r>
    </w:p>
    <w:p w14:paraId="000000B1" w14:textId="77777777" w:rsidR="003D56CF" w:rsidRDefault="003D56CF" w:rsidP="006B21EA">
      <w:pPr>
        <w:pStyle w:val="Bibliography"/>
        <w:spacing w:line="276" w:lineRule="auto"/>
        <w:rPr>
          <w:rFonts w:ascii="Arial" w:hAnsi="Arial" w:cs="Arial"/>
        </w:rPr>
      </w:pPr>
      <w:r>
        <w:rPr>
          <w:rFonts w:ascii="Arial" w:hAnsi="Arial" w:cs="Arial"/>
        </w:rPr>
        <w:t>1.</w:t>
      </w:r>
      <w:r>
        <w:rPr>
          <w:rFonts w:ascii="Arial" w:hAnsi="Arial" w:cs="Arial"/>
        </w:rPr>
        <w:tab/>
        <w:t xml:space="preserve">Hartland, A. &amp; </w:t>
      </w:r>
      <w:proofErr w:type="spellStart"/>
      <w:r>
        <w:rPr>
          <w:rFonts w:ascii="Arial" w:hAnsi="Arial" w:cs="Arial"/>
        </w:rPr>
        <w:t>Zitoun</w:t>
      </w:r>
      <w:proofErr w:type="spellEnd"/>
      <w:r>
        <w:rPr>
          <w:rFonts w:ascii="Arial" w:hAnsi="Arial" w:cs="Arial"/>
        </w:rPr>
        <w:t xml:space="preserve">, R. Transition metal availability to speleothems controlled by organic binding ligands. </w:t>
      </w:r>
      <w:r>
        <w:rPr>
          <w:rFonts w:ascii="Arial" w:hAnsi="Arial" w:cs="Arial"/>
          <w:i/>
          <w:iCs/>
        </w:rPr>
        <w:t xml:space="preserve">Geochem. </w:t>
      </w:r>
      <w:proofErr w:type="spellStart"/>
      <w:r>
        <w:rPr>
          <w:rFonts w:ascii="Arial" w:hAnsi="Arial" w:cs="Arial"/>
          <w:i/>
          <w:iCs/>
        </w:rPr>
        <w:t>Persp</w:t>
      </w:r>
      <w:proofErr w:type="spellEnd"/>
      <w:r>
        <w:rPr>
          <w:rFonts w:ascii="Arial" w:hAnsi="Arial" w:cs="Arial"/>
          <w:i/>
          <w:iCs/>
        </w:rPr>
        <w:t>. Let.</w:t>
      </w:r>
      <w:r>
        <w:rPr>
          <w:rFonts w:ascii="Arial" w:hAnsi="Arial" w:cs="Arial"/>
        </w:rPr>
        <w:t xml:space="preserve"> </w:t>
      </w:r>
      <w:r>
        <w:rPr>
          <w:rFonts w:ascii="Arial" w:hAnsi="Arial" w:cs="Arial"/>
          <w:b/>
          <w:bCs/>
        </w:rPr>
        <w:t>8</w:t>
      </w:r>
      <w:r>
        <w:rPr>
          <w:rFonts w:ascii="Arial" w:hAnsi="Arial" w:cs="Arial"/>
        </w:rPr>
        <w:t>, 22–25 (2018).</w:t>
      </w:r>
    </w:p>
    <w:p w14:paraId="000000B2" w14:textId="77777777" w:rsidR="003D56CF" w:rsidRDefault="003D56CF" w:rsidP="006B21EA">
      <w:pPr>
        <w:pStyle w:val="Bibliography"/>
        <w:spacing w:line="276" w:lineRule="auto"/>
        <w:rPr>
          <w:rFonts w:ascii="Arial" w:hAnsi="Arial" w:cs="Arial"/>
        </w:rPr>
      </w:pPr>
      <w:r>
        <w:rPr>
          <w:rFonts w:ascii="Arial" w:hAnsi="Arial" w:cs="Arial"/>
        </w:rPr>
        <w:t>2.</w:t>
      </w:r>
      <w:r>
        <w:rPr>
          <w:rFonts w:ascii="Arial" w:hAnsi="Arial" w:cs="Arial"/>
        </w:rPr>
        <w:tab/>
        <w:t xml:space="preserve">Hu, C. </w:t>
      </w:r>
      <w:r>
        <w:rPr>
          <w:rFonts w:ascii="Arial" w:hAnsi="Arial" w:cs="Arial"/>
          <w:i/>
          <w:iCs/>
        </w:rPr>
        <w:t>et al.</w:t>
      </w:r>
      <w:r>
        <w:rPr>
          <w:rFonts w:ascii="Arial" w:hAnsi="Arial" w:cs="Arial"/>
        </w:rPr>
        <w:t xml:space="preserve"> Quantification of Holocene Asian monsoon rainfall from spatially separated cave records. </w:t>
      </w:r>
      <w:r>
        <w:rPr>
          <w:rFonts w:ascii="Arial" w:hAnsi="Arial" w:cs="Arial"/>
          <w:i/>
          <w:iCs/>
        </w:rPr>
        <w:t>Earth Planet. Sci. Lett.</w:t>
      </w:r>
      <w:r>
        <w:rPr>
          <w:rFonts w:ascii="Arial" w:hAnsi="Arial" w:cs="Arial"/>
        </w:rPr>
        <w:t xml:space="preserve"> </w:t>
      </w:r>
      <w:r>
        <w:rPr>
          <w:rFonts w:ascii="Arial" w:hAnsi="Arial" w:cs="Arial"/>
          <w:b/>
          <w:bCs/>
        </w:rPr>
        <w:t>266</w:t>
      </w:r>
      <w:r>
        <w:rPr>
          <w:rFonts w:ascii="Arial" w:hAnsi="Arial" w:cs="Arial"/>
        </w:rPr>
        <w:t>, 221–232 (2008).</w:t>
      </w:r>
    </w:p>
    <w:p w14:paraId="000000B3" w14:textId="77777777" w:rsidR="003D56CF" w:rsidRDefault="003D56CF" w:rsidP="006B21EA">
      <w:pPr>
        <w:pStyle w:val="Bibliography"/>
        <w:spacing w:line="276" w:lineRule="auto"/>
        <w:rPr>
          <w:rFonts w:ascii="Arial" w:hAnsi="Arial" w:cs="Arial"/>
        </w:rPr>
      </w:pPr>
      <w:r>
        <w:rPr>
          <w:rFonts w:ascii="Arial" w:hAnsi="Arial" w:cs="Arial"/>
        </w:rPr>
        <w:t>3.</w:t>
      </w:r>
      <w:r>
        <w:rPr>
          <w:rFonts w:ascii="Arial" w:hAnsi="Arial" w:cs="Arial"/>
        </w:rPr>
        <w:tab/>
        <w:t xml:space="preserve">Fraser, A. M. &amp; Swinney, H. L. Independent coordinates for strange attractors from mutual information. </w:t>
      </w:r>
      <w:r>
        <w:rPr>
          <w:rFonts w:ascii="Arial" w:hAnsi="Arial" w:cs="Arial"/>
          <w:i/>
          <w:iCs/>
        </w:rPr>
        <w:t>Phys. Rev. A</w:t>
      </w:r>
      <w:r>
        <w:rPr>
          <w:rFonts w:ascii="Arial" w:hAnsi="Arial" w:cs="Arial"/>
        </w:rPr>
        <w:t xml:space="preserve"> </w:t>
      </w:r>
      <w:r>
        <w:rPr>
          <w:rFonts w:ascii="Arial" w:hAnsi="Arial" w:cs="Arial"/>
          <w:b/>
          <w:bCs/>
        </w:rPr>
        <w:t>33</w:t>
      </w:r>
      <w:r>
        <w:rPr>
          <w:rFonts w:ascii="Arial" w:hAnsi="Arial" w:cs="Arial"/>
        </w:rPr>
        <w:t>, 1134–1140 (1986).</w:t>
      </w:r>
    </w:p>
    <w:p w14:paraId="000000B4" w14:textId="77777777" w:rsidR="003D56CF" w:rsidRDefault="003D56CF" w:rsidP="006B21EA">
      <w:pPr>
        <w:pStyle w:val="Bibliography"/>
        <w:spacing w:line="276" w:lineRule="auto"/>
        <w:rPr>
          <w:rFonts w:ascii="Arial" w:hAnsi="Arial" w:cs="Arial"/>
        </w:rPr>
      </w:pPr>
      <w:r>
        <w:rPr>
          <w:rFonts w:ascii="Arial" w:hAnsi="Arial" w:cs="Arial"/>
        </w:rPr>
        <w:t>4.</w:t>
      </w:r>
      <w:r>
        <w:rPr>
          <w:rFonts w:ascii="Arial" w:hAnsi="Arial" w:cs="Arial"/>
        </w:rPr>
        <w:tab/>
        <w:t xml:space="preserve">Cao, L. Practical method for determining the minimum embedding dimension of a scalar time series. </w:t>
      </w:r>
      <w:r>
        <w:rPr>
          <w:rFonts w:ascii="Arial" w:hAnsi="Arial" w:cs="Arial"/>
          <w:i/>
          <w:iCs/>
        </w:rPr>
        <w:t>Physica D: Nonlinear Phenomena</w:t>
      </w:r>
      <w:r>
        <w:rPr>
          <w:rFonts w:ascii="Arial" w:hAnsi="Arial" w:cs="Arial"/>
        </w:rPr>
        <w:t xml:space="preserve"> </w:t>
      </w:r>
      <w:r>
        <w:rPr>
          <w:rFonts w:ascii="Arial" w:hAnsi="Arial" w:cs="Arial"/>
          <w:b/>
          <w:bCs/>
        </w:rPr>
        <w:t>110</w:t>
      </w:r>
      <w:r>
        <w:rPr>
          <w:rFonts w:ascii="Arial" w:hAnsi="Arial" w:cs="Arial"/>
        </w:rPr>
        <w:t>, 43–50 (1997).</w:t>
      </w:r>
    </w:p>
    <w:p w14:paraId="000000B5" w14:textId="77777777" w:rsidR="003D56CF" w:rsidRDefault="003D56CF" w:rsidP="006B21EA">
      <w:pPr>
        <w:pStyle w:val="Bibliography"/>
        <w:spacing w:line="276" w:lineRule="auto"/>
        <w:rPr>
          <w:rFonts w:ascii="Arial" w:hAnsi="Arial" w:cs="Arial"/>
        </w:rPr>
      </w:pPr>
      <w:r>
        <w:rPr>
          <w:rFonts w:ascii="Arial" w:hAnsi="Arial" w:cs="Arial"/>
        </w:rPr>
        <w:t>5.</w:t>
      </w:r>
      <w:r>
        <w:rPr>
          <w:rFonts w:ascii="Arial" w:hAnsi="Arial" w:cs="Arial"/>
        </w:rPr>
        <w:tab/>
        <w:t xml:space="preserve">Kraemer, K. H., Donner, R. V., Heitzig, J. &amp; Marwan, N. Recurrence threshold selection for obtaining robust recurrence characteristics in different embedding dimensions. </w:t>
      </w:r>
      <w:r>
        <w:rPr>
          <w:rFonts w:ascii="Arial" w:hAnsi="Arial" w:cs="Arial"/>
          <w:i/>
          <w:iCs/>
        </w:rPr>
        <w:t>Chaos</w:t>
      </w:r>
      <w:r>
        <w:rPr>
          <w:rFonts w:ascii="Arial" w:hAnsi="Arial" w:cs="Arial"/>
        </w:rPr>
        <w:t xml:space="preserve"> </w:t>
      </w:r>
      <w:r>
        <w:rPr>
          <w:rFonts w:ascii="Arial" w:hAnsi="Arial" w:cs="Arial"/>
          <w:b/>
          <w:bCs/>
        </w:rPr>
        <w:t>28</w:t>
      </w:r>
      <w:r>
        <w:rPr>
          <w:rFonts w:ascii="Arial" w:hAnsi="Arial" w:cs="Arial"/>
        </w:rPr>
        <w:t>, 085720 (2018).</w:t>
      </w:r>
    </w:p>
    <w:p w14:paraId="000000B6" w14:textId="77777777" w:rsidR="003D56CF" w:rsidRDefault="003D56CF" w:rsidP="006B21EA">
      <w:pPr>
        <w:pStyle w:val="Bibliography"/>
        <w:spacing w:line="276" w:lineRule="auto"/>
        <w:rPr>
          <w:rFonts w:ascii="Arial" w:hAnsi="Arial" w:cs="Arial"/>
        </w:rPr>
      </w:pPr>
      <w:r>
        <w:rPr>
          <w:rFonts w:ascii="Arial" w:hAnsi="Arial" w:cs="Arial"/>
        </w:rPr>
        <w:t>6.</w:t>
      </w:r>
      <w:r>
        <w:rPr>
          <w:rFonts w:ascii="Arial" w:hAnsi="Arial" w:cs="Arial"/>
        </w:rPr>
        <w:tab/>
        <w:t xml:space="preserve">Theiler, J. Spurious dimension from correlation algorithms applied to limited time-series data. </w:t>
      </w:r>
      <w:r>
        <w:rPr>
          <w:rFonts w:ascii="Arial" w:hAnsi="Arial" w:cs="Arial"/>
          <w:i/>
          <w:iCs/>
        </w:rPr>
        <w:t>Phys. Rev. A</w:t>
      </w:r>
      <w:r>
        <w:rPr>
          <w:rFonts w:ascii="Arial" w:hAnsi="Arial" w:cs="Arial"/>
        </w:rPr>
        <w:t xml:space="preserve"> </w:t>
      </w:r>
      <w:r>
        <w:rPr>
          <w:rFonts w:ascii="Arial" w:hAnsi="Arial" w:cs="Arial"/>
          <w:b/>
          <w:bCs/>
        </w:rPr>
        <w:t>34</w:t>
      </w:r>
      <w:r>
        <w:rPr>
          <w:rFonts w:ascii="Arial" w:hAnsi="Arial" w:cs="Arial"/>
        </w:rPr>
        <w:t>, 2427–2432 (1986).</w:t>
      </w:r>
    </w:p>
    <w:p w14:paraId="000000B7" w14:textId="77777777" w:rsidR="003D56CF" w:rsidRDefault="003D56CF" w:rsidP="006B21EA">
      <w:pPr>
        <w:pStyle w:val="Bibliography"/>
        <w:spacing w:line="276" w:lineRule="auto"/>
        <w:rPr>
          <w:rFonts w:ascii="Arial" w:hAnsi="Arial" w:cs="Arial"/>
        </w:rPr>
      </w:pPr>
      <w:r>
        <w:rPr>
          <w:rFonts w:ascii="Arial" w:hAnsi="Arial" w:cs="Arial"/>
        </w:rPr>
        <w:t>7.</w:t>
      </w:r>
      <w:r>
        <w:rPr>
          <w:rFonts w:ascii="Arial" w:hAnsi="Arial" w:cs="Arial"/>
        </w:rPr>
        <w:tab/>
        <w:t xml:space="preserve">Donner, R. V. </w:t>
      </w:r>
      <w:r>
        <w:rPr>
          <w:rFonts w:ascii="Arial" w:hAnsi="Arial" w:cs="Arial"/>
          <w:i/>
          <w:iCs/>
        </w:rPr>
        <w:t>et al.</w:t>
      </w:r>
      <w:r>
        <w:rPr>
          <w:rFonts w:ascii="Arial" w:hAnsi="Arial" w:cs="Arial"/>
        </w:rPr>
        <w:t xml:space="preserve"> Recurrence networks—a novel paradigm for nonlinear time series analysis. </w:t>
      </w:r>
      <w:r>
        <w:rPr>
          <w:rFonts w:ascii="Arial" w:hAnsi="Arial" w:cs="Arial"/>
          <w:i/>
          <w:iCs/>
        </w:rPr>
        <w:t>New J. Phys.</w:t>
      </w:r>
      <w:r>
        <w:rPr>
          <w:rFonts w:ascii="Arial" w:hAnsi="Arial" w:cs="Arial"/>
        </w:rPr>
        <w:t xml:space="preserve"> </w:t>
      </w:r>
      <w:r>
        <w:rPr>
          <w:rFonts w:ascii="Arial" w:hAnsi="Arial" w:cs="Arial"/>
          <w:b/>
          <w:bCs/>
        </w:rPr>
        <w:t>12</w:t>
      </w:r>
      <w:r>
        <w:rPr>
          <w:rFonts w:ascii="Arial" w:hAnsi="Arial" w:cs="Arial"/>
        </w:rPr>
        <w:t>, 033025 (2010).</w:t>
      </w:r>
    </w:p>
    <w:p w14:paraId="000000B8" w14:textId="77777777" w:rsidR="003D56CF" w:rsidRDefault="003D56CF" w:rsidP="006B21EA">
      <w:pPr>
        <w:pStyle w:val="Bibliography"/>
        <w:spacing w:line="276" w:lineRule="auto"/>
        <w:rPr>
          <w:rFonts w:ascii="Arial" w:hAnsi="Arial" w:cs="Arial"/>
        </w:rPr>
      </w:pPr>
      <w:r>
        <w:rPr>
          <w:rFonts w:ascii="Arial" w:hAnsi="Arial" w:cs="Arial"/>
        </w:rPr>
        <w:t>8.</w:t>
      </w:r>
      <w:r>
        <w:rPr>
          <w:rFonts w:ascii="Arial" w:hAnsi="Arial" w:cs="Arial"/>
        </w:rPr>
        <w:tab/>
        <w:t xml:space="preserve">Zheng, J. </w:t>
      </w:r>
      <w:r>
        <w:rPr>
          <w:rFonts w:ascii="Arial" w:hAnsi="Arial" w:cs="Arial"/>
          <w:i/>
          <w:iCs/>
        </w:rPr>
        <w:t>et al.</w:t>
      </w:r>
      <w:r>
        <w:rPr>
          <w:rFonts w:ascii="Arial" w:hAnsi="Arial" w:cs="Arial"/>
        </w:rPr>
        <w:t xml:space="preserve"> Historical droughts in the Qing dynasty (1644–1911) of China. </w:t>
      </w:r>
      <w:r>
        <w:rPr>
          <w:rFonts w:ascii="Arial" w:hAnsi="Arial" w:cs="Arial"/>
          <w:i/>
          <w:iCs/>
        </w:rPr>
        <w:t>Clim. Past</w:t>
      </w:r>
      <w:r>
        <w:rPr>
          <w:rFonts w:ascii="Arial" w:hAnsi="Arial" w:cs="Arial"/>
        </w:rPr>
        <w:t xml:space="preserve"> </w:t>
      </w:r>
      <w:r>
        <w:rPr>
          <w:rFonts w:ascii="Arial" w:hAnsi="Arial" w:cs="Arial"/>
          <w:b/>
          <w:bCs/>
        </w:rPr>
        <w:t>16</w:t>
      </w:r>
      <w:r>
        <w:rPr>
          <w:rFonts w:ascii="Arial" w:hAnsi="Arial" w:cs="Arial"/>
        </w:rPr>
        <w:t>, 911–931 (2020).</w:t>
      </w:r>
    </w:p>
    <w:p w14:paraId="000000B9" w14:textId="77777777" w:rsidR="003D56CF" w:rsidRDefault="003D56CF" w:rsidP="006B21EA">
      <w:pPr>
        <w:pStyle w:val="Bibliography"/>
        <w:spacing w:line="276" w:lineRule="auto"/>
        <w:rPr>
          <w:rFonts w:ascii="Arial" w:hAnsi="Arial" w:cs="Arial"/>
        </w:rPr>
      </w:pPr>
      <w:r>
        <w:rPr>
          <w:rFonts w:ascii="Arial" w:hAnsi="Arial" w:cs="Arial"/>
        </w:rPr>
        <w:t>9.</w:t>
      </w:r>
      <w:r>
        <w:rPr>
          <w:rFonts w:ascii="Arial" w:hAnsi="Arial" w:cs="Arial"/>
        </w:rPr>
        <w:tab/>
        <w:t xml:space="preserve">Hang, X., Sun, Z., He, J. </w:t>
      </w:r>
      <w:r>
        <w:rPr>
          <w:rFonts w:ascii="Arial" w:hAnsi="Arial" w:cs="Arial"/>
          <w:i/>
          <w:iCs/>
        </w:rPr>
        <w:t>et al.</w:t>
      </w:r>
      <w:r>
        <w:rPr>
          <w:rFonts w:ascii="Arial" w:hAnsi="Arial" w:cs="Arial"/>
        </w:rPr>
        <w:t xml:space="preserve"> Temporal and spatial effects of extreme drought events on human epidemics over ancient China in 1784–1787 CE. </w:t>
      </w:r>
      <w:r>
        <w:rPr>
          <w:rFonts w:ascii="Arial" w:hAnsi="Arial" w:cs="Arial"/>
          <w:i/>
          <w:iCs/>
        </w:rPr>
        <w:t>Environ. Health</w:t>
      </w:r>
      <w:r>
        <w:rPr>
          <w:rFonts w:ascii="Arial" w:hAnsi="Arial" w:cs="Arial"/>
        </w:rPr>
        <w:t xml:space="preserve"> </w:t>
      </w:r>
      <w:r>
        <w:rPr>
          <w:rFonts w:ascii="Arial" w:hAnsi="Arial" w:cs="Arial"/>
          <w:b/>
          <w:bCs/>
        </w:rPr>
        <w:t>24</w:t>
      </w:r>
      <w:r>
        <w:rPr>
          <w:rFonts w:ascii="Arial" w:hAnsi="Arial" w:cs="Arial"/>
        </w:rPr>
        <w:t>, 8 (2025).</w:t>
      </w:r>
    </w:p>
    <w:p w14:paraId="000000BA" w14:textId="77777777" w:rsidR="003D56CF" w:rsidRDefault="003D56CF" w:rsidP="006B21EA">
      <w:pPr>
        <w:pStyle w:val="Bibliography"/>
        <w:spacing w:line="276" w:lineRule="auto"/>
        <w:rPr>
          <w:rFonts w:ascii="Arial" w:hAnsi="Arial" w:cs="Arial"/>
        </w:rPr>
      </w:pPr>
      <w:r>
        <w:rPr>
          <w:rFonts w:ascii="Arial" w:hAnsi="Arial" w:cs="Arial"/>
        </w:rPr>
        <w:t>10.</w:t>
      </w:r>
      <w:r>
        <w:rPr>
          <w:rFonts w:ascii="Arial" w:hAnsi="Arial" w:cs="Arial"/>
        </w:rPr>
        <w:tab/>
        <w:t xml:space="preserve">Yin, Y. X. </w:t>
      </w:r>
      <w:r>
        <w:rPr>
          <w:rFonts w:ascii="Arial" w:hAnsi="Arial" w:cs="Arial"/>
          <w:i/>
          <w:iCs/>
        </w:rPr>
        <w:t>et al.</w:t>
      </w:r>
      <w:r>
        <w:rPr>
          <w:rFonts w:ascii="Arial" w:hAnsi="Arial" w:cs="Arial"/>
        </w:rPr>
        <w:t xml:space="preserve"> Extreme historical droughts and floods in the </w:t>
      </w:r>
      <w:proofErr w:type="spellStart"/>
      <w:r>
        <w:rPr>
          <w:rFonts w:ascii="Arial" w:hAnsi="Arial" w:cs="Arial"/>
        </w:rPr>
        <w:t>Hanjiang</w:t>
      </w:r>
      <w:proofErr w:type="spellEnd"/>
      <w:r>
        <w:rPr>
          <w:rFonts w:ascii="Arial" w:hAnsi="Arial" w:cs="Arial"/>
        </w:rPr>
        <w:t xml:space="preserve"> River Basin, China, since 1426. </w:t>
      </w:r>
      <w:r>
        <w:rPr>
          <w:rFonts w:ascii="Arial" w:hAnsi="Arial" w:cs="Arial"/>
          <w:i/>
          <w:iCs/>
        </w:rPr>
        <w:t>Clim. Past</w:t>
      </w:r>
      <w:r>
        <w:rPr>
          <w:rFonts w:ascii="Arial" w:hAnsi="Arial" w:cs="Arial"/>
        </w:rPr>
        <w:t xml:space="preserve"> </w:t>
      </w:r>
      <w:r>
        <w:rPr>
          <w:rFonts w:ascii="Arial" w:hAnsi="Arial" w:cs="Arial"/>
          <w:b/>
          <w:bCs/>
        </w:rPr>
        <w:t>18</w:t>
      </w:r>
      <w:r>
        <w:rPr>
          <w:rFonts w:ascii="Arial" w:hAnsi="Arial" w:cs="Arial"/>
        </w:rPr>
        <w:t>, 1775–1791 (2022).</w:t>
      </w:r>
    </w:p>
    <w:p w14:paraId="000000BB" w14:textId="77777777" w:rsidR="003D56CF" w:rsidRDefault="003D56CF" w:rsidP="006B21EA">
      <w:pPr>
        <w:pStyle w:val="Bibliography"/>
        <w:spacing w:line="276" w:lineRule="auto"/>
        <w:rPr>
          <w:rFonts w:ascii="Arial" w:hAnsi="Arial" w:cs="Arial"/>
        </w:rPr>
      </w:pPr>
      <w:r>
        <w:rPr>
          <w:rFonts w:ascii="Arial" w:hAnsi="Arial" w:cs="Arial"/>
        </w:rPr>
        <w:t>11.</w:t>
      </w:r>
      <w:r>
        <w:rPr>
          <w:rFonts w:ascii="Arial" w:hAnsi="Arial" w:cs="Arial"/>
        </w:rPr>
        <w:tab/>
        <w:t xml:space="preserve">Höpker, S. N., Breitenbach, S. F. M., Grainger, M., Stirling, C. H. &amp; Hartland, A. Characterising the decay of organic metal complexes in speleothem-forming cave waters. </w:t>
      </w:r>
      <w:proofErr w:type="spellStart"/>
      <w:r>
        <w:rPr>
          <w:rFonts w:ascii="Arial" w:hAnsi="Arial" w:cs="Arial"/>
          <w:i/>
          <w:iCs/>
        </w:rPr>
        <w:t>Geochim</w:t>
      </w:r>
      <w:proofErr w:type="spellEnd"/>
      <w:r>
        <w:rPr>
          <w:rFonts w:ascii="Arial" w:hAnsi="Arial" w:cs="Arial"/>
          <w:i/>
          <w:iCs/>
        </w:rPr>
        <w:t xml:space="preserve">. </w:t>
      </w:r>
      <w:proofErr w:type="spellStart"/>
      <w:r>
        <w:rPr>
          <w:rFonts w:ascii="Arial" w:hAnsi="Arial" w:cs="Arial"/>
          <w:i/>
          <w:iCs/>
        </w:rPr>
        <w:t>Cosmochim</w:t>
      </w:r>
      <w:proofErr w:type="spellEnd"/>
      <w:r>
        <w:rPr>
          <w:rFonts w:ascii="Arial" w:hAnsi="Arial" w:cs="Arial"/>
          <w:i/>
          <w:iCs/>
        </w:rPr>
        <w:t>. Acta</w:t>
      </w:r>
      <w:r>
        <w:rPr>
          <w:rFonts w:ascii="Arial" w:hAnsi="Arial" w:cs="Arial"/>
        </w:rPr>
        <w:t xml:space="preserve"> </w:t>
      </w:r>
      <w:r>
        <w:rPr>
          <w:rFonts w:ascii="Arial" w:hAnsi="Arial" w:cs="Arial"/>
          <w:b/>
          <w:bCs/>
        </w:rPr>
        <w:t>373</w:t>
      </w:r>
      <w:r>
        <w:rPr>
          <w:rFonts w:ascii="Arial" w:hAnsi="Arial" w:cs="Arial"/>
        </w:rPr>
        <w:t>, 98–108 (2024).</w:t>
      </w:r>
    </w:p>
    <w:p w14:paraId="000000BC" w14:textId="77777777" w:rsidR="003D56CF" w:rsidRDefault="003D56CF" w:rsidP="006B21EA">
      <w:pPr>
        <w:pStyle w:val="Bibliography"/>
        <w:spacing w:line="276" w:lineRule="auto"/>
        <w:rPr>
          <w:rFonts w:ascii="Arial" w:hAnsi="Arial" w:cs="Arial"/>
        </w:rPr>
      </w:pPr>
      <w:r>
        <w:rPr>
          <w:rFonts w:ascii="Arial" w:hAnsi="Arial" w:cs="Arial"/>
        </w:rPr>
        <w:t>12.</w:t>
      </w:r>
      <w:r>
        <w:rPr>
          <w:rFonts w:ascii="Arial" w:hAnsi="Arial" w:cs="Arial"/>
        </w:rPr>
        <w:tab/>
        <w:t>Brodnax, R. Identifying temporal and spatial variations in the binding properties of transition metal-organic ligand complexes in cave waters using organic inclusions in speleothem calcite: Implications for paleoclimate research. (University of Waikato, Hamilton, New Zealand, 2024).</w:t>
      </w:r>
    </w:p>
    <w:p w14:paraId="000000BD" w14:textId="77777777" w:rsidR="003D56CF" w:rsidRDefault="003D56CF" w:rsidP="006B21EA">
      <w:pPr>
        <w:pStyle w:val="Bibliography"/>
        <w:spacing w:line="276" w:lineRule="auto"/>
        <w:rPr>
          <w:rFonts w:ascii="Arial" w:hAnsi="Arial" w:cs="Arial"/>
        </w:rPr>
      </w:pPr>
      <w:r>
        <w:rPr>
          <w:rFonts w:ascii="Arial" w:hAnsi="Arial" w:cs="Arial"/>
        </w:rPr>
        <w:t>13.</w:t>
      </w:r>
      <w:r>
        <w:rPr>
          <w:rFonts w:ascii="Arial" w:hAnsi="Arial" w:cs="Arial"/>
        </w:rPr>
        <w:tab/>
        <w:t xml:space="preserve">Baker, A. &amp; Fairchild, I. J. Drip Water Hydrology and Speleothems. </w:t>
      </w:r>
      <w:r>
        <w:rPr>
          <w:rFonts w:ascii="Arial" w:hAnsi="Arial" w:cs="Arial"/>
          <w:i/>
          <w:iCs/>
        </w:rPr>
        <w:t>Nature Education Knowledge</w:t>
      </w:r>
      <w:r>
        <w:rPr>
          <w:rFonts w:ascii="Arial" w:hAnsi="Arial" w:cs="Arial"/>
        </w:rPr>
        <w:t xml:space="preserve"> </w:t>
      </w:r>
      <w:r>
        <w:rPr>
          <w:rFonts w:ascii="Arial" w:hAnsi="Arial" w:cs="Arial"/>
          <w:b/>
          <w:bCs/>
        </w:rPr>
        <w:t>3</w:t>
      </w:r>
      <w:r>
        <w:rPr>
          <w:rFonts w:ascii="Arial" w:hAnsi="Arial" w:cs="Arial"/>
        </w:rPr>
        <w:t>(10), 16 (2012).</w:t>
      </w:r>
    </w:p>
    <w:p w14:paraId="000000BE" w14:textId="77777777" w:rsidR="003D56CF" w:rsidRDefault="003D56CF" w:rsidP="006B21EA">
      <w:pPr>
        <w:pStyle w:val="Bibliography"/>
        <w:spacing w:line="276" w:lineRule="auto"/>
        <w:rPr>
          <w:rFonts w:ascii="Arial" w:hAnsi="Arial" w:cs="Arial"/>
        </w:rPr>
      </w:pPr>
      <w:r>
        <w:rPr>
          <w:rFonts w:ascii="Arial" w:hAnsi="Arial" w:cs="Arial"/>
        </w:rPr>
        <w:t>14.</w:t>
      </w:r>
      <w:r>
        <w:rPr>
          <w:rFonts w:ascii="Arial" w:hAnsi="Arial" w:cs="Arial"/>
        </w:rPr>
        <w:tab/>
        <w:t xml:space="preserve">Guo, W. &amp; Zhou, C. Patterns and controls of disequilibrium isotope effects in implications for quantitative thermometry. </w:t>
      </w:r>
      <w:r>
        <w:rPr>
          <w:rFonts w:ascii="Arial" w:hAnsi="Arial" w:cs="Arial"/>
          <w:i/>
          <w:iCs/>
        </w:rPr>
        <w:t>Geochimica et Cosmochimica Acta</w:t>
      </w:r>
      <w:r>
        <w:rPr>
          <w:rFonts w:ascii="Arial" w:hAnsi="Arial" w:cs="Arial"/>
        </w:rPr>
        <w:t xml:space="preserve"> </w:t>
      </w:r>
      <w:r>
        <w:rPr>
          <w:rFonts w:ascii="Arial" w:hAnsi="Arial" w:cs="Arial"/>
          <w:b/>
          <w:bCs/>
        </w:rPr>
        <w:t>267</w:t>
      </w:r>
      <w:r>
        <w:rPr>
          <w:rFonts w:ascii="Arial" w:hAnsi="Arial" w:cs="Arial"/>
        </w:rPr>
        <w:t>, 196–226 (2019).</w:t>
      </w:r>
    </w:p>
    <w:p w14:paraId="000000BF" w14:textId="77777777" w:rsidR="003D56CF" w:rsidRDefault="003D56CF" w:rsidP="006B21EA">
      <w:pPr>
        <w:pStyle w:val="Bibliography"/>
        <w:spacing w:line="276" w:lineRule="auto"/>
        <w:rPr>
          <w:rFonts w:ascii="Arial" w:hAnsi="Arial" w:cs="Arial"/>
        </w:rPr>
      </w:pPr>
      <w:r>
        <w:rPr>
          <w:rFonts w:ascii="Arial" w:hAnsi="Arial" w:cs="Arial"/>
        </w:rPr>
        <w:t>15.</w:t>
      </w:r>
      <w:r>
        <w:rPr>
          <w:rFonts w:ascii="Arial" w:hAnsi="Arial" w:cs="Arial"/>
        </w:rPr>
        <w:tab/>
        <w:t xml:space="preserve">Sade, Z., Hegyi, S., Hansen, M., Scholz, D. &amp; Halevy, I. The effects of drip rate and geometry on the isotopic composition of speleothems: Evaluation with an advection-diffusion-reaction model. </w:t>
      </w:r>
      <w:r>
        <w:rPr>
          <w:rFonts w:ascii="Arial" w:hAnsi="Arial" w:cs="Arial"/>
          <w:i/>
          <w:iCs/>
        </w:rPr>
        <w:t>Geochimica et Cosmochimica Acta</w:t>
      </w:r>
      <w:r>
        <w:rPr>
          <w:rFonts w:ascii="Arial" w:hAnsi="Arial" w:cs="Arial"/>
        </w:rPr>
        <w:t xml:space="preserve"> </w:t>
      </w:r>
      <w:r>
        <w:rPr>
          <w:rFonts w:ascii="Arial" w:hAnsi="Arial" w:cs="Arial"/>
          <w:b/>
          <w:bCs/>
        </w:rPr>
        <w:t>317</w:t>
      </w:r>
      <w:r>
        <w:rPr>
          <w:rFonts w:ascii="Arial" w:hAnsi="Arial" w:cs="Arial"/>
        </w:rPr>
        <w:t>, 409–432 (2022).</w:t>
      </w:r>
    </w:p>
    <w:p w14:paraId="000000C0" w14:textId="77777777" w:rsidR="003D56CF" w:rsidRDefault="003D56CF" w:rsidP="006B21EA">
      <w:pPr>
        <w:pStyle w:val="Bibliography"/>
        <w:spacing w:line="276" w:lineRule="auto"/>
        <w:rPr>
          <w:rFonts w:ascii="Arial" w:hAnsi="Arial" w:cs="Arial"/>
        </w:rPr>
      </w:pPr>
      <w:r>
        <w:rPr>
          <w:rFonts w:ascii="Arial" w:hAnsi="Arial" w:cs="Arial"/>
        </w:rPr>
        <w:t>16.</w:t>
      </w:r>
      <w:r>
        <w:rPr>
          <w:rFonts w:ascii="Arial" w:hAnsi="Arial" w:cs="Arial"/>
        </w:rPr>
        <w:tab/>
        <w:t xml:space="preserve">Bajnai, D. </w:t>
      </w:r>
      <w:r>
        <w:rPr>
          <w:rFonts w:ascii="Arial" w:hAnsi="Arial" w:cs="Arial"/>
          <w:i/>
          <w:iCs/>
        </w:rPr>
        <w:t>et al.</w:t>
      </w:r>
      <w:r>
        <w:rPr>
          <w:rFonts w:ascii="Arial" w:hAnsi="Arial" w:cs="Arial"/>
        </w:rPr>
        <w:t xml:space="preserve"> Dual clumped isotope thermometry resolves kinetic biases in carbonate formation temperatures. </w:t>
      </w:r>
      <w:r>
        <w:rPr>
          <w:rFonts w:ascii="Arial" w:hAnsi="Arial" w:cs="Arial"/>
          <w:i/>
          <w:iCs/>
        </w:rPr>
        <w:t>Nat. Commun.</w:t>
      </w:r>
      <w:r>
        <w:rPr>
          <w:rFonts w:ascii="Arial" w:hAnsi="Arial" w:cs="Arial"/>
        </w:rPr>
        <w:t xml:space="preserve"> </w:t>
      </w:r>
      <w:r>
        <w:rPr>
          <w:rFonts w:ascii="Arial" w:hAnsi="Arial" w:cs="Arial"/>
          <w:b/>
          <w:bCs/>
        </w:rPr>
        <w:t>11</w:t>
      </w:r>
      <w:r>
        <w:rPr>
          <w:rFonts w:ascii="Arial" w:hAnsi="Arial" w:cs="Arial"/>
        </w:rPr>
        <w:t>, 4005 (2020).</w:t>
      </w:r>
    </w:p>
    <w:p w14:paraId="000000C1" w14:textId="77777777" w:rsidR="003D56CF" w:rsidRDefault="003D56CF" w:rsidP="006B21EA">
      <w:pPr>
        <w:pStyle w:val="Bibliography"/>
        <w:spacing w:line="276" w:lineRule="auto"/>
        <w:rPr>
          <w:rFonts w:ascii="Arial" w:hAnsi="Arial" w:cs="Arial"/>
        </w:rPr>
      </w:pPr>
      <w:r>
        <w:rPr>
          <w:rFonts w:ascii="Arial" w:hAnsi="Arial" w:cs="Arial"/>
        </w:rPr>
        <w:t>17.</w:t>
      </w:r>
      <w:r>
        <w:rPr>
          <w:rFonts w:ascii="Arial" w:hAnsi="Arial" w:cs="Arial"/>
        </w:rPr>
        <w:tab/>
      </w:r>
      <w:proofErr w:type="spellStart"/>
      <w:r>
        <w:rPr>
          <w:rFonts w:ascii="Arial" w:hAnsi="Arial" w:cs="Arial"/>
        </w:rPr>
        <w:t>Daëron</w:t>
      </w:r>
      <w:proofErr w:type="spellEnd"/>
      <w:r>
        <w:rPr>
          <w:rFonts w:ascii="Arial" w:hAnsi="Arial" w:cs="Arial"/>
        </w:rPr>
        <w:t xml:space="preserve">, M. </w:t>
      </w:r>
      <w:r>
        <w:rPr>
          <w:rFonts w:ascii="Arial" w:hAnsi="Arial" w:cs="Arial"/>
          <w:i/>
          <w:iCs/>
        </w:rPr>
        <w:t>et al.</w:t>
      </w:r>
      <w:r>
        <w:rPr>
          <w:rFonts w:ascii="Arial" w:hAnsi="Arial" w:cs="Arial"/>
        </w:rPr>
        <w:t xml:space="preserve"> Most Earth-surface calcites precipitate out of isotopic equilibrium. </w:t>
      </w:r>
      <w:r>
        <w:rPr>
          <w:rFonts w:ascii="Arial" w:hAnsi="Arial" w:cs="Arial"/>
          <w:i/>
          <w:iCs/>
        </w:rPr>
        <w:t>Nat. Commun.</w:t>
      </w:r>
      <w:r>
        <w:rPr>
          <w:rFonts w:ascii="Arial" w:hAnsi="Arial" w:cs="Arial"/>
        </w:rPr>
        <w:t xml:space="preserve"> </w:t>
      </w:r>
      <w:r>
        <w:rPr>
          <w:rFonts w:ascii="Arial" w:hAnsi="Arial" w:cs="Arial"/>
          <w:b/>
          <w:bCs/>
        </w:rPr>
        <w:t>10</w:t>
      </w:r>
      <w:r>
        <w:rPr>
          <w:rFonts w:ascii="Arial" w:hAnsi="Arial" w:cs="Arial"/>
        </w:rPr>
        <w:t>, 429 (2019).</w:t>
      </w:r>
    </w:p>
    <w:p w14:paraId="000000C2" w14:textId="77777777" w:rsidR="003D56CF" w:rsidRDefault="003D56CF" w:rsidP="006B21EA">
      <w:pPr>
        <w:pStyle w:val="Bibliography"/>
        <w:spacing w:line="276" w:lineRule="auto"/>
        <w:rPr>
          <w:rFonts w:ascii="Arial" w:hAnsi="Arial" w:cs="Arial"/>
        </w:rPr>
      </w:pPr>
      <w:r>
        <w:rPr>
          <w:rFonts w:ascii="Arial" w:hAnsi="Arial" w:cs="Arial"/>
        </w:rPr>
        <w:lastRenderedPageBreak/>
        <w:t>18.</w:t>
      </w:r>
      <w:r>
        <w:rPr>
          <w:rFonts w:ascii="Arial" w:hAnsi="Arial" w:cs="Arial"/>
        </w:rPr>
        <w:tab/>
        <w:t xml:space="preserve">Blyth, A. J., Hartland, A. &amp; Baker, A. Organic proxies in speleothems – New developments, advantages and limitations. </w:t>
      </w:r>
      <w:r>
        <w:rPr>
          <w:rFonts w:ascii="Arial" w:hAnsi="Arial" w:cs="Arial"/>
          <w:i/>
          <w:iCs/>
        </w:rPr>
        <w:t>Quaternary Science Reviews</w:t>
      </w:r>
      <w:r>
        <w:rPr>
          <w:rFonts w:ascii="Arial" w:hAnsi="Arial" w:cs="Arial"/>
        </w:rPr>
        <w:t xml:space="preserve"> </w:t>
      </w:r>
      <w:r>
        <w:rPr>
          <w:rFonts w:ascii="Arial" w:hAnsi="Arial" w:cs="Arial"/>
          <w:b/>
          <w:bCs/>
        </w:rPr>
        <w:t>149</w:t>
      </w:r>
      <w:r>
        <w:rPr>
          <w:rFonts w:ascii="Arial" w:hAnsi="Arial" w:cs="Arial"/>
        </w:rPr>
        <w:t>, 1–17 (2016).</w:t>
      </w:r>
    </w:p>
    <w:p w14:paraId="000000C3" w14:textId="77777777" w:rsidR="003D56CF" w:rsidRDefault="003D56CF" w:rsidP="006B21EA">
      <w:pPr>
        <w:pStyle w:val="Bibliography"/>
        <w:spacing w:line="276" w:lineRule="auto"/>
        <w:rPr>
          <w:rFonts w:ascii="Arial" w:hAnsi="Arial" w:cs="Arial"/>
        </w:rPr>
      </w:pPr>
      <w:r>
        <w:rPr>
          <w:rFonts w:ascii="Arial" w:hAnsi="Arial" w:cs="Arial"/>
        </w:rPr>
        <w:t>19.</w:t>
      </w:r>
      <w:r>
        <w:rPr>
          <w:rFonts w:ascii="Arial" w:hAnsi="Arial" w:cs="Arial"/>
        </w:rPr>
        <w:tab/>
        <w:t>Hartland, A. Colloidal geochemistry of speleothem-forming groundwaters. PhD thesis (University of Birmingham, 2010).</w:t>
      </w:r>
    </w:p>
    <w:p w14:paraId="000000C4" w14:textId="77777777" w:rsidR="003D56CF" w:rsidRDefault="003D56CF" w:rsidP="006B21EA">
      <w:pPr>
        <w:pStyle w:val="Bibliography"/>
        <w:spacing w:line="276" w:lineRule="auto"/>
        <w:rPr>
          <w:rFonts w:ascii="Arial" w:hAnsi="Arial" w:cs="Arial"/>
        </w:rPr>
      </w:pPr>
      <w:r>
        <w:rPr>
          <w:rFonts w:ascii="Arial" w:hAnsi="Arial" w:cs="Arial"/>
        </w:rPr>
        <w:t>20.</w:t>
      </w:r>
      <w:r>
        <w:rPr>
          <w:rFonts w:ascii="Arial" w:hAnsi="Arial" w:cs="Arial"/>
        </w:rPr>
        <w:tab/>
        <w:t xml:space="preserve">Pearson, A. R. </w:t>
      </w:r>
      <w:r>
        <w:rPr>
          <w:rFonts w:ascii="Arial" w:hAnsi="Arial" w:cs="Arial"/>
          <w:i/>
          <w:iCs/>
        </w:rPr>
        <w:t>et al.</w:t>
      </w:r>
      <w:r>
        <w:rPr>
          <w:rFonts w:ascii="Arial" w:hAnsi="Arial" w:cs="Arial"/>
        </w:rPr>
        <w:t xml:space="preserve"> Warming drives dissolved organic carbon export from pristine alpine soils. </w:t>
      </w:r>
      <w:r>
        <w:rPr>
          <w:rFonts w:ascii="Arial" w:hAnsi="Arial" w:cs="Arial"/>
          <w:i/>
          <w:iCs/>
        </w:rPr>
        <w:t>Nat. Commun.</w:t>
      </w:r>
      <w:r>
        <w:rPr>
          <w:rFonts w:ascii="Arial" w:hAnsi="Arial" w:cs="Arial"/>
        </w:rPr>
        <w:t xml:space="preserve"> </w:t>
      </w:r>
      <w:r>
        <w:rPr>
          <w:rFonts w:ascii="Arial" w:hAnsi="Arial" w:cs="Arial"/>
          <w:b/>
          <w:bCs/>
        </w:rPr>
        <w:t>15</w:t>
      </w:r>
      <w:r>
        <w:rPr>
          <w:rFonts w:ascii="Arial" w:hAnsi="Arial" w:cs="Arial"/>
        </w:rPr>
        <w:t>, 3522 (2024).</w:t>
      </w:r>
    </w:p>
    <w:p w14:paraId="64600D9B" w14:textId="77777777" w:rsidR="008468D4" w:rsidRPr="006B21EA" w:rsidRDefault="008468D4">
      <w:pPr>
        <w:rPr>
          <w:rFonts w:ascii="Arial" w:hAnsi="Arial" w:cs="Arial"/>
        </w:rPr>
      </w:pPr>
    </w:p>
    <w:p w14:paraId="53F6DDA2" w14:textId="77777777" w:rsidR="008468D4" w:rsidRPr="006B21EA" w:rsidRDefault="008468D4">
      <w:pPr>
        <w:rPr>
          <w:rFonts w:ascii="Arial" w:hAnsi="Arial" w:cs="Arial"/>
        </w:rPr>
      </w:pPr>
    </w:p>
    <w:sectPr w:rsidR="008468D4" w:rsidRPr="006B21EA">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9FF2" w14:textId="77777777" w:rsidR="00966B7E" w:rsidRDefault="00966B7E" w:rsidP="000F4AB3">
      <w:pPr>
        <w:spacing w:after="0" w:line="240" w:lineRule="auto"/>
      </w:pPr>
      <w:r>
        <w:separator/>
      </w:r>
    </w:p>
  </w:endnote>
  <w:endnote w:type="continuationSeparator" w:id="0">
    <w:p w14:paraId="73601DD7" w14:textId="77777777" w:rsidR="00966B7E" w:rsidRDefault="00966B7E" w:rsidP="000F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949639"/>
      <w:docPartObj>
        <w:docPartGallery w:val="Page Numbers (Bottom of Page)"/>
        <w:docPartUnique/>
      </w:docPartObj>
    </w:sdtPr>
    <w:sdtEndPr>
      <w:rPr>
        <w:noProof/>
      </w:rPr>
    </w:sdtEndPr>
    <w:sdtContent>
      <w:p w14:paraId="179CF4F4" w14:textId="6592F10F" w:rsidR="00D5617F" w:rsidRDefault="00D561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3E418E" w14:textId="77777777" w:rsidR="00D5617F" w:rsidRDefault="00D56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A3C7" w14:textId="77777777" w:rsidR="00966B7E" w:rsidRDefault="00966B7E" w:rsidP="000F4AB3">
      <w:pPr>
        <w:spacing w:after="0" w:line="240" w:lineRule="auto"/>
      </w:pPr>
      <w:r>
        <w:separator/>
      </w:r>
    </w:p>
  </w:footnote>
  <w:footnote w:type="continuationSeparator" w:id="0">
    <w:p w14:paraId="5D0CBF2C" w14:textId="77777777" w:rsidR="00966B7E" w:rsidRDefault="00966B7E" w:rsidP="000F4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910AA"/>
    <w:multiLevelType w:val="multilevel"/>
    <w:tmpl w:val="1B42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E05BD"/>
    <w:multiLevelType w:val="multilevel"/>
    <w:tmpl w:val="AFE4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BC1F6E"/>
    <w:multiLevelType w:val="multilevel"/>
    <w:tmpl w:val="12DA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810050">
    <w:abstractNumId w:val="2"/>
  </w:num>
  <w:num w:numId="2" w16cid:durableId="1329288071">
    <w:abstractNumId w:val="1"/>
  </w:num>
  <w:num w:numId="3" w16cid:durableId="51473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DB"/>
    <w:rsid w:val="000016A7"/>
    <w:rsid w:val="00031925"/>
    <w:rsid w:val="000349F3"/>
    <w:rsid w:val="00034FF2"/>
    <w:rsid w:val="000411E1"/>
    <w:rsid w:val="00045392"/>
    <w:rsid w:val="000518EA"/>
    <w:rsid w:val="000547C5"/>
    <w:rsid w:val="00066F75"/>
    <w:rsid w:val="00071FB6"/>
    <w:rsid w:val="0008636D"/>
    <w:rsid w:val="00086F46"/>
    <w:rsid w:val="00092B61"/>
    <w:rsid w:val="00096ECA"/>
    <w:rsid w:val="000A04C4"/>
    <w:rsid w:val="000D3C37"/>
    <w:rsid w:val="000E1ED7"/>
    <w:rsid w:val="000E40E5"/>
    <w:rsid w:val="000E44BC"/>
    <w:rsid w:val="000F4AB3"/>
    <w:rsid w:val="000F7696"/>
    <w:rsid w:val="00112613"/>
    <w:rsid w:val="00112CF5"/>
    <w:rsid w:val="0011640B"/>
    <w:rsid w:val="0012465E"/>
    <w:rsid w:val="00177E90"/>
    <w:rsid w:val="00180CB1"/>
    <w:rsid w:val="00186217"/>
    <w:rsid w:val="001A3C02"/>
    <w:rsid w:val="001A7341"/>
    <w:rsid w:val="001A7906"/>
    <w:rsid w:val="001B1C5C"/>
    <w:rsid w:val="00212F14"/>
    <w:rsid w:val="0021499F"/>
    <w:rsid w:val="00227DC3"/>
    <w:rsid w:val="00232F9B"/>
    <w:rsid w:val="00240378"/>
    <w:rsid w:val="00254147"/>
    <w:rsid w:val="00290DA6"/>
    <w:rsid w:val="002A0B60"/>
    <w:rsid w:val="002A5C07"/>
    <w:rsid w:val="002B036B"/>
    <w:rsid w:val="002B6168"/>
    <w:rsid w:val="002C0B7A"/>
    <w:rsid w:val="002D6515"/>
    <w:rsid w:val="002E1D8B"/>
    <w:rsid w:val="002E3BAC"/>
    <w:rsid w:val="002F43CF"/>
    <w:rsid w:val="00302814"/>
    <w:rsid w:val="00305C6F"/>
    <w:rsid w:val="003311FA"/>
    <w:rsid w:val="003429E9"/>
    <w:rsid w:val="0037005F"/>
    <w:rsid w:val="00381726"/>
    <w:rsid w:val="003872EA"/>
    <w:rsid w:val="003A7613"/>
    <w:rsid w:val="003B13D7"/>
    <w:rsid w:val="003B7460"/>
    <w:rsid w:val="003D56CF"/>
    <w:rsid w:val="003D7EBB"/>
    <w:rsid w:val="003E35A7"/>
    <w:rsid w:val="0040740C"/>
    <w:rsid w:val="0041002A"/>
    <w:rsid w:val="00417893"/>
    <w:rsid w:val="004306EE"/>
    <w:rsid w:val="00432532"/>
    <w:rsid w:val="00440D57"/>
    <w:rsid w:val="00473DF6"/>
    <w:rsid w:val="0048363B"/>
    <w:rsid w:val="00486C21"/>
    <w:rsid w:val="004901ED"/>
    <w:rsid w:val="00492D6E"/>
    <w:rsid w:val="004A035B"/>
    <w:rsid w:val="004C069B"/>
    <w:rsid w:val="004C4C48"/>
    <w:rsid w:val="004D0A31"/>
    <w:rsid w:val="004D3922"/>
    <w:rsid w:val="004D5831"/>
    <w:rsid w:val="004E5C8F"/>
    <w:rsid w:val="004E6C37"/>
    <w:rsid w:val="004E74BC"/>
    <w:rsid w:val="004F1BA2"/>
    <w:rsid w:val="004F7EA1"/>
    <w:rsid w:val="00503C13"/>
    <w:rsid w:val="00504731"/>
    <w:rsid w:val="005062B7"/>
    <w:rsid w:val="005106B1"/>
    <w:rsid w:val="00524F0A"/>
    <w:rsid w:val="00525A52"/>
    <w:rsid w:val="00541BDA"/>
    <w:rsid w:val="00545686"/>
    <w:rsid w:val="005512F9"/>
    <w:rsid w:val="00554D9D"/>
    <w:rsid w:val="00561BED"/>
    <w:rsid w:val="00577434"/>
    <w:rsid w:val="0058799B"/>
    <w:rsid w:val="00590C91"/>
    <w:rsid w:val="0059166A"/>
    <w:rsid w:val="00594547"/>
    <w:rsid w:val="005A3CF7"/>
    <w:rsid w:val="005B0CE2"/>
    <w:rsid w:val="005B4C91"/>
    <w:rsid w:val="005D10D4"/>
    <w:rsid w:val="005E5325"/>
    <w:rsid w:val="005F0435"/>
    <w:rsid w:val="005F49ED"/>
    <w:rsid w:val="006027F7"/>
    <w:rsid w:val="00604B78"/>
    <w:rsid w:val="006127D4"/>
    <w:rsid w:val="006163F2"/>
    <w:rsid w:val="0061726D"/>
    <w:rsid w:val="0063339C"/>
    <w:rsid w:val="006442A8"/>
    <w:rsid w:val="00644432"/>
    <w:rsid w:val="00645EE1"/>
    <w:rsid w:val="00646045"/>
    <w:rsid w:val="00651475"/>
    <w:rsid w:val="00654855"/>
    <w:rsid w:val="00657689"/>
    <w:rsid w:val="00662B90"/>
    <w:rsid w:val="00681994"/>
    <w:rsid w:val="00681CCC"/>
    <w:rsid w:val="00683AAD"/>
    <w:rsid w:val="006B1BDD"/>
    <w:rsid w:val="006B21EA"/>
    <w:rsid w:val="006B7FC7"/>
    <w:rsid w:val="006C4FE6"/>
    <w:rsid w:val="006D08A1"/>
    <w:rsid w:val="006D18C8"/>
    <w:rsid w:val="006D1F34"/>
    <w:rsid w:val="006E3337"/>
    <w:rsid w:val="006F0B21"/>
    <w:rsid w:val="007012D2"/>
    <w:rsid w:val="00707308"/>
    <w:rsid w:val="00710203"/>
    <w:rsid w:val="00715BAB"/>
    <w:rsid w:val="00717230"/>
    <w:rsid w:val="00723770"/>
    <w:rsid w:val="007352C7"/>
    <w:rsid w:val="007379F2"/>
    <w:rsid w:val="00740995"/>
    <w:rsid w:val="0074492E"/>
    <w:rsid w:val="00745519"/>
    <w:rsid w:val="00750960"/>
    <w:rsid w:val="00753AB9"/>
    <w:rsid w:val="007802E9"/>
    <w:rsid w:val="00785A76"/>
    <w:rsid w:val="007957D5"/>
    <w:rsid w:val="007A0117"/>
    <w:rsid w:val="007B1D9F"/>
    <w:rsid w:val="007B47AC"/>
    <w:rsid w:val="007C4E65"/>
    <w:rsid w:val="007E27D7"/>
    <w:rsid w:val="007E3B54"/>
    <w:rsid w:val="00810030"/>
    <w:rsid w:val="00813281"/>
    <w:rsid w:val="008334E3"/>
    <w:rsid w:val="008468D4"/>
    <w:rsid w:val="0085269D"/>
    <w:rsid w:val="00864C06"/>
    <w:rsid w:val="00876C2F"/>
    <w:rsid w:val="00877BC6"/>
    <w:rsid w:val="00887326"/>
    <w:rsid w:val="008A473E"/>
    <w:rsid w:val="008B589B"/>
    <w:rsid w:val="008E2BBC"/>
    <w:rsid w:val="008E7178"/>
    <w:rsid w:val="008F3506"/>
    <w:rsid w:val="009038C0"/>
    <w:rsid w:val="00903C32"/>
    <w:rsid w:val="0090465F"/>
    <w:rsid w:val="009373C1"/>
    <w:rsid w:val="00940FC4"/>
    <w:rsid w:val="0094166E"/>
    <w:rsid w:val="00966B7E"/>
    <w:rsid w:val="009877FF"/>
    <w:rsid w:val="009928BB"/>
    <w:rsid w:val="009B5E50"/>
    <w:rsid w:val="009B75F8"/>
    <w:rsid w:val="009D1F27"/>
    <w:rsid w:val="009E57ED"/>
    <w:rsid w:val="009F5E35"/>
    <w:rsid w:val="00A3058C"/>
    <w:rsid w:val="00A34B18"/>
    <w:rsid w:val="00A56675"/>
    <w:rsid w:val="00A74972"/>
    <w:rsid w:val="00A87711"/>
    <w:rsid w:val="00A92EDB"/>
    <w:rsid w:val="00AC65B6"/>
    <w:rsid w:val="00AD3665"/>
    <w:rsid w:val="00AE19C0"/>
    <w:rsid w:val="00AE2A69"/>
    <w:rsid w:val="00B16F01"/>
    <w:rsid w:val="00B17968"/>
    <w:rsid w:val="00B20731"/>
    <w:rsid w:val="00B41CFA"/>
    <w:rsid w:val="00B42FCA"/>
    <w:rsid w:val="00B55AC5"/>
    <w:rsid w:val="00B57EAC"/>
    <w:rsid w:val="00B7020C"/>
    <w:rsid w:val="00BC5D39"/>
    <w:rsid w:val="00BF27B2"/>
    <w:rsid w:val="00BF3148"/>
    <w:rsid w:val="00BF4761"/>
    <w:rsid w:val="00BF565D"/>
    <w:rsid w:val="00C0083A"/>
    <w:rsid w:val="00C045C9"/>
    <w:rsid w:val="00C308C4"/>
    <w:rsid w:val="00C55ACD"/>
    <w:rsid w:val="00C55FAF"/>
    <w:rsid w:val="00C745CE"/>
    <w:rsid w:val="00C75553"/>
    <w:rsid w:val="00C76FFE"/>
    <w:rsid w:val="00CA58EB"/>
    <w:rsid w:val="00CC6113"/>
    <w:rsid w:val="00D027F8"/>
    <w:rsid w:val="00D03321"/>
    <w:rsid w:val="00D05A47"/>
    <w:rsid w:val="00D21489"/>
    <w:rsid w:val="00D327DE"/>
    <w:rsid w:val="00D4090A"/>
    <w:rsid w:val="00D43406"/>
    <w:rsid w:val="00D5617F"/>
    <w:rsid w:val="00D77735"/>
    <w:rsid w:val="00D8037C"/>
    <w:rsid w:val="00D8237F"/>
    <w:rsid w:val="00D847D8"/>
    <w:rsid w:val="00D947B1"/>
    <w:rsid w:val="00D9716D"/>
    <w:rsid w:val="00DC33C4"/>
    <w:rsid w:val="00DE1C87"/>
    <w:rsid w:val="00DF4D12"/>
    <w:rsid w:val="00DF5E03"/>
    <w:rsid w:val="00E019E6"/>
    <w:rsid w:val="00E130F8"/>
    <w:rsid w:val="00E23ACA"/>
    <w:rsid w:val="00E314D1"/>
    <w:rsid w:val="00E37164"/>
    <w:rsid w:val="00E425D2"/>
    <w:rsid w:val="00E619CD"/>
    <w:rsid w:val="00E63BD7"/>
    <w:rsid w:val="00E71A3A"/>
    <w:rsid w:val="00E813E5"/>
    <w:rsid w:val="00E831BC"/>
    <w:rsid w:val="00E95207"/>
    <w:rsid w:val="00EA0C4D"/>
    <w:rsid w:val="00EB5A15"/>
    <w:rsid w:val="00EC0198"/>
    <w:rsid w:val="00EE54E3"/>
    <w:rsid w:val="00EE68DA"/>
    <w:rsid w:val="00EF58B3"/>
    <w:rsid w:val="00EF7D69"/>
    <w:rsid w:val="00F077E8"/>
    <w:rsid w:val="00F46195"/>
    <w:rsid w:val="00F51F47"/>
    <w:rsid w:val="00F53DA1"/>
    <w:rsid w:val="00F669EA"/>
    <w:rsid w:val="00F76546"/>
    <w:rsid w:val="00F84A73"/>
    <w:rsid w:val="00FB4A73"/>
    <w:rsid w:val="00FC0815"/>
    <w:rsid w:val="00FC1F54"/>
    <w:rsid w:val="00FC36F2"/>
    <w:rsid w:val="00FD2A9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EE8B3"/>
  <w15:chartTrackingRefBased/>
  <w15:docId w15:val="{3C102097-9711-4049-BD35-E8E6DD49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E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E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E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E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E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E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E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E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EDB"/>
    <w:rPr>
      <w:rFonts w:eastAsiaTheme="majorEastAsia" w:cstheme="majorBidi"/>
      <w:color w:val="272727" w:themeColor="text1" w:themeTint="D8"/>
    </w:rPr>
  </w:style>
  <w:style w:type="paragraph" w:styleId="Title">
    <w:name w:val="Title"/>
    <w:basedOn w:val="Normal"/>
    <w:next w:val="Normal"/>
    <w:link w:val="TitleChar"/>
    <w:uiPriority w:val="10"/>
    <w:qFormat/>
    <w:rsid w:val="00A92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EDB"/>
    <w:pPr>
      <w:spacing w:before="160"/>
      <w:jc w:val="center"/>
    </w:pPr>
    <w:rPr>
      <w:i/>
      <w:iCs/>
      <w:color w:val="404040" w:themeColor="text1" w:themeTint="BF"/>
    </w:rPr>
  </w:style>
  <w:style w:type="character" w:customStyle="1" w:styleId="QuoteChar">
    <w:name w:val="Quote Char"/>
    <w:basedOn w:val="DefaultParagraphFont"/>
    <w:link w:val="Quote"/>
    <w:uiPriority w:val="29"/>
    <w:rsid w:val="00A92EDB"/>
    <w:rPr>
      <w:i/>
      <w:iCs/>
      <w:color w:val="404040" w:themeColor="text1" w:themeTint="BF"/>
    </w:rPr>
  </w:style>
  <w:style w:type="paragraph" w:styleId="ListParagraph">
    <w:name w:val="List Paragraph"/>
    <w:basedOn w:val="Normal"/>
    <w:uiPriority w:val="34"/>
    <w:qFormat/>
    <w:rsid w:val="00A92EDB"/>
    <w:pPr>
      <w:ind w:left="720"/>
      <w:contextualSpacing/>
    </w:pPr>
  </w:style>
  <w:style w:type="character" w:styleId="IntenseEmphasis">
    <w:name w:val="Intense Emphasis"/>
    <w:basedOn w:val="DefaultParagraphFont"/>
    <w:uiPriority w:val="21"/>
    <w:qFormat/>
    <w:rsid w:val="00A92EDB"/>
    <w:rPr>
      <w:i/>
      <w:iCs/>
      <w:color w:val="0F4761" w:themeColor="accent1" w:themeShade="BF"/>
    </w:rPr>
  </w:style>
  <w:style w:type="paragraph" w:styleId="IntenseQuote">
    <w:name w:val="Intense Quote"/>
    <w:basedOn w:val="Normal"/>
    <w:next w:val="Normal"/>
    <w:link w:val="IntenseQuoteChar"/>
    <w:uiPriority w:val="30"/>
    <w:qFormat/>
    <w:rsid w:val="00A92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EDB"/>
    <w:rPr>
      <w:i/>
      <w:iCs/>
      <w:color w:val="0F4761" w:themeColor="accent1" w:themeShade="BF"/>
    </w:rPr>
  </w:style>
  <w:style w:type="character" w:styleId="IntenseReference">
    <w:name w:val="Intense Reference"/>
    <w:basedOn w:val="DefaultParagraphFont"/>
    <w:uiPriority w:val="32"/>
    <w:qFormat/>
    <w:rsid w:val="00A92EDB"/>
    <w:rPr>
      <w:b/>
      <w:bCs/>
      <w:smallCaps/>
      <w:color w:val="0F4761" w:themeColor="accent1" w:themeShade="BF"/>
      <w:spacing w:val="5"/>
    </w:rPr>
  </w:style>
  <w:style w:type="paragraph" w:styleId="Header">
    <w:name w:val="header"/>
    <w:basedOn w:val="Normal"/>
    <w:link w:val="HeaderChar"/>
    <w:uiPriority w:val="99"/>
    <w:unhideWhenUsed/>
    <w:rsid w:val="000F4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AB3"/>
  </w:style>
  <w:style w:type="paragraph" w:styleId="Footer">
    <w:name w:val="footer"/>
    <w:basedOn w:val="Normal"/>
    <w:link w:val="FooterChar"/>
    <w:uiPriority w:val="99"/>
    <w:unhideWhenUsed/>
    <w:rsid w:val="000F4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AB3"/>
  </w:style>
  <w:style w:type="character" w:styleId="Hyperlink">
    <w:name w:val="Hyperlink"/>
    <w:basedOn w:val="DefaultParagraphFont"/>
    <w:uiPriority w:val="99"/>
    <w:unhideWhenUsed/>
    <w:rsid w:val="000F4AB3"/>
    <w:rPr>
      <w:color w:val="467886" w:themeColor="hyperlink"/>
      <w:u w:val="single"/>
    </w:rPr>
  </w:style>
  <w:style w:type="character" w:styleId="UnresolvedMention">
    <w:name w:val="Unresolved Mention"/>
    <w:basedOn w:val="DefaultParagraphFont"/>
    <w:uiPriority w:val="99"/>
    <w:semiHidden/>
    <w:unhideWhenUsed/>
    <w:rsid w:val="000F4AB3"/>
    <w:rPr>
      <w:color w:val="605E5C"/>
      <w:shd w:val="clear" w:color="auto" w:fill="E1DFDD"/>
    </w:rPr>
  </w:style>
  <w:style w:type="character" w:styleId="PlaceholderText">
    <w:name w:val="Placeholder Text"/>
    <w:basedOn w:val="DefaultParagraphFont"/>
    <w:uiPriority w:val="99"/>
    <w:semiHidden/>
    <w:rsid w:val="00C0083A"/>
    <w:rPr>
      <w:color w:val="666666"/>
    </w:rPr>
  </w:style>
  <w:style w:type="paragraph" w:styleId="NormalWeb">
    <w:name w:val="Normal (Web)"/>
    <w:basedOn w:val="Normal"/>
    <w:uiPriority w:val="99"/>
    <w:semiHidden/>
    <w:unhideWhenUsed/>
    <w:rsid w:val="00AD3665"/>
    <w:rPr>
      <w:rFonts w:ascii="Times New Roman" w:hAnsi="Times New Roman" w:cs="Times New Roman"/>
    </w:rPr>
  </w:style>
  <w:style w:type="paragraph" w:styleId="Bibliography">
    <w:name w:val="Bibliography"/>
    <w:basedOn w:val="Normal"/>
    <w:next w:val="Normal"/>
    <w:uiPriority w:val="37"/>
    <w:unhideWhenUsed/>
    <w:rsid w:val="0040740C"/>
    <w:pPr>
      <w:tabs>
        <w:tab w:val="left" w:pos="384"/>
      </w:tabs>
      <w:spacing w:after="0" w:line="480" w:lineRule="auto"/>
      <w:ind w:left="384" w:hanging="384"/>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449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7671">
      <w:bodyDiv w:val="1"/>
      <w:marLeft w:val="0"/>
      <w:marRight w:val="0"/>
      <w:marTop w:val="0"/>
      <w:marBottom w:val="0"/>
      <w:divBdr>
        <w:top w:val="none" w:sz="0" w:space="0" w:color="auto"/>
        <w:left w:val="none" w:sz="0" w:space="0" w:color="auto"/>
        <w:bottom w:val="none" w:sz="0" w:space="0" w:color="auto"/>
        <w:right w:val="none" w:sz="0" w:space="0" w:color="auto"/>
      </w:divBdr>
    </w:div>
    <w:div w:id="100532267">
      <w:bodyDiv w:val="1"/>
      <w:marLeft w:val="0"/>
      <w:marRight w:val="0"/>
      <w:marTop w:val="0"/>
      <w:marBottom w:val="0"/>
      <w:divBdr>
        <w:top w:val="none" w:sz="0" w:space="0" w:color="auto"/>
        <w:left w:val="none" w:sz="0" w:space="0" w:color="auto"/>
        <w:bottom w:val="none" w:sz="0" w:space="0" w:color="auto"/>
        <w:right w:val="none" w:sz="0" w:space="0" w:color="auto"/>
      </w:divBdr>
    </w:div>
    <w:div w:id="157887078">
      <w:bodyDiv w:val="1"/>
      <w:marLeft w:val="0"/>
      <w:marRight w:val="0"/>
      <w:marTop w:val="0"/>
      <w:marBottom w:val="0"/>
      <w:divBdr>
        <w:top w:val="none" w:sz="0" w:space="0" w:color="auto"/>
        <w:left w:val="none" w:sz="0" w:space="0" w:color="auto"/>
        <w:bottom w:val="none" w:sz="0" w:space="0" w:color="auto"/>
        <w:right w:val="none" w:sz="0" w:space="0" w:color="auto"/>
      </w:divBdr>
    </w:div>
    <w:div w:id="198319048">
      <w:bodyDiv w:val="1"/>
      <w:marLeft w:val="0"/>
      <w:marRight w:val="0"/>
      <w:marTop w:val="0"/>
      <w:marBottom w:val="0"/>
      <w:divBdr>
        <w:top w:val="none" w:sz="0" w:space="0" w:color="auto"/>
        <w:left w:val="none" w:sz="0" w:space="0" w:color="auto"/>
        <w:bottom w:val="none" w:sz="0" w:space="0" w:color="auto"/>
        <w:right w:val="none" w:sz="0" w:space="0" w:color="auto"/>
      </w:divBdr>
    </w:div>
    <w:div w:id="246038110">
      <w:bodyDiv w:val="1"/>
      <w:marLeft w:val="0"/>
      <w:marRight w:val="0"/>
      <w:marTop w:val="0"/>
      <w:marBottom w:val="0"/>
      <w:divBdr>
        <w:top w:val="none" w:sz="0" w:space="0" w:color="auto"/>
        <w:left w:val="none" w:sz="0" w:space="0" w:color="auto"/>
        <w:bottom w:val="none" w:sz="0" w:space="0" w:color="auto"/>
        <w:right w:val="none" w:sz="0" w:space="0" w:color="auto"/>
      </w:divBdr>
      <w:divsChild>
        <w:div w:id="1725250368">
          <w:marLeft w:val="0"/>
          <w:marRight w:val="0"/>
          <w:marTop w:val="0"/>
          <w:marBottom w:val="240"/>
          <w:divBdr>
            <w:top w:val="none" w:sz="0" w:space="0" w:color="auto"/>
            <w:left w:val="none" w:sz="0" w:space="0" w:color="auto"/>
            <w:bottom w:val="none" w:sz="0" w:space="0" w:color="auto"/>
            <w:right w:val="none" w:sz="0" w:space="0" w:color="auto"/>
          </w:divBdr>
          <w:divsChild>
            <w:div w:id="81730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66572">
      <w:bodyDiv w:val="1"/>
      <w:marLeft w:val="0"/>
      <w:marRight w:val="0"/>
      <w:marTop w:val="0"/>
      <w:marBottom w:val="0"/>
      <w:divBdr>
        <w:top w:val="none" w:sz="0" w:space="0" w:color="auto"/>
        <w:left w:val="none" w:sz="0" w:space="0" w:color="auto"/>
        <w:bottom w:val="none" w:sz="0" w:space="0" w:color="auto"/>
        <w:right w:val="none" w:sz="0" w:space="0" w:color="auto"/>
      </w:divBdr>
    </w:div>
    <w:div w:id="304167535">
      <w:bodyDiv w:val="1"/>
      <w:marLeft w:val="0"/>
      <w:marRight w:val="0"/>
      <w:marTop w:val="0"/>
      <w:marBottom w:val="0"/>
      <w:divBdr>
        <w:top w:val="none" w:sz="0" w:space="0" w:color="auto"/>
        <w:left w:val="none" w:sz="0" w:space="0" w:color="auto"/>
        <w:bottom w:val="none" w:sz="0" w:space="0" w:color="auto"/>
        <w:right w:val="none" w:sz="0" w:space="0" w:color="auto"/>
      </w:divBdr>
    </w:div>
    <w:div w:id="307902824">
      <w:bodyDiv w:val="1"/>
      <w:marLeft w:val="0"/>
      <w:marRight w:val="0"/>
      <w:marTop w:val="0"/>
      <w:marBottom w:val="0"/>
      <w:divBdr>
        <w:top w:val="none" w:sz="0" w:space="0" w:color="auto"/>
        <w:left w:val="none" w:sz="0" w:space="0" w:color="auto"/>
        <w:bottom w:val="none" w:sz="0" w:space="0" w:color="auto"/>
        <w:right w:val="none" w:sz="0" w:space="0" w:color="auto"/>
      </w:divBdr>
    </w:div>
    <w:div w:id="338898033">
      <w:bodyDiv w:val="1"/>
      <w:marLeft w:val="0"/>
      <w:marRight w:val="0"/>
      <w:marTop w:val="0"/>
      <w:marBottom w:val="0"/>
      <w:divBdr>
        <w:top w:val="none" w:sz="0" w:space="0" w:color="auto"/>
        <w:left w:val="none" w:sz="0" w:space="0" w:color="auto"/>
        <w:bottom w:val="none" w:sz="0" w:space="0" w:color="auto"/>
        <w:right w:val="none" w:sz="0" w:space="0" w:color="auto"/>
      </w:divBdr>
      <w:divsChild>
        <w:div w:id="1913656208">
          <w:marLeft w:val="0"/>
          <w:marRight w:val="0"/>
          <w:marTop w:val="0"/>
          <w:marBottom w:val="0"/>
          <w:divBdr>
            <w:top w:val="none" w:sz="0" w:space="0" w:color="auto"/>
            <w:left w:val="none" w:sz="0" w:space="0" w:color="auto"/>
            <w:bottom w:val="none" w:sz="0" w:space="0" w:color="auto"/>
            <w:right w:val="none" w:sz="0" w:space="0" w:color="auto"/>
          </w:divBdr>
        </w:div>
      </w:divsChild>
    </w:div>
    <w:div w:id="352418883">
      <w:bodyDiv w:val="1"/>
      <w:marLeft w:val="0"/>
      <w:marRight w:val="0"/>
      <w:marTop w:val="0"/>
      <w:marBottom w:val="0"/>
      <w:divBdr>
        <w:top w:val="none" w:sz="0" w:space="0" w:color="auto"/>
        <w:left w:val="none" w:sz="0" w:space="0" w:color="auto"/>
        <w:bottom w:val="none" w:sz="0" w:space="0" w:color="auto"/>
        <w:right w:val="none" w:sz="0" w:space="0" w:color="auto"/>
      </w:divBdr>
    </w:div>
    <w:div w:id="446974552">
      <w:bodyDiv w:val="1"/>
      <w:marLeft w:val="0"/>
      <w:marRight w:val="0"/>
      <w:marTop w:val="0"/>
      <w:marBottom w:val="0"/>
      <w:divBdr>
        <w:top w:val="none" w:sz="0" w:space="0" w:color="auto"/>
        <w:left w:val="none" w:sz="0" w:space="0" w:color="auto"/>
        <w:bottom w:val="none" w:sz="0" w:space="0" w:color="auto"/>
        <w:right w:val="none" w:sz="0" w:space="0" w:color="auto"/>
      </w:divBdr>
    </w:div>
    <w:div w:id="447698401">
      <w:bodyDiv w:val="1"/>
      <w:marLeft w:val="0"/>
      <w:marRight w:val="0"/>
      <w:marTop w:val="0"/>
      <w:marBottom w:val="0"/>
      <w:divBdr>
        <w:top w:val="none" w:sz="0" w:space="0" w:color="auto"/>
        <w:left w:val="none" w:sz="0" w:space="0" w:color="auto"/>
        <w:bottom w:val="none" w:sz="0" w:space="0" w:color="auto"/>
        <w:right w:val="none" w:sz="0" w:space="0" w:color="auto"/>
      </w:divBdr>
    </w:div>
    <w:div w:id="485782153">
      <w:bodyDiv w:val="1"/>
      <w:marLeft w:val="0"/>
      <w:marRight w:val="0"/>
      <w:marTop w:val="0"/>
      <w:marBottom w:val="0"/>
      <w:divBdr>
        <w:top w:val="none" w:sz="0" w:space="0" w:color="auto"/>
        <w:left w:val="none" w:sz="0" w:space="0" w:color="auto"/>
        <w:bottom w:val="none" w:sz="0" w:space="0" w:color="auto"/>
        <w:right w:val="none" w:sz="0" w:space="0" w:color="auto"/>
      </w:divBdr>
    </w:div>
    <w:div w:id="495152677">
      <w:bodyDiv w:val="1"/>
      <w:marLeft w:val="0"/>
      <w:marRight w:val="0"/>
      <w:marTop w:val="0"/>
      <w:marBottom w:val="0"/>
      <w:divBdr>
        <w:top w:val="none" w:sz="0" w:space="0" w:color="auto"/>
        <w:left w:val="none" w:sz="0" w:space="0" w:color="auto"/>
        <w:bottom w:val="none" w:sz="0" w:space="0" w:color="auto"/>
        <w:right w:val="none" w:sz="0" w:space="0" w:color="auto"/>
      </w:divBdr>
    </w:div>
    <w:div w:id="500900824">
      <w:bodyDiv w:val="1"/>
      <w:marLeft w:val="0"/>
      <w:marRight w:val="0"/>
      <w:marTop w:val="0"/>
      <w:marBottom w:val="0"/>
      <w:divBdr>
        <w:top w:val="none" w:sz="0" w:space="0" w:color="auto"/>
        <w:left w:val="none" w:sz="0" w:space="0" w:color="auto"/>
        <w:bottom w:val="none" w:sz="0" w:space="0" w:color="auto"/>
        <w:right w:val="none" w:sz="0" w:space="0" w:color="auto"/>
      </w:divBdr>
      <w:divsChild>
        <w:div w:id="1274946992">
          <w:marLeft w:val="0"/>
          <w:marRight w:val="0"/>
          <w:marTop w:val="0"/>
          <w:marBottom w:val="0"/>
          <w:divBdr>
            <w:top w:val="none" w:sz="0" w:space="0" w:color="auto"/>
            <w:left w:val="none" w:sz="0" w:space="0" w:color="auto"/>
            <w:bottom w:val="none" w:sz="0" w:space="0" w:color="auto"/>
            <w:right w:val="none" w:sz="0" w:space="0" w:color="auto"/>
          </w:divBdr>
          <w:divsChild>
            <w:div w:id="120196105">
              <w:marLeft w:val="0"/>
              <w:marRight w:val="0"/>
              <w:marTop w:val="0"/>
              <w:marBottom w:val="0"/>
              <w:divBdr>
                <w:top w:val="none" w:sz="0" w:space="0" w:color="auto"/>
                <w:left w:val="none" w:sz="0" w:space="0" w:color="auto"/>
                <w:bottom w:val="none" w:sz="0" w:space="0" w:color="auto"/>
                <w:right w:val="none" w:sz="0" w:space="0" w:color="auto"/>
              </w:divBdr>
              <w:divsChild>
                <w:div w:id="391930273">
                  <w:marLeft w:val="0"/>
                  <w:marRight w:val="0"/>
                  <w:marTop w:val="0"/>
                  <w:marBottom w:val="0"/>
                  <w:divBdr>
                    <w:top w:val="none" w:sz="0" w:space="0" w:color="auto"/>
                    <w:left w:val="none" w:sz="0" w:space="0" w:color="auto"/>
                    <w:bottom w:val="none" w:sz="0" w:space="0" w:color="auto"/>
                    <w:right w:val="none" w:sz="0" w:space="0" w:color="auto"/>
                  </w:divBdr>
                </w:div>
                <w:div w:id="2110345619">
                  <w:marLeft w:val="0"/>
                  <w:marRight w:val="0"/>
                  <w:marTop w:val="0"/>
                  <w:marBottom w:val="0"/>
                  <w:divBdr>
                    <w:top w:val="none" w:sz="0" w:space="0" w:color="auto"/>
                    <w:left w:val="none" w:sz="0" w:space="0" w:color="auto"/>
                    <w:bottom w:val="none" w:sz="0" w:space="0" w:color="auto"/>
                    <w:right w:val="none" w:sz="0" w:space="0" w:color="auto"/>
                  </w:divBdr>
                  <w:divsChild>
                    <w:div w:id="553543223">
                      <w:marLeft w:val="0"/>
                      <w:marRight w:val="0"/>
                      <w:marTop w:val="0"/>
                      <w:marBottom w:val="0"/>
                      <w:divBdr>
                        <w:top w:val="none" w:sz="0" w:space="0" w:color="auto"/>
                        <w:left w:val="none" w:sz="0" w:space="0" w:color="auto"/>
                        <w:bottom w:val="none" w:sz="0" w:space="0" w:color="auto"/>
                        <w:right w:val="none" w:sz="0" w:space="0" w:color="auto"/>
                      </w:divBdr>
                      <w:divsChild>
                        <w:div w:id="2414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8927">
                  <w:marLeft w:val="0"/>
                  <w:marRight w:val="0"/>
                  <w:marTop w:val="0"/>
                  <w:marBottom w:val="0"/>
                  <w:divBdr>
                    <w:top w:val="none" w:sz="0" w:space="0" w:color="auto"/>
                    <w:left w:val="none" w:sz="0" w:space="0" w:color="auto"/>
                    <w:bottom w:val="none" w:sz="0" w:space="0" w:color="auto"/>
                    <w:right w:val="none" w:sz="0" w:space="0" w:color="auto"/>
                  </w:divBdr>
                  <w:divsChild>
                    <w:div w:id="446437089">
                      <w:marLeft w:val="0"/>
                      <w:marRight w:val="0"/>
                      <w:marTop w:val="0"/>
                      <w:marBottom w:val="0"/>
                      <w:divBdr>
                        <w:top w:val="none" w:sz="0" w:space="0" w:color="auto"/>
                        <w:left w:val="none" w:sz="0" w:space="0" w:color="auto"/>
                        <w:bottom w:val="none" w:sz="0" w:space="0" w:color="auto"/>
                        <w:right w:val="none" w:sz="0" w:space="0" w:color="auto"/>
                      </w:divBdr>
                      <w:divsChild>
                        <w:div w:id="1940553477">
                          <w:marLeft w:val="0"/>
                          <w:marRight w:val="0"/>
                          <w:marTop w:val="0"/>
                          <w:marBottom w:val="0"/>
                          <w:divBdr>
                            <w:top w:val="none" w:sz="0" w:space="0" w:color="auto"/>
                            <w:left w:val="none" w:sz="0" w:space="0" w:color="auto"/>
                            <w:bottom w:val="none" w:sz="0" w:space="0" w:color="auto"/>
                            <w:right w:val="none" w:sz="0" w:space="0" w:color="auto"/>
                          </w:divBdr>
                          <w:divsChild>
                            <w:div w:id="322243108">
                              <w:marLeft w:val="0"/>
                              <w:marRight w:val="0"/>
                              <w:marTop w:val="0"/>
                              <w:marBottom w:val="0"/>
                              <w:divBdr>
                                <w:top w:val="none" w:sz="0" w:space="0" w:color="auto"/>
                                <w:left w:val="none" w:sz="0" w:space="0" w:color="auto"/>
                                <w:bottom w:val="none" w:sz="0" w:space="0" w:color="auto"/>
                                <w:right w:val="none" w:sz="0" w:space="0" w:color="auto"/>
                              </w:divBdr>
                            </w:div>
                            <w:div w:id="510730107">
                              <w:marLeft w:val="0"/>
                              <w:marRight w:val="0"/>
                              <w:marTop w:val="0"/>
                              <w:marBottom w:val="0"/>
                              <w:divBdr>
                                <w:top w:val="none" w:sz="0" w:space="0" w:color="auto"/>
                                <w:left w:val="none" w:sz="0" w:space="0" w:color="auto"/>
                                <w:bottom w:val="none" w:sz="0" w:space="0" w:color="auto"/>
                                <w:right w:val="none" w:sz="0" w:space="0" w:color="auto"/>
                              </w:divBdr>
                            </w:div>
                            <w:div w:id="1011181956">
                              <w:marLeft w:val="0"/>
                              <w:marRight w:val="0"/>
                              <w:marTop w:val="0"/>
                              <w:marBottom w:val="0"/>
                              <w:divBdr>
                                <w:top w:val="none" w:sz="0" w:space="0" w:color="auto"/>
                                <w:left w:val="none" w:sz="0" w:space="0" w:color="auto"/>
                                <w:bottom w:val="none" w:sz="0" w:space="0" w:color="auto"/>
                                <w:right w:val="none" w:sz="0" w:space="0" w:color="auto"/>
                              </w:divBdr>
                            </w:div>
                            <w:div w:id="282657867">
                              <w:marLeft w:val="0"/>
                              <w:marRight w:val="0"/>
                              <w:marTop w:val="0"/>
                              <w:marBottom w:val="0"/>
                              <w:divBdr>
                                <w:top w:val="none" w:sz="0" w:space="0" w:color="auto"/>
                                <w:left w:val="none" w:sz="0" w:space="0" w:color="auto"/>
                                <w:bottom w:val="none" w:sz="0" w:space="0" w:color="auto"/>
                                <w:right w:val="none" w:sz="0" w:space="0" w:color="auto"/>
                              </w:divBdr>
                            </w:div>
                            <w:div w:id="823929091">
                              <w:marLeft w:val="0"/>
                              <w:marRight w:val="0"/>
                              <w:marTop w:val="0"/>
                              <w:marBottom w:val="0"/>
                              <w:divBdr>
                                <w:top w:val="none" w:sz="0" w:space="0" w:color="auto"/>
                                <w:left w:val="none" w:sz="0" w:space="0" w:color="auto"/>
                                <w:bottom w:val="none" w:sz="0" w:space="0" w:color="auto"/>
                                <w:right w:val="none" w:sz="0" w:space="0" w:color="auto"/>
                              </w:divBdr>
                            </w:div>
                            <w:div w:id="1851144885">
                              <w:marLeft w:val="0"/>
                              <w:marRight w:val="0"/>
                              <w:marTop w:val="0"/>
                              <w:marBottom w:val="0"/>
                              <w:divBdr>
                                <w:top w:val="none" w:sz="0" w:space="0" w:color="auto"/>
                                <w:left w:val="none" w:sz="0" w:space="0" w:color="auto"/>
                                <w:bottom w:val="none" w:sz="0" w:space="0" w:color="auto"/>
                                <w:right w:val="none" w:sz="0" w:space="0" w:color="auto"/>
                              </w:divBdr>
                            </w:div>
                            <w:div w:id="1397390241">
                              <w:marLeft w:val="0"/>
                              <w:marRight w:val="0"/>
                              <w:marTop w:val="0"/>
                              <w:marBottom w:val="0"/>
                              <w:divBdr>
                                <w:top w:val="none" w:sz="0" w:space="0" w:color="auto"/>
                                <w:left w:val="none" w:sz="0" w:space="0" w:color="auto"/>
                                <w:bottom w:val="none" w:sz="0" w:space="0" w:color="auto"/>
                                <w:right w:val="none" w:sz="0" w:space="0" w:color="auto"/>
                              </w:divBdr>
                            </w:div>
                            <w:div w:id="2044555716">
                              <w:marLeft w:val="0"/>
                              <w:marRight w:val="0"/>
                              <w:marTop w:val="0"/>
                              <w:marBottom w:val="0"/>
                              <w:divBdr>
                                <w:top w:val="none" w:sz="0" w:space="0" w:color="auto"/>
                                <w:left w:val="none" w:sz="0" w:space="0" w:color="auto"/>
                                <w:bottom w:val="none" w:sz="0" w:space="0" w:color="auto"/>
                                <w:right w:val="none" w:sz="0" w:space="0" w:color="auto"/>
                              </w:divBdr>
                            </w:div>
                            <w:div w:id="604194336">
                              <w:marLeft w:val="0"/>
                              <w:marRight w:val="0"/>
                              <w:marTop w:val="0"/>
                              <w:marBottom w:val="0"/>
                              <w:divBdr>
                                <w:top w:val="none" w:sz="0" w:space="0" w:color="auto"/>
                                <w:left w:val="none" w:sz="0" w:space="0" w:color="auto"/>
                                <w:bottom w:val="none" w:sz="0" w:space="0" w:color="auto"/>
                                <w:right w:val="none" w:sz="0" w:space="0" w:color="auto"/>
                              </w:divBdr>
                            </w:div>
                            <w:div w:id="1720863455">
                              <w:marLeft w:val="0"/>
                              <w:marRight w:val="0"/>
                              <w:marTop w:val="0"/>
                              <w:marBottom w:val="0"/>
                              <w:divBdr>
                                <w:top w:val="none" w:sz="0" w:space="0" w:color="auto"/>
                                <w:left w:val="none" w:sz="0" w:space="0" w:color="auto"/>
                                <w:bottom w:val="none" w:sz="0" w:space="0" w:color="auto"/>
                                <w:right w:val="none" w:sz="0" w:space="0" w:color="auto"/>
                              </w:divBdr>
                            </w:div>
                            <w:div w:id="1931623407">
                              <w:marLeft w:val="0"/>
                              <w:marRight w:val="0"/>
                              <w:marTop w:val="0"/>
                              <w:marBottom w:val="0"/>
                              <w:divBdr>
                                <w:top w:val="none" w:sz="0" w:space="0" w:color="auto"/>
                                <w:left w:val="none" w:sz="0" w:space="0" w:color="auto"/>
                                <w:bottom w:val="none" w:sz="0" w:space="0" w:color="auto"/>
                                <w:right w:val="none" w:sz="0" w:space="0" w:color="auto"/>
                              </w:divBdr>
                            </w:div>
                            <w:div w:id="1729761909">
                              <w:marLeft w:val="0"/>
                              <w:marRight w:val="0"/>
                              <w:marTop w:val="0"/>
                              <w:marBottom w:val="0"/>
                              <w:divBdr>
                                <w:top w:val="none" w:sz="0" w:space="0" w:color="auto"/>
                                <w:left w:val="none" w:sz="0" w:space="0" w:color="auto"/>
                                <w:bottom w:val="none" w:sz="0" w:space="0" w:color="auto"/>
                                <w:right w:val="none" w:sz="0" w:space="0" w:color="auto"/>
                              </w:divBdr>
                            </w:div>
                            <w:div w:id="2782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875175">
          <w:marLeft w:val="0"/>
          <w:marRight w:val="0"/>
          <w:marTop w:val="0"/>
          <w:marBottom w:val="0"/>
          <w:divBdr>
            <w:top w:val="none" w:sz="0" w:space="0" w:color="auto"/>
            <w:left w:val="none" w:sz="0" w:space="0" w:color="auto"/>
            <w:bottom w:val="none" w:sz="0" w:space="0" w:color="auto"/>
            <w:right w:val="none" w:sz="0" w:space="0" w:color="auto"/>
          </w:divBdr>
          <w:divsChild>
            <w:div w:id="1997417550">
              <w:marLeft w:val="0"/>
              <w:marRight w:val="0"/>
              <w:marTop w:val="0"/>
              <w:marBottom w:val="0"/>
              <w:divBdr>
                <w:top w:val="none" w:sz="0" w:space="0" w:color="auto"/>
                <w:left w:val="none" w:sz="0" w:space="0" w:color="auto"/>
                <w:bottom w:val="none" w:sz="0" w:space="0" w:color="auto"/>
                <w:right w:val="none" w:sz="0" w:space="0" w:color="auto"/>
              </w:divBdr>
              <w:divsChild>
                <w:div w:id="1792285243">
                  <w:marLeft w:val="0"/>
                  <w:marRight w:val="0"/>
                  <w:marTop w:val="0"/>
                  <w:marBottom w:val="0"/>
                  <w:divBdr>
                    <w:top w:val="none" w:sz="0" w:space="0" w:color="auto"/>
                    <w:left w:val="none" w:sz="0" w:space="0" w:color="auto"/>
                    <w:bottom w:val="none" w:sz="0" w:space="0" w:color="auto"/>
                    <w:right w:val="none" w:sz="0" w:space="0" w:color="auto"/>
                  </w:divBdr>
                </w:div>
                <w:div w:id="1921407476">
                  <w:marLeft w:val="0"/>
                  <w:marRight w:val="0"/>
                  <w:marTop w:val="0"/>
                  <w:marBottom w:val="0"/>
                  <w:divBdr>
                    <w:top w:val="none" w:sz="0" w:space="0" w:color="auto"/>
                    <w:left w:val="none" w:sz="0" w:space="0" w:color="auto"/>
                    <w:bottom w:val="none" w:sz="0" w:space="0" w:color="auto"/>
                    <w:right w:val="none" w:sz="0" w:space="0" w:color="auto"/>
                  </w:divBdr>
                  <w:divsChild>
                    <w:div w:id="1369183189">
                      <w:marLeft w:val="0"/>
                      <w:marRight w:val="0"/>
                      <w:marTop w:val="0"/>
                      <w:marBottom w:val="0"/>
                      <w:divBdr>
                        <w:top w:val="none" w:sz="0" w:space="0" w:color="auto"/>
                        <w:left w:val="none" w:sz="0" w:space="0" w:color="auto"/>
                        <w:bottom w:val="none" w:sz="0" w:space="0" w:color="auto"/>
                        <w:right w:val="none" w:sz="0" w:space="0" w:color="auto"/>
                      </w:divBdr>
                      <w:divsChild>
                        <w:div w:id="17382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19157">
                  <w:marLeft w:val="0"/>
                  <w:marRight w:val="0"/>
                  <w:marTop w:val="0"/>
                  <w:marBottom w:val="0"/>
                  <w:divBdr>
                    <w:top w:val="none" w:sz="0" w:space="0" w:color="auto"/>
                    <w:left w:val="none" w:sz="0" w:space="0" w:color="auto"/>
                    <w:bottom w:val="none" w:sz="0" w:space="0" w:color="auto"/>
                    <w:right w:val="none" w:sz="0" w:space="0" w:color="auto"/>
                  </w:divBdr>
                  <w:divsChild>
                    <w:div w:id="2023629793">
                      <w:marLeft w:val="0"/>
                      <w:marRight w:val="0"/>
                      <w:marTop w:val="0"/>
                      <w:marBottom w:val="0"/>
                      <w:divBdr>
                        <w:top w:val="none" w:sz="0" w:space="0" w:color="auto"/>
                        <w:left w:val="none" w:sz="0" w:space="0" w:color="auto"/>
                        <w:bottom w:val="none" w:sz="0" w:space="0" w:color="auto"/>
                        <w:right w:val="none" w:sz="0" w:space="0" w:color="auto"/>
                      </w:divBdr>
                      <w:divsChild>
                        <w:div w:id="729183797">
                          <w:marLeft w:val="0"/>
                          <w:marRight w:val="0"/>
                          <w:marTop w:val="0"/>
                          <w:marBottom w:val="0"/>
                          <w:divBdr>
                            <w:top w:val="none" w:sz="0" w:space="0" w:color="auto"/>
                            <w:left w:val="none" w:sz="0" w:space="0" w:color="auto"/>
                            <w:bottom w:val="none" w:sz="0" w:space="0" w:color="auto"/>
                            <w:right w:val="none" w:sz="0" w:space="0" w:color="auto"/>
                          </w:divBdr>
                          <w:divsChild>
                            <w:div w:id="349765727">
                              <w:marLeft w:val="0"/>
                              <w:marRight w:val="0"/>
                              <w:marTop w:val="0"/>
                              <w:marBottom w:val="0"/>
                              <w:divBdr>
                                <w:top w:val="none" w:sz="0" w:space="0" w:color="auto"/>
                                <w:left w:val="none" w:sz="0" w:space="0" w:color="auto"/>
                                <w:bottom w:val="none" w:sz="0" w:space="0" w:color="auto"/>
                                <w:right w:val="none" w:sz="0" w:space="0" w:color="auto"/>
                              </w:divBdr>
                            </w:div>
                            <w:div w:id="951206881">
                              <w:marLeft w:val="0"/>
                              <w:marRight w:val="0"/>
                              <w:marTop w:val="0"/>
                              <w:marBottom w:val="0"/>
                              <w:divBdr>
                                <w:top w:val="none" w:sz="0" w:space="0" w:color="auto"/>
                                <w:left w:val="none" w:sz="0" w:space="0" w:color="auto"/>
                                <w:bottom w:val="none" w:sz="0" w:space="0" w:color="auto"/>
                                <w:right w:val="none" w:sz="0" w:space="0" w:color="auto"/>
                              </w:divBdr>
                            </w:div>
                            <w:div w:id="412046918">
                              <w:marLeft w:val="0"/>
                              <w:marRight w:val="0"/>
                              <w:marTop w:val="0"/>
                              <w:marBottom w:val="0"/>
                              <w:divBdr>
                                <w:top w:val="none" w:sz="0" w:space="0" w:color="auto"/>
                                <w:left w:val="none" w:sz="0" w:space="0" w:color="auto"/>
                                <w:bottom w:val="none" w:sz="0" w:space="0" w:color="auto"/>
                                <w:right w:val="none" w:sz="0" w:space="0" w:color="auto"/>
                              </w:divBdr>
                            </w:div>
                            <w:div w:id="1786190658">
                              <w:marLeft w:val="0"/>
                              <w:marRight w:val="0"/>
                              <w:marTop w:val="0"/>
                              <w:marBottom w:val="0"/>
                              <w:divBdr>
                                <w:top w:val="none" w:sz="0" w:space="0" w:color="auto"/>
                                <w:left w:val="none" w:sz="0" w:space="0" w:color="auto"/>
                                <w:bottom w:val="none" w:sz="0" w:space="0" w:color="auto"/>
                                <w:right w:val="none" w:sz="0" w:space="0" w:color="auto"/>
                              </w:divBdr>
                            </w:div>
                            <w:div w:id="1197889822">
                              <w:marLeft w:val="0"/>
                              <w:marRight w:val="0"/>
                              <w:marTop w:val="0"/>
                              <w:marBottom w:val="0"/>
                              <w:divBdr>
                                <w:top w:val="none" w:sz="0" w:space="0" w:color="auto"/>
                                <w:left w:val="none" w:sz="0" w:space="0" w:color="auto"/>
                                <w:bottom w:val="none" w:sz="0" w:space="0" w:color="auto"/>
                                <w:right w:val="none" w:sz="0" w:space="0" w:color="auto"/>
                              </w:divBdr>
                            </w:div>
                            <w:div w:id="1691955646">
                              <w:marLeft w:val="0"/>
                              <w:marRight w:val="0"/>
                              <w:marTop w:val="0"/>
                              <w:marBottom w:val="0"/>
                              <w:divBdr>
                                <w:top w:val="none" w:sz="0" w:space="0" w:color="auto"/>
                                <w:left w:val="none" w:sz="0" w:space="0" w:color="auto"/>
                                <w:bottom w:val="none" w:sz="0" w:space="0" w:color="auto"/>
                                <w:right w:val="none" w:sz="0" w:space="0" w:color="auto"/>
                              </w:divBdr>
                            </w:div>
                            <w:div w:id="1630935712">
                              <w:marLeft w:val="0"/>
                              <w:marRight w:val="0"/>
                              <w:marTop w:val="0"/>
                              <w:marBottom w:val="0"/>
                              <w:divBdr>
                                <w:top w:val="none" w:sz="0" w:space="0" w:color="auto"/>
                                <w:left w:val="none" w:sz="0" w:space="0" w:color="auto"/>
                                <w:bottom w:val="none" w:sz="0" w:space="0" w:color="auto"/>
                                <w:right w:val="none" w:sz="0" w:space="0" w:color="auto"/>
                              </w:divBdr>
                            </w:div>
                            <w:div w:id="21200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455913">
          <w:marLeft w:val="0"/>
          <w:marRight w:val="0"/>
          <w:marTop w:val="0"/>
          <w:marBottom w:val="0"/>
          <w:divBdr>
            <w:top w:val="none" w:sz="0" w:space="0" w:color="auto"/>
            <w:left w:val="none" w:sz="0" w:space="0" w:color="auto"/>
            <w:bottom w:val="none" w:sz="0" w:space="0" w:color="auto"/>
            <w:right w:val="none" w:sz="0" w:space="0" w:color="auto"/>
          </w:divBdr>
        </w:div>
      </w:divsChild>
    </w:div>
    <w:div w:id="517962754">
      <w:bodyDiv w:val="1"/>
      <w:marLeft w:val="0"/>
      <w:marRight w:val="0"/>
      <w:marTop w:val="0"/>
      <w:marBottom w:val="0"/>
      <w:divBdr>
        <w:top w:val="none" w:sz="0" w:space="0" w:color="auto"/>
        <w:left w:val="none" w:sz="0" w:space="0" w:color="auto"/>
        <w:bottom w:val="none" w:sz="0" w:space="0" w:color="auto"/>
        <w:right w:val="none" w:sz="0" w:space="0" w:color="auto"/>
      </w:divBdr>
    </w:div>
    <w:div w:id="529686326">
      <w:bodyDiv w:val="1"/>
      <w:marLeft w:val="0"/>
      <w:marRight w:val="0"/>
      <w:marTop w:val="0"/>
      <w:marBottom w:val="0"/>
      <w:divBdr>
        <w:top w:val="none" w:sz="0" w:space="0" w:color="auto"/>
        <w:left w:val="none" w:sz="0" w:space="0" w:color="auto"/>
        <w:bottom w:val="none" w:sz="0" w:space="0" w:color="auto"/>
        <w:right w:val="none" w:sz="0" w:space="0" w:color="auto"/>
      </w:divBdr>
      <w:divsChild>
        <w:div w:id="811747807">
          <w:marLeft w:val="0"/>
          <w:marRight w:val="0"/>
          <w:marTop w:val="0"/>
          <w:marBottom w:val="0"/>
          <w:divBdr>
            <w:top w:val="none" w:sz="0" w:space="0" w:color="auto"/>
            <w:left w:val="none" w:sz="0" w:space="0" w:color="auto"/>
            <w:bottom w:val="none" w:sz="0" w:space="0" w:color="auto"/>
            <w:right w:val="none" w:sz="0" w:space="0" w:color="auto"/>
          </w:divBdr>
        </w:div>
      </w:divsChild>
    </w:div>
    <w:div w:id="559755957">
      <w:bodyDiv w:val="1"/>
      <w:marLeft w:val="0"/>
      <w:marRight w:val="0"/>
      <w:marTop w:val="0"/>
      <w:marBottom w:val="0"/>
      <w:divBdr>
        <w:top w:val="none" w:sz="0" w:space="0" w:color="auto"/>
        <w:left w:val="none" w:sz="0" w:space="0" w:color="auto"/>
        <w:bottom w:val="none" w:sz="0" w:space="0" w:color="auto"/>
        <w:right w:val="none" w:sz="0" w:space="0" w:color="auto"/>
      </w:divBdr>
    </w:div>
    <w:div w:id="562646945">
      <w:bodyDiv w:val="1"/>
      <w:marLeft w:val="0"/>
      <w:marRight w:val="0"/>
      <w:marTop w:val="0"/>
      <w:marBottom w:val="0"/>
      <w:divBdr>
        <w:top w:val="none" w:sz="0" w:space="0" w:color="auto"/>
        <w:left w:val="none" w:sz="0" w:space="0" w:color="auto"/>
        <w:bottom w:val="none" w:sz="0" w:space="0" w:color="auto"/>
        <w:right w:val="none" w:sz="0" w:space="0" w:color="auto"/>
      </w:divBdr>
    </w:div>
    <w:div w:id="590548668">
      <w:bodyDiv w:val="1"/>
      <w:marLeft w:val="0"/>
      <w:marRight w:val="0"/>
      <w:marTop w:val="0"/>
      <w:marBottom w:val="0"/>
      <w:divBdr>
        <w:top w:val="none" w:sz="0" w:space="0" w:color="auto"/>
        <w:left w:val="none" w:sz="0" w:space="0" w:color="auto"/>
        <w:bottom w:val="none" w:sz="0" w:space="0" w:color="auto"/>
        <w:right w:val="none" w:sz="0" w:space="0" w:color="auto"/>
      </w:divBdr>
    </w:div>
    <w:div w:id="645360051">
      <w:bodyDiv w:val="1"/>
      <w:marLeft w:val="0"/>
      <w:marRight w:val="0"/>
      <w:marTop w:val="0"/>
      <w:marBottom w:val="0"/>
      <w:divBdr>
        <w:top w:val="none" w:sz="0" w:space="0" w:color="auto"/>
        <w:left w:val="none" w:sz="0" w:space="0" w:color="auto"/>
        <w:bottom w:val="none" w:sz="0" w:space="0" w:color="auto"/>
        <w:right w:val="none" w:sz="0" w:space="0" w:color="auto"/>
      </w:divBdr>
    </w:div>
    <w:div w:id="695618765">
      <w:bodyDiv w:val="1"/>
      <w:marLeft w:val="0"/>
      <w:marRight w:val="0"/>
      <w:marTop w:val="0"/>
      <w:marBottom w:val="0"/>
      <w:divBdr>
        <w:top w:val="none" w:sz="0" w:space="0" w:color="auto"/>
        <w:left w:val="none" w:sz="0" w:space="0" w:color="auto"/>
        <w:bottom w:val="none" w:sz="0" w:space="0" w:color="auto"/>
        <w:right w:val="none" w:sz="0" w:space="0" w:color="auto"/>
      </w:divBdr>
      <w:divsChild>
        <w:div w:id="1524513857">
          <w:marLeft w:val="0"/>
          <w:marRight w:val="0"/>
          <w:marTop w:val="0"/>
          <w:marBottom w:val="0"/>
          <w:divBdr>
            <w:top w:val="none" w:sz="0" w:space="0" w:color="auto"/>
            <w:left w:val="none" w:sz="0" w:space="0" w:color="auto"/>
            <w:bottom w:val="none" w:sz="0" w:space="0" w:color="auto"/>
            <w:right w:val="none" w:sz="0" w:space="0" w:color="auto"/>
          </w:divBdr>
        </w:div>
      </w:divsChild>
    </w:div>
    <w:div w:id="757674449">
      <w:bodyDiv w:val="1"/>
      <w:marLeft w:val="0"/>
      <w:marRight w:val="0"/>
      <w:marTop w:val="0"/>
      <w:marBottom w:val="0"/>
      <w:divBdr>
        <w:top w:val="none" w:sz="0" w:space="0" w:color="auto"/>
        <w:left w:val="none" w:sz="0" w:space="0" w:color="auto"/>
        <w:bottom w:val="none" w:sz="0" w:space="0" w:color="auto"/>
        <w:right w:val="none" w:sz="0" w:space="0" w:color="auto"/>
      </w:divBdr>
    </w:div>
    <w:div w:id="769620755">
      <w:bodyDiv w:val="1"/>
      <w:marLeft w:val="0"/>
      <w:marRight w:val="0"/>
      <w:marTop w:val="0"/>
      <w:marBottom w:val="0"/>
      <w:divBdr>
        <w:top w:val="none" w:sz="0" w:space="0" w:color="auto"/>
        <w:left w:val="none" w:sz="0" w:space="0" w:color="auto"/>
        <w:bottom w:val="none" w:sz="0" w:space="0" w:color="auto"/>
        <w:right w:val="none" w:sz="0" w:space="0" w:color="auto"/>
      </w:divBdr>
    </w:div>
    <w:div w:id="785390284">
      <w:bodyDiv w:val="1"/>
      <w:marLeft w:val="0"/>
      <w:marRight w:val="0"/>
      <w:marTop w:val="0"/>
      <w:marBottom w:val="0"/>
      <w:divBdr>
        <w:top w:val="none" w:sz="0" w:space="0" w:color="auto"/>
        <w:left w:val="none" w:sz="0" w:space="0" w:color="auto"/>
        <w:bottom w:val="none" w:sz="0" w:space="0" w:color="auto"/>
        <w:right w:val="none" w:sz="0" w:space="0" w:color="auto"/>
      </w:divBdr>
    </w:div>
    <w:div w:id="802579006">
      <w:bodyDiv w:val="1"/>
      <w:marLeft w:val="0"/>
      <w:marRight w:val="0"/>
      <w:marTop w:val="0"/>
      <w:marBottom w:val="0"/>
      <w:divBdr>
        <w:top w:val="none" w:sz="0" w:space="0" w:color="auto"/>
        <w:left w:val="none" w:sz="0" w:space="0" w:color="auto"/>
        <w:bottom w:val="none" w:sz="0" w:space="0" w:color="auto"/>
        <w:right w:val="none" w:sz="0" w:space="0" w:color="auto"/>
      </w:divBdr>
    </w:div>
    <w:div w:id="836773456">
      <w:bodyDiv w:val="1"/>
      <w:marLeft w:val="0"/>
      <w:marRight w:val="0"/>
      <w:marTop w:val="0"/>
      <w:marBottom w:val="0"/>
      <w:divBdr>
        <w:top w:val="none" w:sz="0" w:space="0" w:color="auto"/>
        <w:left w:val="none" w:sz="0" w:space="0" w:color="auto"/>
        <w:bottom w:val="none" w:sz="0" w:space="0" w:color="auto"/>
        <w:right w:val="none" w:sz="0" w:space="0" w:color="auto"/>
      </w:divBdr>
    </w:div>
    <w:div w:id="893737658">
      <w:bodyDiv w:val="1"/>
      <w:marLeft w:val="0"/>
      <w:marRight w:val="0"/>
      <w:marTop w:val="0"/>
      <w:marBottom w:val="0"/>
      <w:divBdr>
        <w:top w:val="none" w:sz="0" w:space="0" w:color="auto"/>
        <w:left w:val="none" w:sz="0" w:space="0" w:color="auto"/>
        <w:bottom w:val="none" w:sz="0" w:space="0" w:color="auto"/>
        <w:right w:val="none" w:sz="0" w:space="0" w:color="auto"/>
      </w:divBdr>
    </w:div>
    <w:div w:id="1042096948">
      <w:bodyDiv w:val="1"/>
      <w:marLeft w:val="0"/>
      <w:marRight w:val="0"/>
      <w:marTop w:val="0"/>
      <w:marBottom w:val="0"/>
      <w:divBdr>
        <w:top w:val="none" w:sz="0" w:space="0" w:color="auto"/>
        <w:left w:val="none" w:sz="0" w:space="0" w:color="auto"/>
        <w:bottom w:val="none" w:sz="0" w:space="0" w:color="auto"/>
        <w:right w:val="none" w:sz="0" w:space="0" w:color="auto"/>
      </w:divBdr>
    </w:div>
    <w:div w:id="1084494006">
      <w:bodyDiv w:val="1"/>
      <w:marLeft w:val="0"/>
      <w:marRight w:val="0"/>
      <w:marTop w:val="0"/>
      <w:marBottom w:val="0"/>
      <w:divBdr>
        <w:top w:val="none" w:sz="0" w:space="0" w:color="auto"/>
        <w:left w:val="none" w:sz="0" w:space="0" w:color="auto"/>
        <w:bottom w:val="none" w:sz="0" w:space="0" w:color="auto"/>
        <w:right w:val="none" w:sz="0" w:space="0" w:color="auto"/>
      </w:divBdr>
    </w:div>
    <w:div w:id="1094397314">
      <w:bodyDiv w:val="1"/>
      <w:marLeft w:val="0"/>
      <w:marRight w:val="0"/>
      <w:marTop w:val="0"/>
      <w:marBottom w:val="0"/>
      <w:divBdr>
        <w:top w:val="none" w:sz="0" w:space="0" w:color="auto"/>
        <w:left w:val="none" w:sz="0" w:space="0" w:color="auto"/>
        <w:bottom w:val="none" w:sz="0" w:space="0" w:color="auto"/>
        <w:right w:val="none" w:sz="0" w:space="0" w:color="auto"/>
      </w:divBdr>
    </w:div>
    <w:div w:id="1117917672">
      <w:bodyDiv w:val="1"/>
      <w:marLeft w:val="0"/>
      <w:marRight w:val="0"/>
      <w:marTop w:val="0"/>
      <w:marBottom w:val="0"/>
      <w:divBdr>
        <w:top w:val="none" w:sz="0" w:space="0" w:color="auto"/>
        <w:left w:val="none" w:sz="0" w:space="0" w:color="auto"/>
        <w:bottom w:val="none" w:sz="0" w:space="0" w:color="auto"/>
        <w:right w:val="none" w:sz="0" w:space="0" w:color="auto"/>
      </w:divBdr>
    </w:div>
    <w:div w:id="1120876908">
      <w:bodyDiv w:val="1"/>
      <w:marLeft w:val="0"/>
      <w:marRight w:val="0"/>
      <w:marTop w:val="0"/>
      <w:marBottom w:val="0"/>
      <w:divBdr>
        <w:top w:val="none" w:sz="0" w:space="0" w:color="auto"/>
        <w:left w:val="none" w:sz="0" w:space="0" w:color="auto"/>
        <w:bottom w:val="none" w:sz="0" w:space="0" w:color="auto"/>
        <w:right w:val="none" w:sz="0" w:space="0" w:color="auto"/>
      </w:divBdr>
    </w:div>
    <w:div w:id="1140150649">
      <w:bodyDiv w:val="1"/>
      <w:marLeft w:val="0"/>
      <w:marRight w:val="0"/>
      <w:marTop w:val="0"/>
      <w:marBottom w:val="0"/>
      <w:divBdr>
        <w:top w:val="none" w:sz="0" w:space="0" w:color="auto"/>
        <w:left w:val="none" w:sz="0" w:space="0" w:color="auto"/>
        <w:bottom w:val="none" w:sz="0" w:space="0" w:color="auto"/>
        <w:right w:val="none" w:sz="0" w:space="0" w:color="auto"/>
      </w:divBdr>
    </w:div>
    <w:div w:id="1335962046">
      <w:bodyDiv w:val="1"/>
      <w:marLeft w:val="0"/>
      <w:marRight w:val="0"/>
      <w:marTop w:val="0"/>
      <w:marBottom w:val="0"/>
      <w:divBdr>
        <w:top w:val="none" w:sz="0" w:space="0" w:color="auto"/>
        <w:left w:val="none" w:sz="0" w:space="0" w:color="auto"/>
        <w:bottom w:val="none" w:sz="0" w:space="0" w:color="auto"/>
        <w:right w:val="none" w:sz="0" w:space="0" w:color="auto"/>
      </w:divBdr>
    </w:div>
    <w:div w:id="1358316497">
      <w:bodyDiv w:val="1"/>
      <w:marLeft w:val="0"/>
      <w:marRight w:val="0"/>
      <w:marTop w:val="0"/>
      <w:marBottom w:val="0"/>
      <w:divBdr>
        <w:top w:val="none" w:sz="0" w:space="0" w:color="auto"/>
        <w:left w:val="none" w:sz="0" w:space="0" w:color="auto"/>
        <w:bottom w:val="none" w:sz="0" w:space="0" w:color="auto"/>
        <w:right w:val="none" w:sz="0" w:space="0" w:color="auto"/>
      </w:divBdr>
    </w:div>
    <w:div w:id="1376157438">
      <w:bodyDiv w:val="1"/>
      <w:marLeft w:val="0"/>
      <w:marRight w:val="0"/>
      <w:marTop w:val="0"/>
      <w:marBottom w:val="0"/>
      <w:divBdr>
        <w:top w:val="none" w:sz="0" w:space="0" w:color="auto"/>
        <w:left w:val="none" w:sz="0" w:space="0" w:color="auto"/>
        <w:bottom w:val="none" w:sz="0" w:space="0" w:color="auto"/>
        <w:right w:val="none" w:sz="0" w:space="0" w:color="auto"/>
      </w:divBdr>
    </w:div>
    <w:div w:id="1408308708">
      <w:bodyDiv w:val="1"/>
      <w:marLeft w:val="0"/>
      <w:marRight w:val="0"/>
      <w:marTop w:val="0"/>
      <w:marBottom w:val="0"/>
      <w:divBdr>
        <w:top w:val="none" w:sz="0" w:space="0" w:color="auto"/>
        <w:left w:val="none" w:sz="0" w:space="0" w:color="auto"/>
        <w:bottom w:val="none" w:sz="0" w:space="0" w:color="auto"/>
        <w:right w:val="none" w:sz="0" w:space="0" w:color="auto"/>
      </w:divBdr>
      <w:divsChild>
        <w:div w:id="153231430">
          <w:marLeft w:val="0"/>
          <w:marRight w:val="0"/>
          <w:marTop w:val="0"/>
          <w:marBottom w:val="0"/>
          <w:divBdr>
            <w:top w:val="none" w:sz="0" w:space="0" w:color="auto"/>
            <w:left w:val="none" w:sz="0" w:space="0" w:color="auto"/>
            <w:bottom w:val="none" w:sz="0" w:space="0" w:color="auto"/>
            <w:right w:val="none" w:sz="0" w:space="0" w:color="auto"/>
          </w:divBdr>
          <w:divsChild>
            <w:div w:id="2130852401">
              <w:marLeft w:val="0"/>
              <w:marRight w:val="0"/>
              <w:marTop w:val="0"/>
              <w:marBottom w:val="0"/>
              <w:divBdr>
                <w:top w:val="none" w:sz="0" w:space="0" w:color="auto"/>
                <w:left w:val="none" w:sz="0" w:space="0" w:color="auto"/>
                <w:bottom w:val="none" w:sz="0" w:space="0" w:color="auto"/>
                <w:right w:val="none" w:sz="0" w:space="0" w:color="auto"/>
              </w:divBdr>
              <w:divsChild>
                <w:div w:id="680861698">
                  <w:marLeft w:val="0"/>
                  <w:marRight w:val="0"/>
                  <w:marTop w:val="0"/>
                  <w:marBottom w:val="0"/>
                  <w:divBdr>
                    <w:top w:val="none" w:sz="0" w:space="0" w:color="auto"/>
                    <w:left w:val="none" w:sz="0" w:space="0" w:color="auto"/>
                    <w:bottom w:val="none" w:sz="0" w:space="0" w:color="auto"/>
                    <w:right w:val="none" w:sz="0" w:space="0" w:color="auto"/>
                  </w:divBdr>
                </w:div>
                <w:div w:id="11541929">
                  <w:marLeft w:val="0"/>
                  <w:marRight w:val="0"/>
                  <w:marTop w:val="0"/>
                  <w:marBottom w:val="0"/>
                  <w:divBdr>
                    <w:top w:val="none" w:sz="0" w:space="0" w:color="auto"/>
                    <w:left w:val="none" w:sz="0" w:space="0" w:color="auto"/>
                    <w:bottom w:val="none" w:sz="0" w:space="0" w:color="auto"/>
                    <w:right w:val="none" w:sz="0" w:space="0" w:color="auto"/>
                  </w:divBdr>
                  <w:divsChild>
                    <w:div w:id="249774722">
                      <w:marLeft w:val="0"/>
                      <w:marRight w:val="0"/>
                      <w:marTop w:val="0"/>
                      <w:marBottom w:val="0"/>
                      <w:divBdr>
                        <w:top w:val="none" w:sz="0" w:space="0" w:color="auto"/>
                        <w:left w:val="none" w:sz="0" w:space="0" w:color="auto"/>
                        <w:bottom w:val="none" w:sz="0" w:space="0" w:color="auto"/>
                        <w:right w:val="none" w:sz="0" w:space="0" w:color="auto"/>
                      </w:divBdr>
                      <w:divsChild>
                        <w:div w:id="780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1501">
                  <w:marLeft w:val="0"/>
                  <w:marRight w:val="0"/>
                  <w:marTop w:val="0"/>
                  <w:marBottom w:val="0"/>
                  <w:divBdr>
                    <w:top w:val="none" w:sz="0" w:space="0" w:color="auto"/>
                    <w:left w:val="none" w:sz="0" w:space="0" w:color="auto"/>
                    <w:bottom w:val="none" w:sz="0" w:space="0" w:color="auto"/>
                    <w:right w:val="none" w:sz="0" w:space="0" w:color="auto"/>
                  </w:divBdr>
                  <w:divsChild>
                    <w:div w:id="1742412818">
                      <w:marLeft w:val="0"/>
                      <w:marRight w:val="0"/>
                      <w:marTop w:val="0"/>
                      <w:marBottom w:val="0"/>
                      <w:divBdr>
                        <w:top w:val="none" w:sz="0" w:space="0" w:color="auto"/>
                        <w:left w:val="none" w:sz="0" w:space="0" w:color="auto"/>
                        <w:bottom w:val="none" w:sz="0" w:space="0" w:color="auto"/>
                        <w:right w:val="none" w:sz="0" w:space="0" w:color="auto"/>
                      </w:divBdr>
                      <w:divsChild>
                        <w:div w:id="1041901994">
                          <w:marLeft w:val="0"/>
                          <w:marRight w:val="0"/>
                          <w:marTop w:val="0"/>
                          <w:marBottom w:val="0"/>
                          <w:divBdr>
                            <w:top w:val="none" w:sz="0" w:space="0" w:color="auto"/>
                            <w:left w:val="none" w:sz="0" w:space="0" w:color="auto"/>
                            <w:bottom w:val="none" w:sz="0" w:space="0" w:color="auto"/>
                            <w:right w:val="none" w:sz="0" w:space="0" w:color="auto"/>
                          </w:divBdr>
                          <w:divsChild>
                            <w:div w:id="1601907138">
                              <w:marLeft w:val="0"/>
                              <w:marRight w:val="0"/>
                              <w:marTop w:val="0"/>
                              <w:marBottom w:val="0"/>
                              <w:divBdr>
                                <w:top w:val="none" w:sz="0" w:space="0" w:color="auto"/>
                                <w:left w:val="none" w:sz="0" w:space="0" w:color="auto"/>
                                <w:bottom w:val="none" w:sz="0" w:space="0" w:color="auto"/>
                                <w:right w:val="none" w:sz="0" w:space="0" w:color="auto"/>
                              </w:divBdr>
                            </w:div>
                            <w:div w:id="283969090">
                              <w:marLeft w:val="0"/>
                              <w:marRight w:val="0"/>
                              <w:marTop w:val="0"/>
                              <w:marBottom w:val="0"/>
                              <w:divBdr>
                                <w:top w:val="none" w:sz="0" w:space="0" w:color="auto"/>
                                <w:left w:val="none" w:sz="0" w:space="0" w:color="auto"/>
                                <w:bottom w:val="none" w:sz="0" w:space="0" w:color="auto"/>
                                <w:right w:val="none" w:sz="0" w:space="0" w:color="auto"/>
                              </w:divBdr>
                            </w:div>
                            <w:div w:id="180314839">
                              <w:marLeft w:val="0"/>
                              <w:marRight w:val="0"/>
                              <w:marTop w:val="0"/>
                              <w:marBottom w:val="0"/>
                              <w:divBdr>
                                <w:top w:val="none" w:sz="0" w:space="0" w:color="auto"/>
                                <w:left w:val="none" w:sz="0" w:space="0" w:color="auto"/>
                                <w:bottom w:val="none" w:sz="0" w:space="0" w:color="auto"/>
                                <w:right w:val="none" w:sz="0" w:space="0" w:color="auto"/>
                              </w:divBdr>
                            </w:div>
                            <w:div w:id="2014523643">
                              <w:marLeft w:val="0"/>
                              <w:marRight w:val="0"/>
                              <w:marTop w:val="0"/>
                              <w:marBottom w:val="0"/>
                              <w:divBdr>
                                <w:top w:val="none" w:sz="0" w:space="0" w:color="auto"/>
                                <w:left w:val="none" w:sz="0" w:space="0" w:color="auto"/>
                                <w:bottom w:val="none" w:sz="0" w:space="0" w:color="auto"/>
                                <w:right w:val="none" w:sz="0" w:space="0" w:color="auto"/>
                              </w:divBdr>
                            </w:div>
                            <w:div w:id="781193288">
                              <w:marLeft w:val="0"/>
                              <w:marRight w:val="0"/>
                              <w:marTop w:val="0"/>
                              <w:marBottom w:val="0"/>
                              <w:divBdr>
                                <w:top w:val="none" w:sz="0" w:space="0" w:color="auto"/>
                                <w:left w:val="none" w:sz="0" w:space="0" w:color="auto"/>
                                <w:bottom w:val="none" w:sz="0" w:space="0" w:color="auto"/>
                                <w:right w:val="none" w:sz="0" w:space="0" w:color="auto"/>
                              </w:divBdr>
                            </w:div>
                            <w:div w:id="615673280">
                              <w:marLeft w:val="0"/>
                              <w:marRight w:val="0"/>
                              <w:marTop w:val="0"/>
                              <w:marBottom w:val="0"/>
                              <w:divBdr>
                                <w:top w:val="none" w:sz="0" w:space="0" w:color="auto"/>
                                <w:left w:val="none" w:sz="0" w:space="0" w:color="auto"/>
                                <w:bottom w:val="none" w:sz="0" w:space="0" w:color="auto"/>
                                <w:right w:val="none" w:sz="0" w:space="0" w:color="auto"/>
                              </w:divBdr>
                            </w:div>
                            <w:div w:id="110709119">
                              <w:marLeft w:val="0"/>
                              <w:marRight w:val="0"/>
                              <w:marTop w:val="0"/>
                              <w:marBottom w:val="0"/>
                              <w:divBdr>
                                <w:top w:val="none" w:sz="0" w:space="0" w:color="auto"/>
                                <w:left w:val="none" w:sz="0" w:space="0" w:color="auto"/>
                                <w:bottom w:val="none" w:sz="0" w:space="0" w:color="auto"/>
                                <w:right w:val="none" w:sz="0" w:space="0" w:color="auto"/>
                              </w:divBdr>
                            </w:div>
                            <w:div w:id="612326280">
                              <w:marLeft w:val="0"/>
                              <w:marRight w:val="0"/>
                              <w:marTop w:val="0"/>
                              <w:marBottom w:val="0"/>
                              <w:divBdr>
                                <w:top w:val="none" w:sz="0" w:space="0" w:color="auto"/>
                                <w:left w:val="none" w:sz="0" w:space="0" w:color="auto"/>
                                <w:bottom w:val="none" w:sz="0" w:space="0" w:color="auto"/>
                                <w:right w:val="none" w:sz="0" w:space="0" w:color="auto"/>
                              </w:divBdr>
                            </w:div>
                            <w:div w:id="622269305">
                              <w:marLeft w:val="0"/>
                              <w:marRight w:val="0"/>
                              <w:marTop w:val="0"/>
                              <w:marBottom w:val="0"/>
                              <w:divBdr>
                                <w:top w:val="none" w:sz="0" w:space="0" w:color="auto"/>
                                <w:left w:val="none" w:sz="0" w:space="0" w:color="auto"/>
                                <w:bottom w:val="none" w:sz="0" w:space="0" w:color="auto"/>
                                <w:right w:val="none" w:sz="0" w:space="0" w:color="auto"/>
                              </w:divBdr>
                            </w:div>
                            <w:div w:id="641928950">
                              <w:marLeft w:val="0"/>
                              <w:marRight w:val="0"/>
                              <w:marTop w:val="0"/>
                              <w:marBottom w:val="0"/>
                              <w:divBdr>
                                <w:top w:val="none" w:sz="0" w:space="0" w:color="auto"/>
                                <w:left w:val="none" w:sz="0" w:space="0" w:color="auto"/>
                                <w:bottom w:val="none" w:sz="0" w:space="0" w:color="auto"/>
                                <w:right w:val="none" w:sz="0" w:space="0" w:color="auto"/>
                              </w:divBdr>
                            </w:div>
                            <w:div w:id="2130736865">
                              <w:marLeft w:val="0"/>
                              <w:marRight w:val="0"/>
                              <w:marTop w:val="0"/>
                              <w:marBottom w:val="0"/>
                              <w:divBdr>
                                <w:top w:val="none" w:sz="0" w:space="0" w:color="auto"/>
                                <w:left w:val="none" w:sz="0" w:space="0" w:color="auto"/>
                                <w:bottom w:val="none" w:sz="0" w:space="0" w:color="auto"/>
                                <w:right w:val="none" w:sz="0" w:space="0" w:color="auto"/>
                              </w:divBdr>
                            </w:div>
                            <w:div w:id="1098213916">
                              <w:marLeft w:val="0"/>
                              <w:marRight w:val="0"/>
                              <w:marTop w:val="0"/>
                              <w:marBottom w:val="0"/>
                              <w:divBdr>
                                <w:top w:val="none" w:sz="0" w:space="0" w:color="auto"/>
                                <w:left w:val="none" w:sz="0" w:space="0" w:color="auto"/>
                                <w:bottom w:val="none" w:sz="0" w:space="0" w:color="auto"/>
                                <w:right w:val="none" w:sz="0" w:space="0" w:color="auto"/>
                              </w:divBdr>
                            </w:div>
                            <w:div w:id="16004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77197">
          <w:marLeft w:val="0"/>
          <w:marRight w:val="0"/>
          <w:marTop w:val="0"/>
          <w:marBottom w:val="0"/>
          <w:divBdr>
            <w:top w:val="none" w:sz="0" w:space="0" w:color="auto"/>
            <w:left w:val="none" w:sz="0" w:space="0" w:color="auto"/>
            <w:bottom w:val="none" w:sz="0" w:space="0" w:color="auto"/>
            <w:right w:val="none" w:sz="0" w:space="0" w:color="auto"/>
          </w:divBdr>
          <w:divsChild>
            <w:div w:id="1767996362">
              <w:marLeft w:val="0"/>
              <w:marRight w:val="0"/>
              <w:marTop w:val="0"/>
              <w:marBottom w:val="0"/>
              <w:divBdr>
                <w:top w:val="none" w:sz="0" w:space="0" w:color="auto"/>
                <w:left w:val="none" w:sz="0" w:space="0" w:color="auto"/>
                <w:bottom w:val="none" w:sz="0" w:space="0" w:color="auto"/>
                <w:right w:val="none" w:sz="0" w:space="0" w:color="auto"/>
              </w:divBdr>
              <w:divsChild>
                <w:div w:id="547448851">
                  <w:marLeft w:val="0"/>
                  <w:marRight w:val="0"/>
                  <w:marTop w:val="0"/>
                  <w:marBottom w:val="0"/>
                  <w:divBdr>
                    <w:top w:val="none" w:sz="0" w:space="0" w:color="auto"/>
                    <w:left w:val="none" w:sz="0" w:space="0" w:color="auto"/>
                    <w:bottom w:val="none" w:sz="0" w:space="0" w:color="auto"/>
                    <w:right w:val="none" w:sz="0" w:space="0" w:color="auto"/>
                  </w:divBdr>
                </w:div>
                <w:div w:id="478889126">
                  <w:marLeft w:val="0"/>
                  <w:marRight w:val="0"/>
                  <w:marTop w:val="0"/>
                  <w:marBottom w:val="0"/>
                  <w:divBdr>
                    <w:top w:val="none" w:sz="0" w:space="0" w:color="auto"/>
                    <w:left w:val="none" w:sz="0" w:space="0" w:color="auto"/>
                    <w:bottom w:val="none" w:sz="0" w:space="0" w:color="auto"/>
                    <w:right w:val="none" w:sz="0" w:space="0" w:color="auto"/>
                  </w:divBdr>
                  <w:divsChild>
                    <w:div w:id="798650730">
                      <w:marLeft w:val="0"/>
                      <w:marRight w:val="0"/>
                      <w:marTop w:val="0"/>
                      <w:marBottom w:val="0"/>
                      <w:divBdr>
                        <w:top w:val="none" w:sz="0" w:space="0" w:color="auto"/>
                        <w:left w:val="none" w:sz="0" w:space="0" w:color="auto"/>
                        <w:bottom w:val="none" w:sz="0" w:space="0" w:color="auto"/>
                        <w:right w:val="none" w:sz="0" w:space="0" w:color="auto"/>
                      </w:divBdr>
                      <w:divsChild>
                        <w:div w:id="9905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412">
                  <w:marLeft w:val="0"/>
                  <w:marRight w:val="0"/>
                  <w:marTop w:val="0"/>
                  <w:marBottom w:val="0"/>
                  <w:divBdr>
                    <w:top w:val="none" w:sz="0" w:space="0" w:color="auto"/>
                    <w:left w:val="none" w:sz="0" w:space="0" w:color="auto"/>
                    <w:bottom w:val="none" w:sz="0" w:space="0" w:color="auto"/>
                    <w:right w:val="none" w:sz="0" w:space="0" w:color="auto"/>
                  </w:divBdr>
                  <w:divsChild>
                    <w:div w:id="799762356">
                      <w:marLeft w:val="0"/>
                      <w:marRight w:val="0"/>
                      <w:marTop w:val="0"/>
                      <w:marBottom w:val="0"/>
                      <w:divBdr>
                        <w:top w:val="none" w:sz="0" w:space="0" w:color="auto"/>
                        <w:left w:val="none" w:sz="0" w:space="0" w:color="auto"/>
                        <w:bottom w:val="none" w:sz="0" w:space="0" w:color="auto"/>
                        <w:right w:val="none" w:sz="0" w:space="0" w:color="auto"/>
                      </w:divBdr>
                      <w:divsChild>
                        <w:div w:id="56393384">
                          <w:marLeft w:val="0"/>
                          <w:marRight w:val="0"/>
                          <w:marTop w:val="0"/>
                          <w:marBottom w:val="0"/>
                          <w:divBdr>
                            <w:top w:val="none" w:sz="0" w:space="0" w:color="auto"/>
                            <w:left w:val="none" w:sz="0" w:space="0" w:color="auto"/>
                            <w:bottom w:val="none" w:sz="0" w:space="0" w:color="auto"/>
                            <w:right w:val="none" w:sz="0" w:space="0" w:color="auto"/>
                          </w:divBdr>
                          <w:divsChild>
                            <w:div w:id="1136492322">
                              <w:marLeft w:val="0"/>
                              <w:marRight w:val="0"/>
                              <w:marTop w:val="0"/>
                              <w:marBottom w:val="0"/>
                              <w:divBdr>
                                <w:top w:val="none" w:sz="0" w:space="0" w:color="auto"/>
                                <w:left w:val="none" w:sz="0" w:space="0" w:color="auto"/>
                                <w:bottom w:val="none" w:sz="0" w:space="0" w:color="auto"/>
                                <w:right w:val="none" w:sz="0" w:space="0" w:color="auto"/>
                              </w:divBdr>
                            </w:div>
                            <w:div w:id="1524125461">
                              <w:marLeft w:val="0"/>
                              <w:marRight w:val="0"/>
                              <w:marTop w:val="0"/>
                              <w:marBottom w:val="0"/>
                              <w:divBdr>
                                <w:top w:val="none" w:sz="0" w:space="0" w:color="auto"/>
                                <w:left w:val="none" w:sz="0" w:space="0" w:color="auto"/>
                                <w:bottom w:val="none" w:sz="0" w:space="0" w:color="auto"/>
                                <w:right w:val="none" w:sz="0" w:space="0" w:color="auto"/>
                              </w:divBdr>
                            </w:div>
                            <w:div w:id="1735934691">
                              <w:marLeft w:val="0"/>
                              <w:marRight w:val="0"/>
                              <w:marTop w:val="0"/>
                              <w:marBottom w:val="0"/>
                              <w:divBdr>
                                <w:top w:val="none" w:sz="0" w:space="0" w:color="auto"/>
                                <w:left w:val="none" w:sz="0" w:space="0" w:color="auto"/>
                                <w:bottom w:val="none" w:sz="0" w:space="0" w:color="auto"/>
                                <w:right w:val="none" w:sz="0" w:space="0" w:color="auto"/>
                              </w:divBdr>
                            </w:div>
                            <w:div w:id="276177269">
                              <w:marLeft w:val="0"/>
                              <w:marRight w:val="0"/>
                              <w:marTop w:val="0"/>
                              <w:marBottom w:val="0"/>
                              <w:divBdr>
                                <w:top w:val="none" w:sz="0" w:space="0" w:color="auto"/>
                                <w:left w:val="none" w:sz="0" w:space="0" w:color="auto"/>
                                <w:bottom w:val="none" w:sz="0" w:space="0" w:color="auto"/>
                                <w:right w:val="none" w:sz="0" w:space="0" w:color="auto"/>
                              </w:divBdr>
                            </w:div>
                            <w:div w:id="228155422">
                              <w:marLeft w:val="0"/>
                              <w:marRight w:val="0"/>
                              <w:marTop w:val="0"/>
                              <w:marBottom w:val="0"/>
                              <w:divBdr>
                                <w:top w:val="none" w:sz="0" w:space="0" w:color="auto"/>
                                <w:left w:val="none" w:sz="0" w:space="0" w:color="auto"/>
                                <w:bottom w:val="none" w:sz="0" w:space="0" w:color="auto"/>
                                <w:right w:val="none" w:sz="0" w:space="0" w:color="auto"/>
                              </w:divBdr>
                            </w:div>
                            <w:div w:id="298465409">
                              <w:marLeft w:val="0"/>
                              <w:marRight w:val="0"/>
                              <w:marTop w:val="0"/>
                              <w:marBottom w:val="0"/>
                              <w:divBdr>
                                <w:top w:val="none" w:sz="0" w:space="0" w:color="auto"/>
                                <w:left w:val="none" w:sz="0" w:space="0" w:color="auto"/>
                                <w:bottom w:val="none" w:sz="0" w:space="0" w:color="auto"/>
                                <w:right w:val="none" w:sz="0" w:space="0" w:color="auto"/>
                              </w:divBdr>
                            </w:div>
                            <w:div w:id="1078212403">
                              <w:marLeft w:val="0"/>
                              <w:marRight w:val="0"/>
                              <w:marTop w:val="0"/>
                              <w:marBottom w:val="0"/>
                              <w:divBdr>
                                <w:top w:val="none" w:sz="0" w:space="0" w:color="auto"/>
                                <w:left w:val="none" w:sz="0" w:space="0" w:color="auto"/>
                                <w:bottom w:val="none" w:sz="0" w:space="0" w:color="auto"/>
                                <w:right w:val="none" w:sz="0" w:space="0" w:color="auto"/>
                              </w:divBdr>
                            </w:div>
                            <w:div w:id="8424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80693">
          <w:marLeft w:val="0"/>
          <w:marRight w:val="0"/>
          <w:marTop w:val="0"/>
          <w:marBottom w:val="0"/>
          <w:divBdr>
            <w:top w:val="none" w:sz="0" w:space="0" w:color="auto"/>
            <w:left w:val="none" w:sz="0" w:space="0" w:color="auto"/>
            <w:bottom w:val="none" w:sz="0" w:space="0" w:color="auto"/>
            <w:right w:val="none" w:sz="0" w:space="0" w:color="auto"/>
          </w:divBdr>
        </w:div>
      </w:divsChild>
    </w:div>
    <w:div w:id="1408453736">
      <w:bodyDiv w:val="1"/>
      <w:marLeft w:val="0"/>
      <w:marRight w:val="0"/>
      <w:marTop w:val="0"/>
      <w:marBottom w:val="0"/>
      <w:divBdr>
        <w:top w:val="none" w:sz="0" w:space="0" w:color="auto"/>
        <w:left w:val="none" w:sz="0" w:space="0" w:color="auto"/>
        <w:bottom w:val="none" w:sz="0" w:space="0" w:color="auto"/>
        <w:right w:val="none" w:sz="0" w:space="0" w:color="auto"/>
      </w:divBdr>
      <w:divsChild>
        <w:div w:id="418596901">
          <w:marLeft w:val="0"/>
          <w:marRight w:val="0"/>
          <w:marTop w:val="0"/>
          <w:marBottom w:val="0"/>
          <w:divBdr>
            <w:top w:val="none" w:sz="0" w:space="0" w:color="auto"/>
            <w:left w:val="none" w:sz="0" w:space="0" w:color="auto"/>
            <w:bottom w:val="none" w:sz="0" w:space="0" w:color="auto"/>
            <w:right w:val="none" w:sz="0" w:space="0" w:color="auto"/>
          </w:divBdr>
        </w:div>
      </w:divsChild>
    </w:div>
    <w:div w:id="1426416756">
      <w:bodyDiv w:val="1"/>
      <w:marLeft w:val="0"/>
      <w:marRight w:val="0"/>
      <w:marTop w:val="0"/>
      <w:marBottom w:val="0"/>
      <w:divBdr>
        <w:top w:val="none" w:sz="0" w:space="0" w:color="auto"/>
        <w:left w:val="none" w:sz="0" w:space="0" w:color="auto"/>
        <w:bottom w:val="none" w:sz="0" w:space="0" w:color="auto"/>
        <w:right w:val="none" w:sz="0" w:space="0" w:color="auto"/>
      </w:divBdr>
    </w:div>
    <w:div w:id="1426535211">
      <w:bodyDiv w:val="1"/>
      <w:marLeft w:val="0"/>
      <w:marRight w:val="0"/>
      <w:marTop w:val="0"/>
      <w:marBottom w:val="0"/>
      <w:divBdr>
        <w:top w:val="none" w:sz="0" w:space="0" w:color="auto"/>
        <w:left w:val="none" w:sz="0" w:space="0" w:color="auto"/>
        <w:bottom w:val="none" w:sz="0" w:space="0" w:color="auto"/>
        <w:right w:val="none" w:sz="0" w:space="0" w:color="auto"/>
      </w:divBdr>
      <w:divsChild>
        <w:div w:id="1186674789">
          <w:marLeft w:val="0"/>
          <w:marRight w:val="0"/>
          <w:marTop w:val="0"/>
          <w:marBottom w:val="0"/>
          <w:divBdr>
            <w:top w:val="none" w:sz="0" w:space="0" w:color="auto"/>
            <w:left w:val="none" w:sz="0" w:space="0" w:color="auto"/>
            <w:bottom w:val="none" w:sz="0" w:space="0" w:color="auto"/>
            <w:right w:val="none" w:sz="0" w:space="0" w:color="auto"/>
          </w:divBdr>
        </w:div>
        <w:div w:id="453718163">
          <w:marLeft w:val="0"/>
          <w:marRight w:val="0"/>
          <w:marTop w:val="0"/>
          <w:marBottom w:val="0"/>
          <w:divBdr>
            <w:top w:val="none" w:sz="0" w:space="0" w:color="auto"/>
            <w:left w:val="none" w:sz="0" w:space="0" w:color="auto"/>
            <w:bottom w:val="none" w:sz="0" w:space="0" w:color="auto"/>
            <w:right w:val="none" w:sz="0" w:space="0" w:color="auto"/>
          </w:divBdr>
        </w:div>
        <w:div w:id="534007579">
          <w:marLeft w:val="0"/>
          <w:marRight w:val="0"/>
          <w:marTop w:val="0"/>
          <w:marBottom w:val="0"/>
          <w:divBdr>
            <w:top w:val="none" w:sz="0" w:space="0" w:color="auto"/>
            <w:left w:val="none" w:sz="0" w:space="0" w:color="auto"/>
            <w:bottom w:val="none" w:sz="0" w:space="0" w:color="auto"/>
            <w:right w:val="none" w:sz="0" w:space="0" w:color="auto"/>
          </w:divBdr>
        </w:div>
        <w:div w:id="1474444698">
          <w:marLeft w:val="0"/>
          <w:marRight w:val="0"/>
          <w:marTop w:val="0"/>
          <w:marBottom w:val="0"/>
          <w:divBdr>
            <w:top w:val="none" w:sz="0" w:space="0" w:color="auto"/>
            <w:left w:val="none" w:sz="0" w:space="0" w:color="auto"/>
            <w:bottom w:val="none" w:sz="0" w:space="0" w:color="auto"/>
            <w:right w:val="none" w:sz="0" w:space="0" w:color="auto"/>
          </w:divBdr>
        </w:div>
        <w:div w:id="1461264379">
          <w:marLeft w:val="0"/>
          <w:marRight w:val="0"/>
          <w:marTop w:val="0"/>
          <w:marBottom w:val="0"/>
          <w:divBdr>
            <w:top w:val="none" w:sz="0" w:space="0" w:color="auto"/>
            <w:left w:val="none" w:sz="0" w:space="0" w:color="auto"/>
            <w:bottom w:val="none" w:sz="0" w:space="0" w:color="auto"/>
            <w:right w:val="none" w:sz="0" w:space="0" w:color="auto"/>
          </w:divBdr>
        </w:div>
        <w:div w:id="1609967469">
          <w:marLeft w:val="0"/>
          <w:marRight w:val="0"/>
          <w:marTop w:val="0"/>
          <w:marBottom w:val="0"/>
          <w:divBdr>
            <w:top w:val="none" w:sz="0" w:space="0" w:color="auto"/>
            <w:left w:val="none" w:sz="0" w:space="0" w:color="auto"/>
            <w:bottom w:val="none" w:sz="0" w:space="0" w:color="auto"/>
            <w:right w:val="none" w:sz="0" w:space="0" w:color="auto"/>
          </w:divBdr>
        </w:div>
        <w:div w:id="404180340">
          <w:marLeft w:val="0"/>
          <w:marRight w:val="0"/>
          <w:marTop w:val="0"/>
          <w:marBottom w:val="0"/>
          <w:divBdr>
            <w:top w:val="none" w:sz="0" w:space="0" w:color="auto"/>
            <w:left w:val="none" w:sz="0" w:space="0" w:color="auto"/>
            <w:bottom w:val="none" w:sz="0" w:space="0" w:color="auto"/>
            <w:right w:val="none" w:sz="0" w:space="0" w:color="auto"/>
          </w:divBdr>
        </w:div>
        <w:div w:id="1826823659">
          <w:marLeft w:val="0"/>
          <w:marRight w:val="0"/>
          <w:marTop w:val="0"/>
          <w:marBottom w:val="0"/>
          <w:divBdr>
            <w:top w:val="none" w:sz="0" w:space="0" w:color="auto"/>
            <w:left w:val="none" w:sz="0" w:space="0" w:color="auto"/>
            <w:bottom w:val="none" w:sz="0" w:space="0" w:color="auto"/>
            <w:right w:val="none" w:sz="0" w:space="0" w:color="auto"/>
          </w:divBdr>
        </w:div>
        <w:div w:id="1418743620">
          <w:marLeft w:val="0"/>
          <w:marRight w:val="0"/>
          <w:marTop w:val="0"/>
          <w:marBottom w:val="0"/>
          <w:divBdr>
            <w:top w:val="none" w:sz="0" w:space="0" w:color="auto"/>
            <w:left w:val="none" w:sz="0" w:space="0" w:color="auto"/>
            <w:bottom w:val="none" w:sz="0" w:space="0" w:color="auto"/>
            <w:right w:val="none" w:sz="0" w:space="0" w:color="auto"/>
          </w:divBdr>
        </w:div>
        <w:div w:id="1936863116">
          <w:marLeft w:val="0"/>
          <w:marRight w:val="0"/>
          <w:marTop w:val="0"/>
          <w:marBottom w:val="0"/>
          <w:divBdr>
            <w:top w:val="none" w:sz="0" w:space="0" w:color="auto"/>
            <w:left w:val="none" w:sz="0" w:space="0" w:color="auto"/>
            <w:bottom w:val="none" w:sz="0" w:space="0" w:color="auto"/>
            <w:right w:val="none" w:sz="0" w:space="0" w:color="auto"/>
          </w:divBdr>
        </w:div>
        <w:div w:id="748162197">
          <w:marLeft w:val="0"/>
          <w:marRight w:val="0"/>
          <w:marTop w:val="0"/>
          <w:marBottom w:val="0"/>
          <w:divBdr>
            <w:top w:val="none" w:sz="0" w:space="0" w:color="auto"/>
            <w:left w:val="none" w:sz="0" w:space="0" w:color="auto"/>
            <w:bottom w:val="none" w:sz="0" w:space="0" w:color="auto"/>
            <w:right w:val="none" w:sz="0" w:space="0" w:color="auto"/>
          </w:divBdr>
        </w:div>
        <w:div w:id="1206987088">
          <w:marLeft w:val="0"/>
          <w:marRight w:val="0"/>
          <w:marTop w:val="0"/>
          <w:marBottom w:val="0"/>
          <w:divBdr>
            <w:top w:val="none" w:sz="0" w:space="0" w:color="auto"/>
            <w:left w:val="none" w:sz="0" w:space="0" w:color="auto"/>
            <w:bottom w:val="none" w:sz="0" w:space="0" w:color="auto"/>
            <w:right w:val="none" w:sz="0" w:space="0" w:color="auto"/>
          </w:divBdr>
        </w:div>
        <w:div w:id="1787769807">
          <w:marLeft w:val="0"/>
          <w:marRight w:val="0"/>
          <w:marTop w:val="0"/>
          <w:marBottom w:val="0"/>
          <w:divBdr>
            <w:top w:val="none" w:sz="0" w:space="0" w:color="auto"/>
            <w:left w:val="none" w:sz="0" w:space="0" w:color="auto"/>
            <w:bottom w:val="none" w:sz="0" w:space="0" w:color="auto"/>
            <w:right w:val="none" w:sz="0" w:space="0" w:color="auto"/>
          </w:divBdr>
        </w:div>
        <w:div w:id="500584498">
          <w:marLeft w:val="0"/>
          <w:marRight w:val="0"/>
          <w:marTop w:val="0"/>
          <w:marBottom w:val="0"/>
          <w:divBdr>
            <w:top w:val="none" w:sz="0" w:space="0" w:color="auto"/>
            <w:left w:val="none" w:sz="0" w:space="0" w:color="auto"/>
            <w:bottom w:val="none" w:sz="0" w:space="0" w:color="auto"/>
            <w:right w:val="none" w:sz="0" w:space="0" w:color="auto"/>
          </w:divBdr>
        </w:div>
        <w:div w:id="899751961">
          <w:marLeft w:val="0"/>
          <w:marRight w:val="0"/>
          <w:marTop w:val="0"/>
          <w:marBottom w:val="0"/>
          <w:divBdr>
            <w:top w:val="none" w:sz="0" w:space="0" w:color="auto"/>
            <w:left w:val="none" w:sz="0" w:space="0" w:color="auto"/>
            <w:bottom w:val="none" w:sz="0" w:space="0" w:color="auto"/>
            <w:right w:val="none" w:sz="0" w:space="0" w:color="auto"/>
          </w:divBdr>
        </w:div>
        <w:div w:id="1920216596">
          <w:marLeft w:val="0"/>
          <w:marRight w:val="0"/>
          <w:marTop w:val="0"/>
          <w:marBottom w:val="0"/>
          <w:divBdr>
            <w:top w:val="none" w:sz="0" w:space="0" w:color="auto"/>
            <w:left w:val="none" w:sz="0" w:space="0" w:color="auto"/>
            <w:bottom w:val="none" w:sz="0" w:space="0" w:color="auto"/>
            <w:right w:val="none" w:sz="0" w:space="0" w:color="auto"/>
          </w:divBdr>
        </w:div>
        <w:div w:id="1013073539">
          <w:marLeft w:val="0"/>
          <w:marRight w:val="0"/>
          <w:marTop w:val="0"/>
          <w:marBottom w:val="0"/>
          <w:divBdr>
            <w:top w:val="none" w:sz="0" w:space="0" w:color="auto"/>
            <w:left w:val="none" w:sz="0" w:space="0" w:color="auto"/>
            <w:bottom w:val="none" w:sz="0" w:space="0" w:color="auto"/>
            <w:right w:val="none" w:sz="0" w:space="0" w:color="auto"/>
          </w:divBdr>
        </w:div>
        <w:div w:id="531185250">
          <w:marLeft w:val="0"/>
          <w:marRight w:val="0"/>
          <w:marTop w:val="0"/>
          <w:marBottom w:val="0"/>
          <w:divBdr>
            <w:top w:val="none" w:sz="0" w:space="0" w:color="auto"/>
            <w:left w:val="none" w:sz="0" w:space="0" w:color="auto"/>
            <w:bottom w:val="none" w:sz="0" w:space="0" w:color="auto"/>
            <w:right w:val="none" w:sz="0" w:space="0" w:color="auto"/>
          </w:divBdr>
        </w:div>
        <w:div w:id="1387603785">
          <w:marLeft w:val="0"/>
          <w:marRight w:val="0"/>
          <w:marTop w:val="0"/>
          <w:marBottom w:val="0"/>
          <w:divBdr>
            <w:top w:val="none" w:sz="0" w:space="0" w:color="auto"/>
            <w:left w:val="none" w:sz="0" w:space="0" w:color="auto"/>
            <w:bottom w:val="none" w:sz="0" w:space="0" w:color="auto"/>
            <w:right w:val="none" w:sz="0" w:space="0" w:color="auto"/>
          </w:divBdr>
        </w:div>
        <w:div w:id="1036538345">
          <w:marLeft w:val="0"/>
          <w:marRight w:val="0"/>
          <w:marTop w:val="0"/>
          <w:marBottom w:val="0"/>
          <w:divBdr>
            <w:top w:val="none" w:sz="0" w:space="0" w:color="auto"/>
            <w:left w:val="none" w:sz="0" w:space="0" w:color="auto"/>
            <w:bottom w:val="none" w:sz="0" w:space="0" w:color="auto"/>
            <w:right w:val="none" w:sz="0" w:space="0" w:color="auto"/>
          </w:divBdr>
        </w:div>
        <w:div w:id="2066760829">
          <w:marLeft w:val="0"/>
          <w:marRight w:val="0"/>
          <w:marTop w:val="0"/>
          <w:marBottom w:val="0"/>
          <w:divBdr>
            <w:top w:val="none" w:sz="0" w:space="0" w:color="auto"/>
            <w:left w:val="none" w:sz="0" w:space="0" w:color="auto"/>
            <w:bottom w:val="none" w:sz="0" w:space="0" w:color="auto"/>
            <w:right w:val="none" w:sz="0" w:space="0" w:color="auto"/>
          </w:divBdr>
        </w:div>
        <w:div w:id="506748209">
          <w:marLeft w:val="0"/>
          <w:marRight w:val="0"/>
          <w:marTop w:val="0"/>
          <w:marBottom w:val="0"/>
          <w:divBdr>
            <w:top w:val="none" w:sz="0" w:space="0" w:color="auto"/>
            <w:left w:val="none" w:sz="0" w:space="0" w:color="auto"/>
            <w:bottom w:val="none" w:sz="0" w:space="0" w:color="auto"/>
            <w:right w:val="none" w:sz="0" w:space="0" w:color="auto"/>
          </w:divBdr>
        </w:div>
      </w:divsChild>
    </w:div>
    <w:div w:id="1561549862">
      <w:bodyDiv w:val="1"/>
      <w:marLeft w:val="0"/>
      <w:marRight w:val="0"/>
      <w:marTop w:val="0"/>
      <w:marBottom w:val="0"/>
      <w:divBdr>
        <w:top w:val="none" w:sz="0" w:space="0" w:color="auto"/>
        <w:left w:val="none" w:sz="0" w:space="0" w:color="auto"/>
        <w:bottom w:val="none" w:sz="0" w:space="0" w:color="auto"/>
        <w:right w:val="none" w:sz="0" w:space="0" w:color="auto"/>
      </w:divBdr>
      <w:divsChild>
        <w:div w:id="2042705869">
          <w:marLeft w:val="0"/>
          <w:marRight w:val="0"/>
          <w:marTop w:val="0"/>
          <w:marBottom w:val="0"/>
          <w:divBdr>
            <w:top w:val="none" w:sz="0" w:space="0" w:color="auto"/>
            <w:left w:val="none" w:sz="0" w:space="0" w:color="auto"/>
            <w:bottom w:val="none" w:sz="0" w:space="0" w:color="auto"/>
            <w:right w:val="none" w:sz="0" w:space="0" w:color="auto"/>
          </w:divBdr>
        </w:div>
      </w:divsChild>
    </w:div>
    <w:div w:id="1578780104">
      <w:bodyDiv w:val="1"/>
      <w:marLeft w:val="0"/>
      <w:marRight w:val="0"/>
      <w:marTop w:val="0"/>
      <w:marBottom w:val="0"/>
      <w:divBdr>
        <w:top w:val="none" w:sz="0" w:space="0" w:color="auto"/>
        <w:left w:val="none" w:sz="0" w:space="0" w:color="auto"/>
        <w:bottom w:val="none" w:sz="0" w:space="0" w:color="auto"/>
        <w:right w:val="none" w:sz="0" w:space="0" w:color="auto"/>
      </w:divBdr>
    </w:div>
    <w:div w:id="1584801784">
      <w:bodyDiv w:val="1"/>
      <w:marLeft w:val="0"/>
      <w:marRight w:val="0"/>
      <w:marTop w:val="0"/>
      <w:marBottom w:val="0"/>
      <w:divBdr>
        <w:top w:val="none" w:sz="0" w:space="0" w:color="auto"/>
        <w:left w:val="none" w:sz="0" w:space="0" w:color="auto"/>
        <w:bottom w:val="none" w:sz="0" w:space="0" w:color="auto"/>
        <w:right w:val="none" w:sz="0" w:space="0" w:color="auto"/>
      </w:divBdr>
    </w:div>
    <w:div w:id="1597786716">
      <w:bodyDiv w:val="1"/>
      <w:marLeft w:val="0"/>
      <w:marRight w:val="0"/>
      <w:marTop w:val="0"/>
      <w:marBottom w:val="0"/>
      <w:divBdr>
        <w:top w:val="none" w:sz="0" w:space="0" w:color="auto"/>
        <w:left w:val="none" w:sz="0" w:space="0" w:color="auto"/>
        <w:bottom w:val="none" w:sz="0" w:space="0" w:color="auto"/>
        <w:right w:val="none" w:sz="0" w:space="0" w:color="auto"/>
      </w:divBdr>
    </w:div>
    <w:div w:id="1641879871">
      <w:bodyDiv w:val="1"/>
      <w:marLeft w:val="0"/>
      <w:marRight w:val="0"/>
      <w:marTop w:val="0"/>
      <w:marBottom w:val="0"/>
      <w:divBdr>
        <w:top w:val="none" w:sz="0" w:space="0" w:color="auto"/>
        <w:left w:val="none" w:sz="0" w:space="0" w:color="auto"/>
        <w:bottom w:val="none" w:sz="0" w:space="0" w:color="auto"/>
        <w:right w:val="none" w:sz="0" w:space="0" w:color="auto"/>
      </w:divBdr>
      <w:divsChild>
        <w:div w:id="1095007361">
          <w:marLeft w:val="0"/>
          <w:marRight w:val="0"/>
          <w:marTop w:val="0"/>
          <w:marBottom w:val="0"/>
          <w:divBdr>
            <w:top w:val="none" w:sz="0" w:space="0" w:color="auto"/>
            <w:left w:val="none" w:sz="0" w:space="0" w:color="auto"/>
            <w:bottom w:val="none" w:sz="0" w:space="0" w:color="auto"/>
            <w:right w:val="none" w:sz="0" w:space="0" w:color="auto"/>
          </w:divBdr>
        </w:div>
        <w:div w:id="279386598">
          <w:marLeft w:val="0"/>
          <w:marRight w:val="0"/>
          <w:marTop w:val="0"/>
          <w:marBottom w:val="0"/>
          <w:divBdr>
            <w:top w:val="none" w:sz="0" w:space="0" w:color="auto"/>
            <w:left w:val="none" w:sz="0" w:space="0" w:color="auto"/>
            <w:bottom w:val="none" w:sz="0" w:space="0" w:color="auto"/>
            <w:right w:val="none" w:sz="0" w:space="0" w:color="auto"/>
          </w:divBdr>
        </w:div>
        <w:div w:id="742685237">
          <w:marLeft w:val="0"/>
          <w:marRight w:val="0"/>
          <w:marTop w:val="0"/>
          <w:marBottom w:val="0"/>
          <w:divBdr>
            <w:top w:val="none" w:sz="0" w:space="0" w:color="auto"/>
            <w:left w:val="none" w:sz="0" w:space="0" w:color="auto"/>
            <w:bottom w:val="none" w:sz="0" w:space="0" w:color="auto"/>
            <w:right w:val="none" w:sz="0" w:space="0" w:color="auto"/>
          </w:divBdr>
        </w:div>
        <w:div w:id="1810899680">
          <w:marLeft w:val="0"/>
          <w:marRight w:val="0"/>
          <w:marTop w:val="0"/>
          <w:marBottom w:val="0"/>
          <w:divBdr>
            <w:top w:val="none" w:sz="0" w:space="0" w:color="auto"/>
            <w:left w:val="none" w:sz="0" w:space="0" w:color="auto"/>
            <w:bottom w:val="none" w:sz="0" w:space="0" w:color="auto"/>
            <w:right w:val="none" w:sz="0" w:space="0" w:color="auto"/>
          </w:divBdr>
        </w:div>
        <w:div w:id="1953435497">
          <w:marLeft w:val="0"/>
          <w:marRight w:val="0"/>
          <w:marTop w:val="0"/>
          <w:marBottom w:val="0"/>
          <w:divBdr>
            <w:top w:val="none" w:sz="0" w:space="0" w:color="auto"/>
            <w:left w:val="none" w:sz="0" w:space="0" w:color="auto"/>
            <w:bottom w:val="none" w:sz="0" w:space="0" w:color="auto"/>
            <w:right w:val="none" w:sz="0" w:space="0" w:color="auto"/>
          </w:divBdr>
        </w:div>
        <w:div w:id="1229416274">
          <w:marLeft w:val="0"/>
          <w:marRight w:val="0"/>
          <w:marTop w:val="0"/>
          <w:marBottom w:val="0"/>
          <w:divBdr>
            <w:top w:val="none" w:sz="0" w:space="0" w:color="auto"/>
            <w:left w:val="none" w:sz="0" w:space="0" w:color="auto"/>
            <w:bottom w:val="none" w:sz="0" w:space="0" w:color="auto"/>
            <w:right w:val="none" w:sz="0" w:space="0" w:color="auto"/>
          </w:divBdr>
        </w:div>
        <w:div w:id="1742025075">
          <w:marLeft w:val="0"/>
          <w:marRight w:val="0"/>
          <w:marTop w:val="0"/>
          <w:marBottom w:val="0"/>
          <w:divBdr>
            <w:top w:val="none" w:sz="0" w:space="0" w:color="auto"/>
            <w:left w:val="none" w:sz="0" w:space="0" w:color="auto"/>
            <w:bottom w:val="none" w:sz="0" w:space="0" w:color="auto"/>
            <w:right w:val="none" w:sz="0" w:space="0" w:color="auto"/>
          </w:divBdr>
        </w:div>
        <w:div w:id="227423405">
          <w:marLeft w:val="0"/>
          <w:marRight w:val="0"/>
          <w:marTop w:val="0"/>
          <w:marBottom w:val="0"/>
          <w:divBdr>
            <w:top w:val="none" w:sz="0" w:space="0" w:color="auto"/>
            <w:left w:val="none" w:sz="0" w:space="0" w:color="auto"/>
            <w:bottom w:val="none" w:sz="0" w:space="0" w:color="auto"/>
            <w:right w:val="none" w:sz="0" w:space="0" w:color="auto"/>
          </w:divBdr>
        </w:div>
        <w:div w:id="1560281575">
          <w:marLeft w:val="0"/>
          <w:marRight w:val="0"/>
          <w:marTop w:val="0"/>
          <w:marBottom w:val="0"/>
          <w:divBdr>
            <w:top w:val="none" w:sz="0" w:space="0" w:color="auto"/>
            <w:left w:val="none" w:sz="0" w:space="0" w:color="auto"/>
            <w:bottom w:val="none" w:sz="0" w:space="0" w:color="auto"/>
            <w:right w:val="none" w:sz="0" w:space="0" w:color="auto"/>
          </w:divBdr>
        </w:div>
        <w:div w:id="24910502">
          <w:marLeft w:val="0"/>
          <w:marRight w:val="0"/>
          <w:marTop w:val="0"/>
          <w:marBottom w:val="0"/>
          <w:divBdr>
            <w:top w:val="none" w:sz="0" w:space="0" w:color="auto"/>
            <w:left w:val="none" w:sz="0" w:space="0" w:color="auto"/>
            <w:bottom w:val="none" w:sz="0" w:space="0" w:color="auto"/>
            <w:right w:val="none" w:sz="0" w:space="0" w:color="auto"/>
          </w:divBdr>
        </w:div>
        <w:div w:id="1913543932">
          <w:marLeft w:val="0"/>
          <w:marRight w:val="0"/>
          <w:marTop w:val="0"/>
          <w:marBottom w:val="0"/>
          <w:divBdr>
            <w:top w:val="none" w:sz="0" w:space="0" w:color="auto"/>
            <w:left w:val="none" w:sz="0" w:space="0" w:color="auto"/>
            <w:bottom w:val="none" w:sz="0" w:space="0" w:color="auto"/>
            <w:right w:val="none" w:sz="0" w:space="0" w:color="auto"/>
          </w:divBdr>
        </w:div>
        <w:div w:id="1614045964">
          <w:marLeft w:val="0"/>
          <w:marRight w:val="0"/>
          <w:marTop w:val="0"/>
          <w:marBottom w:val="0"/>
          <w:divBdr>
            <w:top w:val="none" w:sz="0" w:space="0" w:color="auto"/>
            <w:left w:val="none" w:sz="0" w:space="0" w:color="auto"/>
            <w:bottom w:val="none" w:sz="0" w:space="0" w:color="auto"/>
            <w:right w:val="none" w:sz="0" w:space="0" w:color="auto"/>
          </w:divBdr>
        </w:div>
        <w:div w:id="1631084958">
          <w:marLeft w:val="0"/>
          <w:marRight w:val="0"/>
          <w:marTop w:val="0"/>
          <w:marBottom w:val="0"/>
          <w:divBdr>
            <w:top w:val="none" w:sz="0" w:space="0" w:color="auto"/>
            <w:left w:val="none" w:sz="0" w:space="0" w:color="auto"/>
            <w:bottom w:val="none" w:sz="0" w:space="0" w:color="auto"/>
            <w:right w:val="none" w:sz="0" w:space="0" w:color="auto"/>
          </w:divBdr>
        </w:div>
        <w:div w:id="57673466">
          <w:marLeft w:val="0"/>
          <w:marRight w:val="0"/>
          <w:marTop w:val="0"/>
          <w:marBottom w:val="0"/>
          <w:divBdr>
            <w:top w:val="none" w:sz="0" w:space="0" w:color="auto"/>
            <w:left w:val="none" w:sz="0" w:space="0" w:color="auto"/>
            <w:bottom w:val="none" w:sz="0" w:space="0" w:color="auto"/>
            <w:right w:val="none" w:sz="0" w:space="0" w:color="auto"/>
          </w:divBdr>
        </w:div>
        <w:div w:id="878397193">
          <w:marLeft w:val="0"/>
          <w:marRight w:val="0"/>
          <w:marTop w:val="0"/>
          <w:marBottom w:val="0"/>
          <w:divBdr>
            <w:top w:val="none" w:sz="0" w:space="0" w:color="auto"/>
            <w:left w:val="none" w:sz="0" w:space="0" w:color="auto"/>
            <w:bottom w:val="none" w:sz="0" w:space="0" w:color="auto"/>
            <w:right w:val="none" w:sz="0" w:space="0" w:color="auto"/>
          </w:divBdr>
        </w:div>
        <w:div w:id="860120033">
          <w:marLeft w:val="0"/>
          <w:marRight w:val="0"/>
          <w:marTop w:val="0"/>
          <w:marBottom w:val="0"/>
          <w:divBdr>
            <w:top w:val="none" w:sz="0" w:space="0" w:color="auto"/>
            <w:left w:val="none" w:sz="0" w:space="0" w:color="auto"/>
            <w:bottom w:val="none" w:sz="0" w:space="0" w:color="auto"/>
            <w:right w:val="none" w:sz="0" w:space="0" w:color="auto"/>
          </w:divBdr>
        </w:div>
        <w:div w:id="1568682670">
          <w:marLeft w:val="0"/>
          <w:marRight w:val="0"/>
          <w:marTop w:val="0"/>
          <w:marBottom w:val="0"/>
          <w:divBdr>
            <w:top w:val="none" w:sz="0" w:space="0" w:color="auto"/>
            <w:left w:val="none" w:sz="0" w:space="0" w:color="auto"/>
            <w:bottom w:val="none" w:sz="0" w:space="0" w:color="auto"/>
            <w:right w:val="none" w:sz="0" w:space="0" w:color="auto"/>
          </w:divBdr>
        </w:div>
        <w:div w:id="1348828890">
          <w:marLeft w:val="0"/>
          <w:marRight w:val="0"/>
          <w:marTop w:val="0"/>
          <w:marBottom w:val="0"/>
          <w:divBdr>
            <w:top w:val="none" w:sz="0" w:space="0" w:color="auto"/>
            <w:left w:val="none" w:sz="0" w:space="0" w:color="auto"/>
            <w:bottom w:val="none" w:sz="0" w:space="0" w:color="auto"/>
            <w:right w:val="none" w:sz="0" w:space="0" w:color="auto"/>
          </w:divBdr>
        </w:div>
        <w:div w:id="403643350">
          <w:marLeft w:val="0"/>
          <w:marRight w:val="0"/>
          <w:marTop w:val="0"/>
          <w:marBottom w:val="0"/>
          <w:divBdr>
            <w:top w:val="none" w:sz="0" w:space="0" w:color="auto"/>
            <w:left w:val="none" w:sz="0" w:space="0" w:color="auto"/>
            <w:bottom w:val="none" w:sz="0" w:space="0" w:color="auto"/>
            <w:right w:val="none" w:sz="0" w:space="0" w:color="auto"/>
          </w:divBdr>
        </w:div>
        <w:div w:id="1615601838">
          <w:marLeft w:val="0"/>
          <w:marRight w:val="0"/>
          <w:marTop w:val="0"/>
          <w:marBottom w:val="0"/>
          <w:divBdr>
            <w:top w:val="none" w:sz="0" w:space="0" w:color="auto"/>
            <w:left w:val="none" w:sz="0" w:space="0" w:color="auto"/>
            <w:bottom w:val="none" w:sz="0" w:space="0" w:color="auto"/>
            <w:right w:val="none" w:sz="0" w:space="0" w:color="auto"/>
          </w:divBdr>
        </w:div>
        <w:div w:id="1022514424">
          <w:marLeft w:val="0"/>
          <w:marRight w:val="0"/>
          <w:marTop w:val="0"/>
          <w:marBottom w:val="0"/>
          <w:divBdr>
            <w:top w:val="none" w:sz="0" w:space="0" w:color="auto"/>
            <w:left w:val="none" w:sz="0" w:space="0" w:color="auto"/>
            <w:bottom w:val="none" w:sz="0" w:space="0" w:color="auto"/>
            <w:right w:val="none" w:sz="0" w:space="0" w:color="auto"/>
          </w:divBdr>
        </w:div>
        <w:div w:id="1507279953">
          <w:marLeft w:val="0"/>
          <w:marRight w:val="0"/>
          <w:marTop w:val="0"/>
          <w:marBottom w:val="0"/>
          <w:divBdr>
            <w:top w:val="none" w:sz="0" w:space="0" w:color="auto"/>
            <w:left w:val="none" w:sz="0" w:space="0" w:color="auto"/>
            <w:bottom w:val="none" w:sz="0" w:space="0" w:color="auto"/>
            <w:right w:val="none" w:sz="0" w:space="0" w:color="auto"/>
          </w:divBdr>
        </w:div>
      </w:divsChild>
    </w:div>
    <w:div w:id="1712146760">
      <w:bodyDiv w:val="1"/>
      <w:marLeft w:val="0"/>
      <w:marRight w:val="0"/>
      <w:marTop w:val="0"/>
      <w:marBottom w:val="0"/>
      <w:divBdr>
        <w:top w:val="none" w:sz="0" w:space="0" w:color="auto"/>
        <w:left w:val="none" w:sz="0" w:space="0" w:color="auto"/>
        <w:bottom w:val="none" w:sz="0" w:space="0" w:color="auto"/>
        <w:right w:val="none" w:sz="0" w:space="0" w:color="auto"/>
      </w:divBdr>
      <w:divsChild>
        <w:div w:id="1619340137">
          <w:marLeft w:val="0"/>
          <w:marRight w:val="0"/>
          <w:marTop w:val="0"/>
          <w:marBottom w:val="240"/>
          <w:divBdr>
            <w:top w:val="none" w:sz="0" w:space="0" w:color="auto"/>
            <w:left w:val="none" w:sz="0" w:space="0" w:color="auto"/>
            <w:bottom w:val="none" w:sz="0" w:space="0" w:color="auto"/>
            <w:right w:val="none" w:sz="0" w:space="0" w:color="auto"/>
          </w:divBdr>
          <w:divsChild>
            <w:div w:id="8253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6308">
      <w:bodyDiv w:val="1"/>
      <w:marLeft w:val="0"/>
      <w:marRight w:val="0"/>
      <w:marTop w:val="0"/>
      <w:marBottom w:val="0"/>
      <w:divBdr>
        <w:top w:val="none" w:sz="0" w:space="0" w:color="auto"/>
        <w:left w:val="none" w:sz="0" w:space="0" w:color="auto"/>
        <w:bottom w:val="none" w:sz="0" w:space="0" w:color="auto"/>
        <w:right w:val="none" w:sz="0" w:space="0" w:color="auto"/>
      </w:divBdr>
    </w:div>
    <w:div w:id="1802992811">
      <w:bodyDiv w:val="1"/>
      <w:marLeft w:val="0"/>
      <w:marRight w:val="0"/>
      <w:marTop w:val="0"/>
      <w:marBottom w:val="0"/>
      <w:divBdr>
        <w:top w:val="none" w:sz="0" w:space="0" w:color="auto"/>
        <w:left w:val="none" w:sz="0" w:space="0" w:color="auto"/>
        <w:bottom w:val="none" w:sz="0" w:space="0" w:color="auto"/>
        <w:right w:val="none" w:sz="0" w:space="0" w:color="auto"/>
      </w:divBdr>
    </w:div>
    <w:div w:id="1846283415">
      <w:bodyDiv w:val="1"/>
      <w:marLeft w:val="0"/>
      <w:marRight w:val="0"/>
      <w:marTop w:val="0"/>
      <w:marBottom w:val="0"/>
      <w:divBdr>
        <w:top w:val="none" w:sz="0" w:space="0" w:color="auto"/>
        <w:left w:val="none" w:sz="0" w:space="0" w:color="auto"/>
        <w:bottom w:val="none" w:sz="0" w:space="0" w:color="auto"/>
        <w:right w:val="none" w:sz="0" w:space="0" w:color="auto"/>
      </w:divBdr>
    </w:div>
    <w:div w:id="1853953315">
      <w:bodyDiv w:val="1"/>
      <w:marLeft w:val="0"/>
      <w:marRight w:val="0"/>
      <w:marTop w:val="0"/>
      <w:marBottom w:val="0"/>
      <w:divBdr>
        <w:top w:val="none" w:sz="0" w:space="0" w:color="auto"/>
        <w:left w:val="none" w:sz="0" w:space="0" w:color="auto"/>
        <w:bottom w:val="none" w:sz="0" w:space="0" w:color="auto"/>
        <w:right w:val="none" w:sz="0" w:space="0" w:color="auto"/>
      </w:divBdr>
    </w:div>
    <w:div w:id="1871798012">
      <w:bodyDiv w:val="1"/>
      <w:marLeft w:val="0"/>
      <w:marRight w:val="0"/>
      <w:marTop w:val="0"/>
      <w:marBottom w:val="0"/>
      <w:divBdr>
        <w:top w:val="none" w:sz="0" w:space="0" w:color="auto"/>
        <w:left w:val="none" w:sz="0" w:space="0" w:color="auto"/>
        <w:bottom w:val="none" w:sz="0" w:space="0" w:color="auto"/>
        <w:right w:val="none" w:sz="0" w:space="0" w:color="auto"/>
      </w:divBdr>
    </w:div>
    <w:div w:id="1911184812">
      <w:bodyDiv w:val="1"/>
      <w:marLeft w:val="0"/>
      <w:marRight w:val="0"/>
      <w:marTop w:val="0"/>
      <w:marBottom w:val="0"/>
      <w:divBdr>
        <w:top w:val="none" w:sz="0" w:space="0" w:color="auto"/>
        <w:left w:val="none" w:sz="0" w:space="0" w:color="auto"/>
        <w:bottom w:val="none" w:sz="0" w:space="0" w:color="auto"/>
        <w:right w:val="none" w:sz="0" w:space="0" w:color="auto"/>
      </w:divBdr>
    </w:div>
    <w:div w:id="1957904439">
      <w:bodyDiv w:val="1"/>
      <w:marLeft w:val="0"/>
      <w:marRight w:val="0"/>
      <w:marTop w:val="0"/>
      <w:marBottom w:val="0"/>
      <w:divBdr>
        <w:top w:val="none" w:sz="0" w:space="0" w:color="auto"/>
        <w:left w:val="none" w:sz="0" w:space="0" w:color="auto"/>
        <w:bottom w:val="none" w:sz="0" w:space="0" w:color="auto"/>
        <w:right w:val="none" w:sz="0" w:space="0" w:color="auto"/>
      </w:divBdr>
    </w:div>
    <w:div w:id="1965500140">
      <w:bodyDiv w:val="1"/>
      <w:marLeft w:val="0"/>
      <w:marRight w:val="0"/>
      <w:marTop w:val="0"/>
      <w:marBottom w:val="0"/>
      <w:divBdr>
        <w:top w:val="none" w:sz="0" w:space="0" w:color="auto"/>
        <w:left w:val="none" w:sz="0" w:space="0" w:color="auto"/>
        <w:bottom w:val="none" w:sz="0" w:space="0" w:color="auto"/>
        <w:right w:val="none" w:sz="0" w:space="0" w:color="auto"/>
      </w:divBdr>
    </w:div>
    <w:div w:id="2062508730">
      <w:bodyDiv w:val="1"/>
      <w:marLeft w:val="0"/>
      <w:marRight w:val="0"/>
      <w:marTop w:val="0"/>
      <w:marBottom w:val="0"/>
      <w:divBdr>
        <w:top w:val="none" w:sz="0" w:space="0" w:color="auto"/>
        <w:left w:val="none" w:sz="0" w:space="0" w:color="auto"/>
        <w:bottom w:val="none" w:sz="0" w:space="0" w:color="auto"/>
        <w:right w:val="none" w:sz="0" w:space="0" w:color="auto"/>
      </w:divBdr>
      <w:divsChild>
        <w:div w:id="2036805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3AB14-AFC7-4DD1-9E04-D8937C3A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7890</Words>
  <Characters>45447</Characters>
  <Application>Microsoft Office Word</Application>
  <DocSecurity>0</DocSecurity>
  <Lines>873</Lines>
  <Paragraphs>261</Paragraphs>
  <ScaleCrop>false</ScaleCrop>
  <HeadingPairs>
    <vt:vector size="2" baseType="variant">
      <vt:variant>
        <vt:lpstr>Title</vt:lpstr>
      </vt:variant>
      <vt:variant>
        <vt:i4>1</vt:i4>
      </vt:variant>
    </vt:vector>
  </HeadingPairs>
  <TitlesOfParts>
    <vt:vector size="1" baseType="lpstr">
      <vt:lpstr/>
    </vt:vector>
  </TitlesOfParts>
  <Company>Lincoln Agritech Ltd</Company>
  <LinksUpToDate>false</LinksUpToDate>
  <CharactersWithSpaces>53076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Hartland</dc:creator>
  <cp:keywords/>
  <dc:description/>
  <cp:lastModifiedBy>Adam Hartland</cp:lastModifiedBy>
  <cp:revision>27</cp:revision>
  <cp:lastPrinted>2026-03-23T00:53:00Z</cp:lastPrinted>
  <dcterms:created xsi:type="dcterms:W3CDTF">2026-03-13T09:06:00Z</dcterms:created>
  <dcterms:modified xsi:type="dcterms:W3CDTF">2026-04-01T03:26:00Z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id="UR1IymO3"/&gt;&lt;style id="http://www.zotero.org/styles/nature" hasBibliography="1" bibliographyStyleHasBeenSet="1"/&gt;&lt;prefs&gt;&lt;pref name="fieldType" value="Field"/&gt;&lt;/prefs&gt;&lt;/data&gt;</vt:lpwstr>
  </property>
</Properties>
</file>