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0634C" w14:textId="77777777" w:rsidR="00CF4E67" w:rsidRPr="00936CC7" w:rsidRDefault="00CF4E67" w:rsidP="00CF4E67">
      <w:pPr>
        <w:pStyle w:val="Caption"/>
        <w:rPr>
          <w:b w:val="0"/>
          <w:bCs w:val="0"/>
        </w:rPr>
      </w:pPr>
      <w:bookmarkStart w:id="0" w:name="_Ref73864148"/>
      <w:r>
        <w:t>Additional file 1</w:t>
      </w:r>
      <w:bookmarkEnd w:id="0"/>
      <w:r>
        <w:t xml:space="preserve">. Table S1. </w:t>
      </w:r>
      <w:r w:rsidRPr="00936CC7">
        <w:rPr>
          <w:b w:val="0"/>
          <w:bCs w:val="0"/>
        </w:rPr>
        <w:t>Summary of validation and refinement sources during rare disease selection</w:t>
      </w:r>
    </w:p>
    <w:tbl>
      <w:tblPr>
        <w:tblStyle w:val="TableGrid"/>
        <w:tblW w:w="13877" w:type="dxa"/>
        <w:tblLook w:val="04A0" w:firstRow="1" w:lastRow="0" w:firstColumn="1" w:lastColumn="0" w:noHBand="0" w:noVBand="1"/>
      </w:tblPr>
      <w:tblGrid>
        <w:gridCol w:w="2263"/>
        <w:gridCol w:w="1701"/>
        <w:gridCol w:w="2694"/>
        <w:gridCol w:w="3133"/>
        <w:gridCol w:w="4086"/>
      </w:tblGrid>
      <w:tr w:rsidR="00CF4E67" w:rsidRPr="00EC576E" w14:paraId="36AD4C7B" w14:textId="77777777" w:rsidTr="00A1492E">
        <w:trPr>
          <w:trHeight w:val="620"/>
        </w:trPr>
        <w:tc>
          <w:tcPr>
            <w:tcW w:w="2263" w:type="dxa"/>
            <w:shd w:val="clear" w:color="auto" w:fill="F2F2F2" w:themeFill="background1" w:themeFillShade="F2"/>
            <w:hideMark/>
          </w:tcPr>
          <w:p w14:paraId="6DDE1FB1" w14:textId="77777777" w:rsidR="00CF4E67" w:rsidRPr="00EC576E" w:rsidRDefault="00CF4E67" w:rsidP="00A1492E">
            <w:pPr>
              <w:spacing w:line="240" w:lineRule="auto"/>
              <w:jc w:val="center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EC576E">
              <w:rPr>
                <w:rFonts w:eastAsia="Times New Roman" w:cs="Arial"/>
                <w:b/>
                <w:bCs/>
                <w:color w:val="000000" w:themeColor="text1"/>
                <w:kern w:val="24"/>
                <w:sz w:val="22"/>
                <w:szCs w:val="22"/>
              </w:rPr>
              <w:t>Economic institutes</w:t>
            </w:r>
          </w:p>
        </w:tc>
        <w:tc>
          <w:tcPr>
            <w:tcW w:w="1701" w:type="dxa"/>
            <w:shd w:val="clear" w:color="auto" w:fill="F2F2F2" w:themeFill="background1" w:themeFillShade="F2"/>
            <w:hideMark/>
          </w:tcPr>
          <w:p w14:paraId="7D72B545" w14:textId="77777777" w:rsidR="00CF4E67" w:rsidRPr="00EC576E" w:rsidRDefault="00CF4E67" w:rsidP="00A1492E">
            <w:pPr>
              <w:spacing w:line="240" w:lineRule="auto"/>
              <w:jc w:val="center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EC576E">
              <w:rPr>
                <w:rFonts w:eastAsia="Calibri" w:cs="Arial"/>
                <w:b/>
                <w:bCs/>
                <w:color w:val="000000" w:themeColor="text1"/>
                <w:kern w:val="24"/>
                <w:sz w:val="22"/>
                <w:szCs w:val="22"/>
              </w:rPr>
              <w:t>Payers</w:t>
            </w:r>
          </w:p>
        </w:tc>
        <w:tc>
          <w:tcPr>
            <w:tcW w:w="2694" w:type="dxa"/>
            <w:shd w:val="clear" w:color="auto" w:fill="F2F2F2" w:themeFill="background1" w:themeFillShade="F2"/>
            <w:hideMark/>
          </w:tcPr>
          <w:p w14:paraId="34A10E87" w14:textId="77777777" w:rsidR="00CF4E67" w:rsidRPr="00EC576E" w:rsidRDefault="00CF4E67" w:rsidP="00A1492E">
            <w:pPr>
              <w:spacing w:line="240" w:lineRule="auto"/>
              <w:jc w:val="center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EC576E">
              <w:rPr>
                <w:rFonts w:eastAsia="Calibri" w:cs="Arial"/>
                <w:b/>
                <w:bCs/>
                <w:color w:val="000000" w:themeColor="text1"/>
                <w:kern w:val="24"/>
                <w:sz w:val="22"/>
                <w:szCs w:val="22"/>
              </w:rPr>
              <w:t>IQVIA expertise</w:t>
            </w:r>
          </w:p>
        </w:tc>
        <w:tc>
          <w:tcPr>
            <w:tcW w:w="3133" w:type="dxa"/>
            <w:shd w:val="clear" w:color="auto" w:fill="F2F2F2" w:themeFill="background1" w:themeFillShade="F2"/>
            <w:hideMark/>
          </w:tcPr>
          <w:p w14:paraId="21B731A1" w14:textId="77777777" w:rsidR="00CF4E67" w:rsidRPr="00EC576E" w:rsidRDefault="00CF4E67" w:rsidP="00A1492E">
            <w:pPr>
              <w:spacing w:line="240" w:lineRule="auto"/>
              <w:jc w:val="center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EC576E">
              <w:rPr>
                <w:rFonts w:eastAsia="Times New Roman" w:cs="Arial"/>
                <w:b/>
                <w:bCs/>
                <w:color w:val="000000" w:themeColor="text1"/>
                <w:kern w:val="24"/>
                <w:sz w:val="22"/>
                <w:szCs w:val="22"/>
              </w:rPr>
              <w:t>PAGs</w:t>
            </w:r>
          </w:p>
        </w:tc>
        <w:tc>
          <w:tcPr>
            <w:tcW w:w="4086" w:type="dxa"/>
            <w:shd w:val="clear" w:color="auto" w:fill="F2F2F2" w:themeFill="background1" w:themeFillShade="F2"/>
            <w:hideMark/>
          </w:tcPr>
          <w:p w14:paraId="0BF7A623" w14:textId="77777777" w:rsidR="00CF4E67" w:rsidRPr="00EC576E" w:rsidRDefault="00CF4E67" w:rsidP="00A1492E">
            <w:pPr>
              <w:spacing w:line="240" w:lineRule="auto"/>
              <w:jc w:val="center"/>
              <w:rPr>
                <w:rFonts w:eastAsia="Times New Roman" w:cs="Arial"/>
                <w:sz w:val="22"/>
                <w:szCs w:val="22"/>
                <w:lang w:val="en-GB"/>
              </w:rPr>
            </w:pPr>
            <w:proofErr w:type="spellStart"/>
            <w:r w:rsidRPr="00EC576E">
              <w:rPr>
                <w:rFonts w:eastAsia="Times New Roman" w:cs="Arial"/>
                <w:b/>
                <w:bCs/>
                <w:color w:val="000000" w:themeColor="text1"/>
                <w:kern w:val="24"/>
                <w:sz w:val="22"/>
                <w:szCs w:val="22"/>
              </w:rPr>
              <w:t>CoE</w:t>
            </w:r>
            <w:r>
              <w:rPr>
                <w:rFonts w:eastAsia="Times New Roman" w:cs="Arial"/>
                <w:b/>
                <w:bCs/>
                <w:color w:val="000000" w:themeColor="text1"/>
                <w:kern w:val="24"/>
                <w:sz w:val="22"/>
                <w:szCs w:val="22"/>
              </w:rPr>
              <w:t>s</w:t>
            </w:r>
            <w:proofErr w:type="spellEnd"/>
            <w:r w:rsidRPr="00EC576E">
              <w:rPr>
                <w:rFonts w:eastAsia="Times New Roman" w:cs="Arial"/>
                <w:b/>
                <w:bCs/>
                <w:color w:val="000000" w:themeColor="text1"/>
                <w:kern w:val="24"/>
                <w:sz w:val="22"/>
                <w:szCs w:val="22"/>
              </w:rPr>
              <w:t>/KOLs</w:t>
            </w:r>
          </w:p>
        </w:tc>
      </w:tr>
      <w:tr w:rsidR="00CF4E67" w:rsidRPr="00EC576E" w14:paraId="38FAC229" w14:textId="77777777" w:rsidTr="00A1492E">
        <w:trPr>
          <w:trHeight w:val="77"/>
        </w:trPr>
        <w:tc>
          <w:tcPr>
            <w:tcW w:w="2263" w:type="dxa"/>
            <w:hideMark/>
          </w:tcPr>
          <w:p w14:paraId="315BD444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eastAsia="Times New Roman" w:cs="Arial"/>
                <w:sz w:val="22"/>
                <w:szCs w:val="22"/>
                <w:lang w:val="en-GB"/>
              </w:rPr>
            </w:pPr>
            <w:r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 xml:space="preserve">Former employee of the </w:t>
            </w: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I</w:t>
            </w:r>
            <w:r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nstitute for Clinical and Economic Review (I</w:t>
            </w: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CER</w:t>
            </w:r>
            <w:r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1701" w:type="dxa"/>
            <w:hideMark/>
          </w:tcPr>
          <w:p w14:paraId="2AEAF66B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Anthem</w:t>
            </w:r>
          </w:p>
          <w:p w14:paraId="12FC25D0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Medicaid</w:t>
            </w:r>
          </w:p>
        </w:tc>
        <w:tc>
          <w:tcPr>
            <w:tcW w:w="2694" w:type="dxa"/>
            <w:hideMark/>
          </w:tcPr>
          <w:p w14:paraId="6E436637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IQVIA Institute</w:t>
            </w:r>
          </w:p>
          <w:p w14:paraId="2AB53B07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 xml:space="preserve">IQVIA </w:t>
            </w:r>
            <w:proofErr w:type="spellStart"/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CoE</w:t>
            </w:r>
            <w:proofErr w:type="spellEnd"/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 xml:space="preserve"> for Rare Disease</w:t>
            </w:r>
          </w:p>
          <w:p w14:paraId="05A63684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0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 xml:space="preserve">IQVIA Health Economic </w:t>
            </w:r>
            <w:r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E</w:t>
            </w: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 xml:space="preserve">xperts  </w:t>
            </w:r>
          </w:p>
        </w:tc>
        <w:tc>
          <w:tcPr>
            <w:tcW w:w="3133" w:type="dxa"/>
            <w:hideMark/>
          </w:tcPr>
          <w:p w14:paraId="5486178E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N</w:t>
            </w:r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ational Organization for Rare Disorders (N</w:t>
            </w: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ORD</w:t>
            </w:r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)</w:t>
            </w: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 xml:space="preserve"> </w:t>
            </w:r>
          </w:p>
          <w:p w14:paraId="374285DE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Every Life Foundation</w:t>
            </w:r>
          </w:p>
          <w:p w14:paraId="0E1662FA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 xml:space="preserve">Partnership To Improve Patient Care  </w:t>
            </w:r>
          </w:p>
          <w:p w14:paraId="0BDFD5AF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Global Gene</w:t>
            </w:r>
          </w:p>
          <w:p w14:paraId="25154B48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Immune Deficiency Foundation</w:t>
            </w:r>
          </w:p>
          <w:p w14:paraId="3CF5BF2E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4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Consortium for Outcome Measures and Biomarkers for Neurodevelopmental Disorders</w:t>
            </w:r>
          </w:p>
        </w:tc>
        <w:tc>
          <w:tcPr>
            <w:tcW w:w="4086" w:type="dxa"/>
            <w:hideMark/>
          </w:tcPr>
          <w:p w14:paraId="3AB42021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Mount Sinai Health System</w:t>
            </w:r>
          </w:p>
          <w:p w14:paraId="2B41525A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Europea</w:t>
            </w:r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n and</w:t>
            </w: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 xml:space="preserve"> North American metabolic disease societies</w:t>
            </w:r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 xml:space="preserve"> (e.g., </w:t>
            </w:r>
            <w:proofErr w:type="spellStart"/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MetabERN</w:t>
            </w:r>
            <w:proofErr w:type="spellEnd"/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)</w:t>
            </w:r>
          </w:p>
          <w:p w14:paraId="040121AA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University of Wisconsin School of Medicine and Public Health</w:t>
            </w:r>
          </w:p>
          <w:p w14:paraId="3A751781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 xml:space="preserve">Zucker School of Medicine at </w:t>
            </w: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Hofstra</w:t>
            </w:r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/</w:t>
            </w: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Northwell</w:t>
            </w:r>
          </w:p>
          <w:p w14:paraId="391371CD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Ann &amp; Robert H. Lurie Children's Hospital of Chicago; Northwestern University, Feinberg School of Medicine</w:t>
            </w:r>
          </w:p>
          <w:p w14:paraId="3A019951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Sharp HealthCare</w:t>
            </w:r>
          </w:p>
          <w:p w14:paraId="6A639C14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Saint Louis University Medical Center</w:t>
            </w:r>
          </w:p>
          <w:p w14:paraId="0A679B70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Howard Brown H</w:t>
            </w:r>
            <w:r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ealth</w:t>
            </w: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 xml:space="preserve"> Center</w:t>
            </w:r>
          </w:p>
          <w:p w14:paraId="43C2C7F1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Bergen neurology consultants</w:t>
            </w:r>
          </w:p>
          <w:p w14:paraId="227D417E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Ochsner Clinic Foundation</w:t>
            </w:r>
          </w:p>
          <w:p w14:paraId="3A46498D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Times New Roman" w:cs="Arial"/>
                <w:color w:val="000000" w:themeColor="text1"/>
                <w:kern w:val="24"/>
                <w:sz w:val="22"/>
                <w:szCs w:val="22"/>
              </w:rPr>
              <w:t>Emory University</w:t>
            </w:r>
          </w:p>
          <w:p w14:paraId="35808AB4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Penn Blood Disorders Center</w:t>
            </w:r>
          </w:p>
          <w:p w14:paraId="1F55E51F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Las Vegas Skin and Cancer Clinic</w:t>
            </w:r>
          </w:p>
          <w:p w14:paraId="3D43A5E9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Iredell Memorial Hospital</w:t>
            </w:r>
          </w:p>
          <w:p w14:paraId="6740B8B4" w14:textId="77777777" w:rsidR="00CF4E67" w:rsidRPr="006263CA" w:rsidRDefault="00CF4E67" w:rsidP="00CF4E67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457"/>
              <w:rPr>
                <w:rFonts w:eastAsia="Times New Roman" w:cs="Arial"/>
                <w:sz w:val="22"/>
                <w:szCs w:val="22"/>
                <w:lang w:val="en-GB"/>
              </w:rPr>
            </w:pPr>
            <w:r w:rsidRPr="006263CA">
              <w:rPr>
                <w:rFonts w:eastAsia="Calibri" w:cs="Arial"/>
                <w:color w:val="000000" w:themeColor="text1"/>
                <w:kern w:val="24"/>
                <w:sz w:val="22"/>
                <w:szCs w:val="22"/>
              </w:rPr>
              <w:t>University of Texas Medical Branch</w:t>
            </w:r>
          </w:p>
        </w:tc>
      </w:tr>
    </w:tbl>
    <w:p w14:paraId="79879E58" w14:textId="06F76089" w:rsidR="009438FF" w:rsidRPr="00CF4E67" w:rsidRDefault="00CF4E67">
      <w:pPr>
        <w:rPr>
          <w:rFonts w:cs="Arial"/>
          <w:sz w:val="20"/>
          <w:szCs w:val="20"/>
        </w:rPr>
      </w:pPr>
      <w:proofErr w:type="spellStart"/>
      <w:r w:rsidRPr="00CF4E67">
        <w:rPr>
          <w:sz w:val="20"/>
          <w:szCs w:val="20"/>
        </w:rPr>
        <w:t>CoE</w:t>
      </w:r>
      <w:proofErr w:type="spellEnd"/>
      <w:r w:rsidRPr="00CF4E67">
        <w:rPr>
          <w:sz w:val="20"/>
          <w:szCs w:val="20"/>
        </w:rPr>
        <w:t xml:space="preserve">, center of excellence; KOL, key opinion leader; </w:t>
      </w:r>
      <w:proofErr w:type="spellStart"/>
      <w:r w:rsidRPr="00CF4E67">
        <w:rPr>
          <w:sz w:val="20"/>
          <w:szCs w:val="20"/>
        </w:rPr>
        <w:t>MetabERN</w:t>
      </w:r>
      <w:proofErr w:type="spellEnd"/>
      <w:r w:rsidRPr="00CF4E67">
        <w:rPr>
          <w:sz w:val="20"/>
          <w:szCs w:val="20"/>
        </w:rPr>
        <w:t xml:space="preserve">, European Reference Network for Hereditary Metabolic Disorders; </w:t>
      </w:r>
      <w:r w:rsidRPr="00CF4E67">
        <w:rPr>
          <w:sz w:val="20"/>
          <w:szCs w:val="20"/>
          <w:lang w:val="en-GB"/>
        </w:rPr>
        <w:t>PAG, patient advocacy group.</w:t>
      </w:r>
    </w:p>
    <w:sectPr w:rsidR="009438FF" w:rsidRPr="00CF4E67" w:rsidSect="00CF4E6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CE5C17"/>
    <w:multiLevelType w:val="multilevel"/>
    <w:tmpl w:val="CBFC3770"/>
    <w:lvl w:ilvl="0">
      <w:start w:val="1"/>
      <w:numFmt w:val="bullet"/>
      <w:pStyle w:val="ListParagraph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ind w:left="714" w:hanging="357"/>
      </w:pPr>
      <w:rPr>
        <w:rFonts w:ascii="Arial" w:hAnsi="Arial" w:hint="default"/>
        <w:color w:val="auto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" w15:restartNumberingAfterBreak="0">
    <w:nsid w:val="681C483E"/>
    <w:multiLevelType w:val="hybridMultilevel"/>
    <w:tmpl w:val="A7727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E67"/>
    <w:rsid w:val="007E232D"/>
    <w:rsid w:val="00C655AB"/>
    <w:rsid w:val="00CF4E67"/>
    <w:rsid w:val="00D5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0155E"/>
  <w15:chartTrackingRefBased/>
  <w15:docId w15:val="{3D0DEE93-D0BD-48E7-80C4-67BD243FE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E67"/>
    <w:pPr>
      <w:spacing w:after="0" w:line="360" w:lineRule="auto"/>
    </w:pPr>
    <w:rPr>
      <w:rFonts w:ascii="Arial" w:eastAsiaTheme="minorEastAsia" w:hAnsi="Arial"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4E67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CF4E67"/>
    <w:pPr>
      <w:numPr>
        <w:numId w:val="1"/>
      </w:numPr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F4E67"/>
    <w:pPr>
      <w:keepNext/>
      <w:spacing w:before="120"/>
    </w:pPr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F4E67"/>
    <w:rPr>
      <w:rFonts w:ascii="Arial" w:eastAsiaTheme="minorEastAsia" w:hAnsi="Arial"/>
      <w:sz w:val="24"/>
      <w:szCs w:val="24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Findlay</dc:creator>
  <cp:keywords/>
  <dc:description/>
  <cp:lastModifiedBy>John Findlay</cp:lastModifiedBy>
  <cp:revision>1</cp:revision>
  <dcterms:created xsi:type="dcterms:W3CDTF">2021-09-23T09:41:00Z</dcterms:created>
  <dcterms:modified xsi:type="dcterms:W3CDTF">2021-09-23T09:42:00Z</dcterms:modified>
</cp:coreProperties>
</file>