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BE56CB">
      <w:pPr>
        <w:jc w:val="both"/>
        <w:rPr>
          <w:rFonts w:hint="eastAsia" w:eastAsiaTheme="minorEastAsia"/>
          <w:lang w:eastAsia="zh-CN"/>
        </w:rPr>
      </w:pPr>
    </w:p>
    <w:p w14:paraId="5A43B5EB"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88585" cy="5969635"/>
            <wp:effectExtent l="0" t="0" r="0" b="0"/>
            <wp:docPr id="8" name="图片 8" descr="20251030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51030-02"/>
                    <pic:cNvPicPr>
                      <a:picLocks noChangeAspect="1"/>
                    </pic:cNvPicPr>
                  </pic:nvPicPr>
                  <pic:blipFill>
                    <a:blip r:embed="rId4"/>
                    <a:srcRect l="-349" t="3221" r="1213" b="16107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596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057DD">
      <w:pPr>
        <w:rPr>
          <w:rFonts w:hint="eastAsia" w:eastAsiaTheme="minorEastAsia"/>
          <w:lang w:eastAsia="zh-CN"/>
        </w:rPr>
      </w:pPr>
    </w:p>
    <w:p w14:paraId="3D388058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both"/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Figure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 xml:space="preserve"> S</w:t>
      </w: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1. Characteristics and distribution of each subpopulation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, related to Figure 1</w:t>
      </w:r>
    </w:p>
    <w:p w14:paraId="7B3C9C5B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both"/>
        <w:rPr>
          <w:sz w:val="18"/>
          <w:szCs w:val="18"/>
          <w:lang w:val="en-US"/>
        </w:rPr>
      </w:pP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 xml:space="preserve">(A) </w:t>
      </w:r>
      <w:bookmarkStart w:id="0" w:name="OLE_LINK35"/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Bubble plot</w:t>
      </w:r>
      <w:bookmarkEnd w:id="0"/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 xml:space="preserve"> of mean expression of main marker genes in the indicated cell subsets.</w:t>
      </w:r>
    </w:p>
    <w:p w14:paraId="0020C5BF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both"/>
        <w:rPr>
          <w:sz w:val="18"/>
          <w:szCs w:val="18"/>
          <w:lang w:val="en-US"/>
        </w:rPr>
      </w:pP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(B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-G</w:t>
      </w: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) Correlation analysis of the cell fraction of immune cell subtypes with percentage forced expiratory volume in 1 s (FEV1%). Color code depicts the stratification of COPD patients according to the Global Initiative for Chronic Obstructive Lung Disease (GOLD) guidelines.</w:t>
      </w:r>
    </w:p>
    <w:p w14:paraId="17FC2F63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both"/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(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H</w:t>
      </w: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) Enrichment analysis of differentially expressed genes (DEGs) between NSCLC with and without COPD among immune cell subtypes.</w:t>
      </w:r>
    </w:p>
    <w:p w14:paraId="26DB2BE1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both"/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(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I</w:t>
      </w: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 xml:space="preserve">) Differential number of possible interactions between any two cell populations. Red (positive values) and blue (negative values) represent higher predicted interactions in NSCLC with and without COPD, respectively. </w:t>
      </w:r>
    </w:p>
    <w:p w14:paraId="308B4EFB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both"/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(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J</w:t>
      </w: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 xml:space="preserve">) Total number of possible interactions among immune cells (macrophages, NK cells, dendritic cells, B cells, T cells, mast cells, and monocytes). </w:t>
      </w:r>
    </w:p>
    <w:p w14:paraId="2C887F20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both"/>
        <w:rPr>
          <w:sz w:val="18"/>
          <w:szCs w:val="18"/>
          <w:lang w:val="en-US"/>
        </w:rPr>
      </w:pP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(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K</w:t>
      </w: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 xml:space="preserve">) Number of potential interactions among the five major cell types in tumors from LC-COPD. </w:t>
      </w:r>
    </w:p>
    <w:p w14:paraId="703B00D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472B15E9">
      <w:pPr>
        <w:jc w:val="center"/>
        <w:rPr>
          <w:rFonts w:hint="eastAsia" w:eastAsiaTheme="minorEastAsia"/>
          <w:lang w:eastAsia="zh-CN"/>
        </w:rPr>
      </w:pPr>
    </w:p>
    <w:p w14:paraId="7A508DA3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4892040"/>
            <wp:effectExtent l="0" t="0" r="0" b="0"/>
            <wp:docPr id="7" name="图片 7" descr="20251030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51030-04"/>
                    <pic:cNvPicPr>
                      <a:picLocks noChangeAspect="1"/>
                    </pic:cNvPicPr>
                  </pic:nvPicPr>
                  <pic:blipFill>
                    <a:blip r:embed="rId5"/>
                    <a:srcRect l="-482" t="2624" r="-158" b="3117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9A468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both"/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Figure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 xml:space="preserve"> S2</w:t>
      </w: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. The identification of malignant cells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, related to Figure 2</w:t>
      </w:r>
    </w:p>
    <w:p w14:paraId="2145C6F0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both"/>
        <w:rPr>
          <w:sz w:val="18"/>
          <w:szCs w:val="18"/>
          <w:lang w:val="en-US"/>
        </w:rPr>
      </w:pP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 xml:space="preserve">(A) Hierarchical heatmap showing large-scale CNVs of malignant cells and epithelial cells. </w:t>
      </w:r>
    </w:p>
    <w:p w14:paraId="6927419A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both"/>
        <w:rPr>
          <w:sz w:val="18"/>
          <w:szCs w:val="18"/>
          <w:lang w:val="en-US"/>
        </w:rPr>
      </w:pP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(B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-C</w:t>
      </w: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) UMAP plot showing the inferred CNV score and classification of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 xml:space="preserve"> </w:t>
      </w: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malignant cells and epithelial cells.</w:t>
      </w:r>
    </w:p>
    <w:p w14:paraId="1C70F538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both"/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(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D</w:t>
      </w: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) Bubble plot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 xml:space="preserve"> of mean expression of main marker genes in the malignant cell subsets.</w:t>
      </w:r>
    </w:p>
    <w:p w14:paraId="355C4921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both"/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(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E</w:t>
      </w: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)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 xml:space="preserve"> </w:t>
      </w: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Differential number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/strength</w:t>
      </w: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 xml:space="preserve"> of possible interactions between malignant cells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 xml:space="preserve"> and immune cells</w:t>
      </w: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 xml:space="preserve"> populations. Red (positive values) and blue (negative values) represent higher predicted interactions in NSCLC with and without COPD, respectively. </w:t>
      </w:r>
    </w:p>
    <w:p w14:paraId="3EB5D26F">
      <w:pP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br w:type="page"/>
      </w:r>
    </w:p>
    <w:p w14:paraId="6422002F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both"/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</w:p>
    <w:p w14:paraId="4498A401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both"/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</w:p>
    <w:p w14:paraId="5AC1CAC0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center"/>
      </w:pPr>
    </w:p>
    <w:p w14:paraId="12AA0834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center"/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</w:p>
    <w:p w14:paraId="562C97D5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center"/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</w:p>
    <w:p w14:paraId="3D039FE0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center"/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drawing>
          <wp:inline distT="0" distB="0" distL="114300" distR="114300">
            <wp:extent cx="5252085" cy="5661025"/>
            <wp:effectExtent l="0" t="0" r="5715" b="3175"/>
            <wp:docPr id="10" name="图片 10" descr="20251030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51030-07"/>
                    <pic:cNvPicPr>
                      <a:picLocks noChangeAspect="1"/>
                    </pic:cNvPicPr>
                  </pic:nvPicPr>
                  <pic:blipFill>
                    <a:blip r:embed="rId6"/>
                    <a:srcRect l="96" t="4593" r="3469" b="21890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566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42D6D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both"/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Figure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 xml:space="preserve"> S3 Characteristics of macrophage clusters, related to Figure 4.</w:t>
      </w:r>
    </w:p>
    <w:p w14:paraId="57C5AF99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both"/>
        <w:rPr>
          <w:rFonts w:hint="default"/>
          <w:sz w:val="18"/>
          <w:szCs w:val="18"/>
          <w:lang w:val="en-US"/>
        </w:rPr>
      </w:pP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(A) Bubble plot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 xml:space="preserve"> of mean expression of main marker genes in the macrophage subsets.</w:t>
      </w:r>
    </w:p>
    <w:p w14:paraId="55303ABD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both"/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(B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-C</w:t>
      </w: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 xml:space="preserve">) Box plot of the expression scores of signatures of differentiation and functionality among macrophages in tumor samples. </w:t>
      </w:r>
    </w:p>
    <w:p w14:paraId="3746A2DA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both"/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(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D-J</w:t>
      </w: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) UMAP plot of the scores among macrophage clusters.</w:t>
      </w:r>
    </w:p>
    <w:p w14:paraId="3008AF71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both"/>
        <w:rPr>
          <w:sz w:val="18"/>
          <w:szCs w:val="18"/>
          <w:lang w:val="en-US"/>
        </w:rPr>
      </w:pP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* p &lt; 0.05, ** p &lt; 0.01, *** p &lt; 0.001, **** p &lt; 0.0001.</w:t>
      </w:r>
    </w:p>
    <w:p w14:paraId="362F0C4C">
      <w:pP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br w:type="page"/>
      </w:r>
    </w:p>
    <w:p w14:paraId="6C93F6B1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both"/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</w:p>
    <w:p w14:paraId="36E0D579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center"/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</w:p>
    <w:p w14:paraId="72B30C64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center"/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</w:p>
    <w:p w14:paraId="77ECA369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center"/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</w:p>
    <w:p w14:paraId="38558275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center"/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</w:p>
    <w:p w14:paraId="603F8EE5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center"/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drawing>
          <wp:inline distT="0" distB="0" distL="114300" distR="114300">
            <wp:extent cx="5257800" cy="4382770"/>
            <wp:effectExtent l="0" t="0" r="0" b="0"/>
            <wp:docPr id="5" name="图片 5" descr="20250415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0415-10"/>
                    <pic:cNvPicPr>
                      <a:picLocks noChangeAspect="1"/>
                    </pic:cNvPicPr>
                  </pic:nvPicPr>
                  <pic:blipFill>
                    <a:blip r:embed="rId7"/>
                    <a:srcRect l="-12" t="2190" r="265" b="3900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8A1B6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both"/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Figure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 xml:space="preserve"> S4 Annotation of T cell clusters and characterization of tumor-specific CD8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vertAlign w:val="superscript"/>
          <w:lang w:val="en-US" w:eastAsia="zh-CN" w:bidi="ar"/>
        </w:rPr>
        <w:t xml:space="preserve">+ 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T cell, related to Figure 5.</w:t>
      </w:r>
    </w:p>
    <w:p w14:paraId="34E42BB1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both"/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(A) Bubble plot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 xml:space="preserve"> of mean expression of main marker genes in the T cell subsets.</w:t>
      </w:r>
    </w:p>
    <w:p w14:paraId="6CC1E9C0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both"/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(B) Heatmap showing cluster annotation of CD4</w:t>
      </w:r>
      <w:r>
        <w:rPr>
          <w:rFonts w:hint="default" w:ascii="Times New Roman" w:hAnsi="Times New Roman" w:eastAsia="等线" w:cs="Times New Roman"/>
          <w:kern w:val="2"/>
          <w:sz w:val="18"/>
          <w:szCs w:val="18"/>
          <w:vertAlign w:val="superscript"/>
          <w:lang w:val="en-US" w:eastAsia="zh-CN" w:bidi="ar"/>
        </w:rPr>
        <w:t>+</w:t>
      </w: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T and CD8</w:t>
      </w:r>
      <w:r>
        <w:rPr>
          <w:rFonts w:hint="default" w:ascii="Times New Roman" w:hAnsi="Times New Roman" w:eastAsia="等线" w:cs="Times New Roman"/>
          <w:kern w:val="2"/>
          <w:sz w:val="18"/>
          <w:szCs w:val="18"/>
          <w:vertAlign w:val="superscript"/>
          <w:lang w:val="en-US" w:eastAsia="zh-CN" w:bidi="ar"/>
        </w:rPr>
        <w:t>+</w:t>
      </w: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 xml:space="preserve">T cells. </w:t>
      </w:r>
    </w:p>
    <w:p w14:paraId="6E097A97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both"/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(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C</w:t>
      </w: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)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 xml:space="preserve"> Distribution of CD8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vertAlign w:val="superscript"/>
          <w:lang w:val="en-US" w:eastAsia="zh-CN" w:bidi="ar"/>
        </w:rPr>
        <w:t>+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T cell exhaust scores and tumor-specific scores.</w:t>
      </w:r>
    </w:p>
    <w:p w14:paraId="1C04E97E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both"/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(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D</w:t>
      </w: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) Box plot of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 xml:space="preserve"> CD8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vertAlign w:val="superscript"/>
          <w:lang w:val="en-US" w:eastAsia="zh-CN" w:bidi="ar"/>
        </w:rPr>
        <w:t>+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T cell tumor-specific scores in</w:t>
      </w: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 xml:space="preserve"> 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NSC</w:t>
      </w: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 xml:space="preserve">LC-COPD and 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NSC</w:t>
      </w: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LC-only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.</w:t>
      </w:r>
    </w:p>
    <w:p w14:paraId="2EE2020E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both"/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(E) UMAP show the number of clonotypes and clonal cells in each CD8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vertAlign w:val="superscript"/>
          <w:lang w:val="en-US" w:eastAsia="zh-CN" w:bidi="ar"/>
        </w:rPr>
        <w:t>+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 xml:space="preserve"> T-cell cluster. </w:t>
      </w:r>
    </w:p>
    <w:p w14:paraId="5C6E3D86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both"/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(F-G) UMAP show the number of clonotypes and clonal cells in tumor-specific CD8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vertAlign w:val="superscript"/>
          <w:lang w:val="en-US" w:eastAsia="zh-CN" w:bidi="ar"/>
        </w:rPr>
        <w:t>+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 xml:space="preserve"> T-cell cluster. </w:t>
      </w:r>
    </w:p>
    <w:p w14:paraId="02506849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both"/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* p &lt; 0.05, ** p &lt; 0.01, *** p &lt; 0.001, **** p &lt; 0.0001.</w:t>
      </w:r>
    </w:p>
    <w:p w14:paraId="4FA11F33">
      <w:pP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br w:type="page"/>
      </w:r>
    </w:p>
    <w:p w14:paraId="183219AD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both"/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</w:p>
    <w:p w14:paraId="65030AE7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both"/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</w:p>
    <w:p w14:paraId="092CB47D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center"/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</w:p>
    <w:p w14:paraId="31E5A4FC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center"/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drawing>
          <wp:inline distT="0" distB="0" distL="114300" distR="114300">
            <wp:extent cx="5259705" cy="4806950"/>
            <wp:effectExtent l="0" t="0" r="10795" b="6350"/>
            <wp:docPr id="2" name="图片 2" descr="20251209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1209-10"/>
                    <pic:cNvPicPr>
                      <a:picLocks noChangeAspect="1"/>
                    </pic:cNvPicPr>
                  </pic:nvPicPr>
                  <pic:blipFill>
                    <a:blip r:embed="rId8"/>
                    <a:srcRect l="578" t="3033" r="16877" b="4360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480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62EEFC2F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both"/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Figure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 xml:space="preserve"> S5 The gating strategy of CD8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vertAlign w:val="superscript"/>
          <w:lang w:val="en-US" w:eastAsia="zh-CN" w:bidi="ar"/>
        </w:rPr>
        <w:t xml:space="preserve">+ 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T cells in the flow cytometry experiments, related to Figure 5.</w:t>
      </w:r>
    </w:p>
    <w:p w14:paraId="19380A75">
      <w:pP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br w:type="page"/>
      </w:r>
    </w:p>
    <w:p w14:paraId="55C74819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both"/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</w:p>
    <w:p w14:paraId="71619E5A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both"/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</w:p>
    <w:p w14:paraId="707B9877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center"/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</w:p>
    <w:p w14:paraId="2BE452AC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center"/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</w:p>
    <w:p w14:paraId="36E22148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center"/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</w:p>
    <w:p w14:paraId="0AC86782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center"/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drawing>
          <wp:inline distT="0" distB="0" distL="114300" distR="114300">
            <wp:extent cx="5039995" cy="6485255"/>
            <wp:effectExtent l="0" t="0" r="1905" b="4445"/>
            <wp:docPr id="1" name="图片 1" descr="20251209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1209-12"/>
                    <pic:cNvPicPr>
                      <a:picLocks noChangeAspect="1"/>
                    </pic:cNvPicPr>
                  </pic:nvPicPr>
                  <pic:blipFill>
                    <a:blip r:embed="rId9"/>
                    <a:srcRect l="-48" t="2854" r="458" b="646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48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15450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both"/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Figure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 xml:space="preserve"> S6 Annotation and characteristics of tumor-specific CD8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vertAlign w:val="superscript"/>
          <w:lang w:val="en-US" w:eastAsia="zh-CN" w:bidi="ar"/>
        </w:rPr>
        <w:t xml:space="preserve">+ 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T cell clusters, related to Figure 6.</w:t>
      </w:r>
    </w:p>
    <w:p w14:paraId="72B75339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both"/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(A) Bubble plot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 xml:space="preserve"> of mean expression of main marker genes in tumor-specific CD8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vertAlign w:val="superscript"/>
          <w:lang w:val="en-US" w:eastAsia="zh-CN" w:bidi="ar"/>
        </w:rPr>
        <w:t xml:space="preserve">+ 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T cell subsets.</w:t>
      </w:r>
    </w:p>
    <w:p w14:paraId="4E99D7BA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both"/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(B) Alluvial plot showing the corresponding relation between functional annotations of tumor-specific CD8+ T cells and their general annotations in CD8</w:t>
      </w:r>
      <w:r>
        <w:rPr>
          <w:rFonts w:hint="default" w:ascii="Times New Roman" w:hAnsi="Times New Roman" w:eastAsia="等线" w:cs="Times New Roman"/>
          <w:kern w:val="2"/>
          <w:sz w:val="18"/>
          <w:szCs w:val="18"/>
          <w:vertAlign w:val="superscript"/>
          <w:lang w:val="en-US" w:eastAsia="zh-CN" w:bidi="ar"/>
        </w:rPr>
        <w:t>+</w:t>
      </w: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 xml:space="preserve"> T cells.</w:t>
      </w:r>
    </w:p>
    <w:p w14:paraId="0009A536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both"/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(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C</w:t>
      </w: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)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 xml:space="preserve"> Gene set enrichment analysis of exhaust cells’specific markers using the MSigDB, GO and KEGG database.</w:t>
      </w:r>
    </w:p>
    <w:p w14:paraId="3A73ADC0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both"/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(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D</w:t>
      </w: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) Differentially expressed genes in tumor specific CD8</w:t>
      </w:r>
      <w:r>
        <w:rPr>
          <w:rFonts w:hint="default" w:ascii="Times New Roman" w:hAnsi="Times New Roman" w:eastAsia="等线" w:cs="Times New Roman"/>
          <w:kern w:val="2"/>
          <w:sz w:val="18"/>
          <w:szCs w:val="18"/>
          <w:vertAlign w:val="superscript"/>
          <w:lang w:val="en-US" w:eastAsia="zh-CN" w:bidi="ar"/>
        </w:rPr>
        <w:t>+</w:t>
      </w: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 xml:space="preserve">T cells in lung cancer with COPD versus lung cancer without COPD, tumor samples versus NAT samples. </w:t>
      </w:r>
    </w:p>
    <w:p w14:paraId="4E7123DA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both"/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(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E</w:t>
      </w: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 xml:space="preserve">) Pseudotime plot showing expression of CD8_exhaust signatures and cytotoxicity in tumor-specific CD8+ T cells over the trajectory. </w:t>
      </w:r>
    </w:p>
    <w:p w14:paraId="4A0A2401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0" w:firstLineChars="0"/>
        <w:jc w:val="both"/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</w:pP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 xml:space="preserve">(F) </w:t>
      </w: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 xml:space="preserve">Correlation analysis of 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exhaust score and</w:t>
      </w: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 xml:space="preserve"> 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 xml:space="preserve">PDCD1 expression </w:t>
      </w: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 xml:space="preserve">with 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CXCL13 and CD82</w:t>
      </w: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 xml:space="preserve"> expression of 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tumor-specific CD8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vertAlign w:val="superscript"/>
          <w:lang w:val="en-US" w:eastAsia="zh-CN" w:bidi="ar"/>
        </w:rPr>
        <w:t>+</w:t>
      </w:r>
      <w:r>
        <w:rPr>
          <w:rFonts w:hint="eastAsia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 xml:space="preserve"> T cells</w:t>
      </w:r>
      <w:r>
        <w:rPr>
          <w:rFonts w:hint="default" w:ascii="Times New Roman" w:hAnsi="Times New Roman" w:eastAsia="等线" w:cs="Times New Roman"/>
          <w:kern w:val="2"/>
          <w:sz w:val="18"/>
          <w:szCs w:val="18"/>
          <w:lang w:val="en-US" w:eastAsia="zh-CN" w:bidi="ar"/>
        </w:rPr>
        <w:t>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B21317"/>
    <w:rsid w:val="06D02D12"/>
    <w:rsid w:val="11196AEA"/>
    <w:rsid w:val="136115E3"/>
    <w:rsid w:val="25D62DB0"/>
    <w:rsid w:val="2E650E8E"/>
    <w:rsid w:val="33B373BE"/>
    <w:rsid w:val="4E612C82"/>
    <w:rsid w:val="511B043F"/>
    <w:rsid w:val="5BE2708D"/>
    <w:rsid w:val="61223784"/>
    <w:rsid w:val="6D013DBC"/>
    <w:rsid w:val="708B4E0E"/>
    <w:rsid w:val="711937B8"/>
    <w:rsid w:val="7F8F5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等线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eastAsia" w:ascii="等线" w:hAnsi="等线" w:eastAsia="等线" w:cs="等线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565</Words>
  <Characters>3105</Characters>
  <Lines>0</Lines>
  <Paragraphs>0</Paragraphs>
  <TotalTime>5</TotalTime>
  <ScaleCrop>false</ScaleCrop>
  <LinksUpToDate>false</LinksUpToDate>
  <CharactersWithSpaces>3646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2025-02-11T15:07:00Z</dcterms:created>
  <dc:creator>94201</dc:creator>
  <cp:lastModifiedBy>澍</cp:lastModifiedBy>
  <dcterms:modified xsi:type="dcterms:W3CDTF">2026-04-09T06:30:52Z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eyJoZGlkIjoiNjYyNWJmZGQzMDNhMDg3OTk0ZjUwMGI4NTc4Yzk4MjEiLCJ1c2VySWQiOiI0Njg0MTI2ODAifQ==</vt:lpwstr>
  </property>
  <property fmtid="{D5CDD505-2E9C-101B-9397-08002B2CF9AE}" pid="4" name="ICV">
    <vt:lpwstr>1090176DDE7A40D3AE9B2CED3EDB5E15_12</vt:lpwstr>
  </property>
</Properties>
</file>