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520A" w:rsidRPr="00273C55" w:rsidRDefault="00AF520A" w:rsidP="00AF520A">
      <w:pPr>
        <w:widowControl w:val="0"/>
        <w:autoSpaceDE w:val="0"/>
        <w:autoSpaceDN w:val="0"/>
        <w:adjustRightInd w:val="0"/>
        <w:jc w:val="center"/>
        <w:rPr>
          <w:rFonts w:asciiTheme="majorHAnsi" w:hAnsiTheme="majorHAnsi" w:cs="Times New Roman"/>
          <w:b/>
          <w:bCs/>
          <w:color w:val="000000" w:themeColor="text1"/>
          <w:sz w:val="36"/>
          <w:szCs w:val="24"/>
        </w:rPr>
      </w:pPr>
      <w:bookmarkStart w:id="0" w:name="_Hlk127221572"/>
      <w:bookmarkEnd w:id="0"/>
      <w:r w:rsidRPr="00273C55">
        <w:rPr>
          <w:rFonts w:asciiTheme="majorHAnsi" w:hAnsiTheme="majorHAnsi" w:cs="Times New Roman"/>
          <w:b/>
          <w:bCs/>
          <w:color w:val="000000" w:themeColor="text1"/>
          <w:sz w:val="36"/>
          <w:szCs w:val="24"/>
        </w:rPr>
        <w:t>Supplementary Material</w:t>
      </w:r>
    </w:p>
    <w:p w:rsidR="00AF520A" w:rsidRDefault="00AF520A" w:rsidP="00AF520A">
      <w:pPr>
        <w:pStyle w:val="Heading1"/>
        <w:jc w:val="center"/>
        <w:rPr>
          <w:rFonts w:ascii="Arial" w:hAnsi="Arial" w:cs="Arial"/>
          <w:b/>
          <w:color w:val="000000" w:themeColor="text1"/>
          <w:sz w:val="22"/>
          <w:szCs w:val="22"/>
          <w:u w:val="single"/>
        </w:rPr>
      </w:pPr>
    </w:p>
    <w:p w:rsidR="00AF520A" w:rsidRPr="00AF520A" w:rsidRDefault="00AF520A" w:rsidP="00AF520A">
      <w:pPr>
        <w:pStyle w:val="Heading1"/>
        <w:jc w:val="center"/>
        <w:rPr>
          <w:rFonts w:ascii="Arial" w:hAnsi="Arial" w:cs="Arial"/>
          <w:b/>
          <w:color w:val="000000" w:themeColor="text1"/>
          <w:sz w:val="22"/>
          <w:szCs w:val="22"/>
        </w:rPr>
      </w:pPr>
      <w:r w:rsidRPr="00AF520A">
        <w:rPr>
          <w:rFonts w:ascii="Arial" w:hAnsi="Arial" w:cs="Arial"/>
          <w:b/>
          <w:color w:val="000000" w:themeColor="text1"/>
          <w:sz w:val="22"/>
          <w:szCs w:val="22"/>
        </w:rPr>
        <w:t>Oncogenic cell fate decision in breast epithelial cells I: growth factors and mechanisms</w:t>
      </w:r>
    </w:p>
    <w:p w:rsidR="00AF520A" w:rsidRPr="00A01B62" w:rsidRDefault="00AF520A" w:rsidP="00AF520A"/>
    <w:p w:rsidR="00AF520A" w:rsidRDefault="00AF520A" w:rsidP="00AF520A">
      <w:pPr>
        <w:jc w:val="center"/>
        <w:rPr>
          <w:rFonts w:ascii="Arial" w:hAnsi="Arial" w:cs="Arial"/>
          <w:color w:val="000000" w:themeColor="text1"/>
        </w:rPr>
      </w:pPr>
      <w:r w:rsidRPr="00D23AA6">
        <w:rPr>
          <w:rFonts w:ascii="Arial" w:hAnsi="Arial" w:cs="Arial"/>
          <w:color w:val="000000" w:themeColor="text1"/>
        </w:rPr>
        <w:t xml:space="preserve">Divya </w:t>
      </w:r>
      <w:proofErr w:type="spellStart"/>
      <w:r w:rsidRPr="00D23AA6">
        <w:rPr>
          <w:rFonts w:ascii="Arial" w:hAnsi="Arial" w:cs="Arial"/>
          <w:color w:val="000000" w:themeColor="text1"/>
        </w:rPr>
        <w:t>Murali</w:t>
      </w:r>
      <w:r w:rsidRPr="00A20E57">
        <w:rPr>
          <w:rFonts w:ascii="Arial" w:hAnsi="Arial" w:cs="Arial"/>
          <w:color w:val="000000" w:themeColor="text1"/>
          <w:vertAlign w:val="superscript"/>
        </w:rPr>
        <w:t>a</w:t>
      </w:r>
      <w:proofErr w:type="spellEnd"/>
      <w:r>
        <w:rPr>
          <w:rFonts w:ascii="Arial" w:hAnsi="Arial" w:cs="Arial"/>
          <w:color w:val="000000" w:themeColor="text1"/>
        </w:rPr>
        <w:t>*</w:t>
      </w:r>
      <w:r w:rsidRPr="00D23AA6">
        <w:rPr>
          <w:rFonts w:ascii="Arial" w:hAnsi="Arial" w:cs="Arial"/>
          <w:color w:val="000000" w:themeColor="text1"/>
        </w:rPr>
        <w:t xml:space="preserve">, Shakti </w:t>
      </w:r>
      <w:proofErr w:type="spellStart"/>
      <w:r w:rsidRPr="00D23AA6">
        <w:rPr>
          <w:rFonts w:ascii="Arial" w:hAnsi="Arial" w:cs="Arial"/>
          <w:color w:val="000000" w:themeColor="text1"/>
        </w:rPr>
        <w:t>Gupta</w:t>
      </w:r>
      <w:r w:rsidRPr="000E716C">
        <w:rPr>
          <w:rFonts w:ascii="Arial" w:hAnsi="Arial" w:cs="Arial"/>
          <w:color w:val="000000" w:themeColor="text1"/>
          <w:vertAlign w:val="superscript"/>
        </w:rPr>
        <w:t>a</w:t>
      </w:r>
      <w:proofErr w:type="spellEnd"/>
      <w:r>
        <w:rPr>
          <w:rFonts w:ascii="Arial" w:hAnsi="Arial" w:cs="Arial"/>
          <w:color w:val="000000" w:themeColor="text1"/>
        </w:rPr>
        <w:t>*</w:t>
      </w:r>
      <w:r w:rsidRPr="00D23AA6">
        <w:rPr>
          <w:rFonts w:ascii="Arial" w:hAnsi="Arial" w:cs="Arial"/>
          <w:color w:val="000000" w:themeColor="text1"/>
        </w:rPr>
        <w:t>, Shankar Subramaniam</w:t>
      </w:r>
      <w:r w:rsidRPr="00A20E57">
        <w:rPr>
          <w:rFonts w:ascii="Arial" w:hAnsi="Arial" w:cs="Arial"/>
          <w:color w:val="000000" w:themeColor="text1"/>
          <w:vertAlign w:val="superscript"/>
        </w:rPr>
        <w:t xml:space="preserve"> </w:t>
      </w:r>
      <w:r w:rsidRPr="000E716C">
        <w:rPr>
          <w:rFonts w:ascii="Arial" w:hAnsi="Arial" w:cs="Arial"/>
          <w:color w:val="000000" w:themeColor="text1"/>
          <w:vertAlign w:val="superscript"/>
        </w:rPr>
        <w:t>a</w:t>
      </w:r>
      <w:r>
        <w:rPr>
          <w:rFonts w:ascii="Arial" w:hAnsi="Arial" w:cs="Arial"/>
          <w:color w:val="000000" w:themeColor="text1"/>
          <w:vertAlign w:val="superscript"/>
        </w:rPr>
        <w:t>, b^</w:t>
      </w:r>
    </w:p>
    <w:p w:rsidR="00AF520A" w:rsidRDefault="00AF520A" w:rsidP="00AF520A">
      <w:pPr>
        <w:jc w:val="center"/>
      </w:pPr>
      <w:r w:rsidRPr="000E716C">
        <w:rPr>
          <w:rFonts w:ascii="Arial" w:hAnsi="Arial" w:cs="Arial"/>
          <w:color w:val="000000" w:themeColor="text1"/>
          <w:vertAlign w:val="superscript"/>
        </w:rPr>
        <w:t>a</w:t>
      </w:r>
      <w:r>
        <w:rPr>
          <w:rFonts w:ascii="Arial" w:hAnsi="Arial" w:cs="Arial"/>
          <w:color w:val="000000" w:themeColor="text1"/>
          <w:vertAlign w:val="superscript"/>
        </w:rPr>
        <w:t xml:space="preserve"> </w:t>
      </w:r>
      <w:r w:rsidRPr="00297963">
        <w:t xml:space="preserve">Department of Bioengineering, UC San Diego, </w:t>
      </w:r>
      <w:r w:rsidRPr="00A01B62">
        <w:rPr>
          <w:vertAlign w:val="superscript"/>
        </w:rPr>
        <w:t>b</w:t>
      </w:r>
      <w:r>
        <w:rPr>
          <w:vertAlign w:val="superscript"/>
        </w:rPr>
        <w:t xml:space="preserve"> </w:t>
      </w:r>
      <w:r>
        <w:t xml:space="preserve">Departments of Computer Science &amp; Engineering, Cellular &amp; Molecular Medicine, and Nanoengineering, UC San Diego. </w:t>
      </w:r>
    </w:p>
    <w:p w:rsidR="00AF520A" w:rsidRDefault="00AF520A" w:rsidP="00AF520A">
      <w:pPr>
        <w:jc w:val="center"/>
      </w:pPr>
      <w:r>
        <w:t>*Authors have contributed equally to this work</w:t>
      </w:r>
    </w:p>
    <w:p w:rsidR="00AF520A" w:rsidRPr="00C614E6" w:rsidRDefault="00AF520A" w:rsidP="00AF520A">
      <w:pPr>
        <w:jc w:val="center"/>
        <w:rPr>
          <w:rFonts w:ascii="Arial" w:hAnsi="Arial" w:cs="Arial"/>
          <w:color w:val="000000" w:themeColor="text1"/>
          <w:vertAlign w:val="superscript"/>
        </w:rPr>
      </w:pPr>
      <w:r>
        <w:t>^author to whom correspondence should be addressed at shankar@ucsd.edu</w:t>
      </w:r>
    </w:p>
    <w:p w:rsidR="00AF520A" w:rsidRDefault="00AF520A" w:rsidP="001F702E">
      <w:pPr>
        <w:rPr>
          <w:rFonts w:ascii="Arial" w:hAnsi="Arial" w:cs="Arial"/>
          <w:color w:val="000000" w:themeColor="text1"/>
        </w:rPr>
      </w:pPr>
      <w:bookmarkStart w:id="1" w:name="_GoBack"/>
      <w:bookmarkEnd w:id="1"/>
    </w:p>
    <w:p w:rsidR="001F702E" w:rsidRPr="00D23AA6" w:rsidRDefault="001F702E" w:rsidP="001F702E">
      <w:pPr>
        <w:rPr>
          <w:rFonts w:ascii="Arial" w:hAnsi="Arial" w:cs="Arial"/>
          <w:color w:val="000000" w:themeColor="text1"/>
        </w:rPr>
      </w:pPr>
      <w:r w:rsidRPr="00D23AA6">
        <w:rPr>
          <w:rFonts w:ascii="Arial" w:hAnsi="Arial" w:cs="Arial"/>
          <w:noProof/>
          <w:color w:val="000000" w:themeColor="text1"/>
        </w:rPr>
        <w:lastRenderedPageBreak/>
        <w:drawing>
          <wp:inline distT="0" distB="0" distL="0" distR="0" wp14:anchorId="18990308" wp14:editId="411618E2">
            <wp:extent cx="5067300" cy="648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67300" cy="6489700"/>
                    </a:xfrm>
                    <a:prstGeom prst="rect">
                      <a:avLst/>
                    </a:prstGeom>
                  </pic:spPr>
                </pic:pic>
              </a:graphicData>
            </a:graphic>
          </wp:inline>
        </w:drawing>
      </w:r>
    </w:p>
    <w:p w:rsidR="001F702E" w:rsidRPr="00D23AA6" w:rsidRDefault="001F702E" w:rsidP="001F702E">
      <w:pPr>
        <w:rPr>
          <w:rFonts w:ascii="Arial" w:hAnsi="Arial" w:cs="Arial"/>
          <w:color w:val="000000" w:themeColor="text1"/>
        </w:rPr>
      </w:pPr>
    </w:p>
    <w:p w:rsidR="001F702E" w:rsidRPr="00D23AA6" w:rsidRDefault="001F702E" w:rsidP="001F702E">
      <w:pPr>
        <w:rPr>
          <w:rFonts w:ascii="Arial" w:hAnsi="Arial" w:cs="Arial"/>
          <w:color w:val="000000" w:themeColor="text1"/>
        </w:rPr>
      </w:pPr>
      <w:r w:rsidRPr="00D23AA6">
        <w:rPr>
          <w:rFonts w:ascii="Arial" w:hAnsi="Arial" w:cs="Arial"/>
          <w:color w:val="000000" w:themeColor="text1"/>
        </w:rPr>
        <w:t>Fig.S1 Schematic representation of the experimental design and Bioinformatics pipeline.</w:t>
      </w:r>
    </w:p>
    <w:p w:rsidR="001F702E" w:rsidRPr="00D23AA6" w:rsidRDefault="001F702E" w:rsidP="001F702E">
      <w:pPr>
        <w:rPr>
          <w:rFonts w:ascii="Arial" w:hAnsi="Arial" w:cs="Arial"/>
          <w:color w:val="000000" w:themeColor="text1"/>
        </w:rPr>
      </w:pPr>
    </w:p>
    <w:p w:rsidR="001F702E" w:rsidRPr="00D23AA6" w:rsidRDefault="001F702E" w:rsidP="001F702E">
      <w:pPr>
        <w:rPr>
          <w:rFonts w:ascii="Arial" w:hAnsi="Arial" w:cs="Arial"/>
          <w:color w:val="000000" w:themeColor="text1"/>
        </w:rPr>
      </w:pPr>
      <w:r w:rsidRPr="00D23AA6">
        <w:rPr>
          <w:rFonts w:ascii="Arial" w:hAnsi="Arial" w:cs="Arial"/>
          <w:noProof/>
          <w:color w:val="000000" w:themeColor="text1"/>
        </w:rPr>
        <w:lastRenderedPageBreak/>
        <w:drawing>
          <wp:inline distT="0" distB="0" distL="0" distR="0" wp14:anchorId="07C55AD1" wp14:editId="3939A6B1">
            <wp:extent cx="1872762" cy="17731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8695" cy="1778765"/>
                    </a:xfrm>
                    <a:prstGeom prst="rect">
                      <a:avLst/>
                    </a:prstGeom>
                  </pic:spPr>
                </pic:pic>
              </a:graphicData>
            </a:graphic>
          </wp:inline>
        </w:drawing>
      </w:r>
    </w:p>
    <w:p w:rsidR="001F702E" w:rsidRPr="00D23AA6" w:rsidRDefault="001F702E" w:rsidP="001F702E">
      <w:pPr>
        <w:rPr>
          <w:rFonts w:ascii="Arial" w:hAnsi="Arial" w:cs="Arial"/>
          <w:color w:val="000000" w:themeColor="text1"/>
        </w:rPr>
      </w:pPr>
      <w:r w:rsidRPr="06589551">
        <w:rPr>
          <w:rFonts w:ascii="Arial" w:hAnsi="Arial" w:cs="Arial"/>
          <w:color w:val="000000" w:themeColor="text1"/>
        </w:rPr>
        <w:t xml:space="preserve">Fig.S2. Bar plots of number of differentially regulated genes (DEGs) from </w:t>
      </w:r>
      <w:proofErr w:type="spellStart"/>
      <w:r w:rsidRPr="06589551">
        <w:rPr>
          <w:rFonts w:ascii="Arial" w:hAnsi="Arial" w:cs="Arial"/>
          <w:color w:val="000000" w:themeColor="text1"/>
        </w:rPr>
        <w:t>RNAseq</w:t>
      </w:r>
      <w:proofErr w:type="spellEnd"/>
      <w:r w:rsidRPr="06589551">
        <w:rPr>
          <w:rFonts w:ascii="Arial" w:hAnsi="Arial" w:cs="Arial"/>
          <w:color w:val="000000" w:themeColor="text1"/>
        </w:rPr>
        <w:t xml:space="preserve"> measurement in EGF, HGF, and OSM treatments compared to PBS control at 24, and 48 hours. Green represents the number of downregulated genes and red represents the number of upregulated genes. </w:t>
      </w:r>
    </w:p>
    <w:p w:rsidR="001F702E" w:rsidRPr="00D23AA6" w:rsidRDefault="001F702E" w:rsidP="001F702E">
      <w:pPr>
        <w:rPr>
          <w:rFonts w:ascii="Arial" w:hAnsi="Arial" w:cs="Arial"/>
          <w:color w:val="000000" w:themeColor="text1"/>
        </w:rPr>
      </w:pPr>
    </w:p>
    <w:p w:rsidR="001F702E" w:rsidRPr="00D23AA6" w:rsidRDefault="001F702E" w:rsidP="001F702E">
      <w:pPr>
        <w:rPr>
          <w:rFonts w:ascii="Arial" w:hAnsi="Arial" w:cs="Arial"/>
          <w:color w:val="000000" w:themeColor="text1"/>
        </w:rPr>
      </w:pPr>
    </w:p>
    <w:p w:rsidR="001F702E" w:rsidRPr="00D23AA6" w:rsidRDefault="001F702E" w:rsidP="001F702E">
      <w:pPr>
        <w:rPr>
          <w:rFonts w:ascii="Arial" w:hAnsi="Arial" w:cs="Arial"/>
          <w:color w:val="000000" w:themeColor="text1"/>
        </w:rPr>
      </w:pPr>
      <w:r w:rsidRPr="00D23AA6">
        <w:rPr>
          <w:rFonts w:ascii="Arial" w:hAnsi="Arial" w:cs="Arial"/>
          <w:noProof/>
          <w:color w:val="000000" w:themeColor="text1"/>
        </w:rPr>
        <w:drawing>
          <wp:inline distT="0" distB="0" distL="0" distR="0" wp14:anchorId="73BCB8ED" wp14:editId="2A0F5A21">
            <wp:extent cx="6273800" cy="1384656"/>
            <wp:effectExtent l="0" t="0" r="0" b="0"/>
            <wp:docPr id="7" name="Picture 7"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diagram, design&#10;&#10;Description automatically generated"/>
                    <pic:cNvPicPr/>
                  </pic:nvPicPr>
                  <pic:blipFill rotWithShape="1">
                    <a:blip r:embed="rId6" cstate="print">
                      <a:extLst>
                        <a:ext uri="{28A0092B-C50C-407E-A947-70E740481C1C}">
                          <a14:useLocalDpi xmlns:a14="http://schemas.microsoft.com/office/drawing/2010/main" val="0"/>
                        </a:ext>
                      </a:extLst>
                    </a:blip>
                    <a:srcRect t="49052"/>
                    <a:stretch/>
                  </pic:blipFill>
                  <pic:spPr bwMode="auto">
                    <a:xfrm>
                      <a:off x="0" y="0"/>
                      <a:ext cx="6273800" cy="1384656"/>
                    </a:xfrm>
                    <a:prstGeom prst="rect">
                      <a:avLst/>
                    </a:prstGeom>
                    <a:ln>
                      <a:noFill/>
                    </a:ln>
                    <a:extLst>
                      <a:ext uri="{53640926-AAD7-44D8-BBD7-CCE9431645EC}">
                        <a14:shadowObscured xmlns:a14="http://schemas.microsoft.com/office/drawing/2010/main"/>
                      </a:ext>
                    </a:extLst>
                  </pic:spPr>
                </pic:pic>
              </a:graphicData>
            </a:graphic>
          </wp:inline>
        </w:drawing>
      </w:r>
    </w:p>
    <w:p w:rsidR="001F702E" w:rsidRPr="00D23AA6" w:rsidRDefault="001F702E" w:rsidP="001F702E">
      <w:pPr>
        <w:rPr>
          <w:rFonts w:ascii="Arial" w:hAnsi="Arial" w:cs="Arial"/>
          <w:color w:val="000000" w:themeColor="text1"/>
        </w:rPr>
      </w:pPr>
      <w:r w:rsidRPr="00D23AA6">
        <w:rPr>
          <w:rFonts w:ascii="Arial" w:hAnsi="Arial" w:cs="Arial"/>
          <w:color w:val="000000" w:themeColor="text1"/>
        </w:rPr>
        <w:t xml:space="preserve">Fig.S3. Pathway enrichment analysis of gene expression signatures using the GO-BP, Hallmark, and </w:t>
      </w:r>
      <w:proofErr w:type="spellStart"/>
      <w:r w:rsidRPr="00D23AA6">
        <w:rPr>
          <w:rFonts w:ascii="Arial" w:hAnsi="Arial" w:cs="Arial"/>
          <w:color w:val="000000" w:themeColor="text1"/>
        </w:rPr>
        <w:t>Reactome</w:t>
      </w:r>
      <w:proofErr w:type="spellEnd"/>
      <w:r w:rsidRPr="00D23AA6">
        <w:rPr>
          <w:rFonts w:ascii="Arial" w:hAnsi="Arial" w:cs="Arial"/>
          <w:color w:val="000000" w:themeColor="text1"/>
        </w:rPr>
        <w:t xml:space="preserve"> database for the EGF, HGF, and OSM treatments, respectively. Dot color represents the treatment at 24, and 48 hours. </w:t>
      </w:r>
    </w:p>
    <w:p w:rsidR="00F40841" w:rsidRDefault="00F40841"/>
    <w:sectPr w:rsidR="00F408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02E"/>
    <w:rsid w:val="001F702E"/>
    <w:rsid w:val="00AF520A"/>
    <w:rsid w:val="00F40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24084"/>
  <w15:chartTrackingRefBased/>
  <w15:docId w15:val="{77DE4B82-ECDA-407E-A4E6-776FDE13F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702E"/>
    <w:rPr>
      <w:rFonts w:ascii="Calibri" w:eastAsia="Calibri" w:hAnsi="Calibri" w:cs="Calibri"/>
    </w:rPr>
  </w:style>
  <w:style w:type="paragraph" w:styleId="Heading1">
    <w:name w:val="heading 1"/>
    <w:basedOn w:val="Normal"/>
    <w:next w:val="Normal"/>
    <w:link w:val="Heading1Char"/>
    <w:uiPriority w:val="9"/>
    <w:qFormat/>
    <w:rsid w:val="00AF52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F702E"/>
    <w:pPr>
      <w:spacing w:after="0" w:line="240" w:lineRule="auto"/>
    </w:pPr>
    <w:rPr>
      <w:rFonts w:ascii="Calibri" w:eastAsia="Calibri" w:hAnsi="Calibri" w:cs="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AF520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156</Words>
  <Characters>894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SDSC</Company>
  <LinksUpToDate>false</LinksUpToDate>
  <CharactersWithSpaces>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 Murali</dc:creator>
  <cp:keywords/>
  <dc:description/>
  <cp:lastModifiedBy>Divya Murali</cp:lastModifiedBy>
  <cp:revision>2</cp:revision>
  <dcterms:created xsi:type="dcterms:W3CDTF">2025-11-07T06:10:00Z</dcterms:created>
  <dcterms:modified xsi:type="dcterms:W3CDTF">2025-11-07T06:18:00Z</dcterms:modified>
</cp:coreProperties>
</file>