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58620" w14:textId="5C03BE73" w:rsidR="00790934" w:rsidRDefault="00D16AB4" w:rsidP="00790934">
      <w:pPr>
        <w:spacing w:before="120" w:after="120" w:line="480" w:lineRule="auto"/>
        <w:jc w:val="both"/>
      </w:pPr>
      <w:r w:rsidRPr="00D16AB4">
        <w:rPr>
          <w:b/>
          <w:bCs/>
        </w:rPr>
        <w:t>Table 1.</w:t>
      </w:r>
      <w:r>
        <w:rPr>
          <w:i/>
          <w:iCs/>
        </w:rPr>
        <w:t xml:space="preserve"> </w:t>
      </w:r>
      <w:r w:rsidR="00B1213A">
        <w:rPr>
          <w:i/>
          <w:iCs/>
        </w:rPr>
        <w:t>Low-Cost s</w:t>
      </w:r>
      <w:r w:rsidR="00790934">
        <w:rPr>
          <w:i/>
          <w:iCs/>
        </w:rPr>
        <w:t>imulator attributes</w:t>
      </w:r>
      <w:r w:rsidR="00580F66">
        <w:rPr>
          <w:i/>
          <w:iCs/>
        </w:rPr>
        <w:t xml:space="preserve"> and definitions</w:t>
      </w:r>
    </w:p>
    <w:tbl>
      <w:tblPr>
        <w:tblW w:w="0" w:type="auto"/>
        <w:tblBorders>
          <w:top w:val="outset" w:sz="6" w:space="0" w:color="FFFFFF"/>
          <w:left w:val="outset" w:sz="6" w:space="0" w:color="FFFFFF"/>
          <w:bottom w:val="outset" w:sz="6" w:space="0" w:color="FFFFFF"/>
          <w:right w:val="outset" w:sz="6" w:space="0" w:color="FFFFFF"/>
        </w:tblBorders>
        <w:tblCellMar>
          <w:top w:w="15" w:type="dxa"/>
          <w:left w:w="15" w:type="dxa"/>
          <w:bottom w:w="15" w:type="dxa"/>
          <w:right w:w="15" w:type="dxa"/>
        </w:tblCellMar>
        <w:tblLook w:val="04A0" w:firstRow="1" w:lastRow="0" w:firstColumn="1" w:lastColumn="0" w:noHBand="0" w:noVBand="1"/>
      </w:tblPr>
      <w:tblGrid>
        <w:gridCol w:w="2434"/>
        <w:gridCol w:w="6054"/>
      </w:tblGrid>
      <w:tr w:rsidR="00790934" w14:paraId="1C30C9C8" w14:textId="77777777" w:rsidTr="00741131">
        <w:trPr>
          <w:trHeight w:val="540"/>
        </w:trPr>
        <w:tc>
          <w:tcPr>
            <w:tcW w:w="2295" w:type="dxa"/>
            <w:tcBorders>
              <w:top w:val="single" w:sz="6" w:space="0" w:color="E0E0E0"/>
              <w:left w:val="single" w:sz="6" w:space="0" w:color="E0E0E0"/>
              <w:bottom w:val="single" w:sz="6" w:space="0" w:color="E0E0E0"/>
              <w:right w:val="single" w:sz="6" w:space="0" w:color="E0E0E0"/>
            </w:tcBorders>
            <w:tcMar>
              <w:top w:w="15" w:type="dxa"/>
              <w:left w:w="22" w:type="dxa"/>
              <w:bottom w:w="15" w:type="dxa"/>
              <w:right w:w="22" w:type="dxa"/>
            </w:tcMar>
            <w:hideMark/>
          </w:tcPr>
          <w:p w14:paraId="33077A34" w14:textId="77777777" w:rsidR="00790934" w:rsidRDefault="00790934" w:rsidP="00741131">
            <w:pPr>
              <w:spacing w:before="120" w:after="120" w:line="480" w:lineRule="auto"/>
              <w:rPr>
                <w:color w:val="000000"/>
              </w:rPr>
            </w:pPr>
            <w:r>
              <w:rPr>
                <w:b/>
                <w:bCs/>
                <w:color w:val="000000"/>
              </w:rPr>
              <w:t>Simulator attribute</w:t>
            </w:r>
          </w:p>
        </w:tc>
        <w:tc>
          <w:tcPr>
            <w:tcW w:w="2295" w:type="dxa"/>
            <w:tcBorders>
              <w:top w:val="single" w:sz="6" w:space="0" w:color="E0E0E0"/>
              <w:left w:val="single" w:sz="6" w:space="0" w:color="E0E0E0"/>
              <w:bottom w:val="single" w:sz="6" w:space="0" w:color="E0E0E0"/>
              <w:right w:val="single" w:sz="6" w:space="0" w:color="E0E0E0"/>
            </w:tcBorders>
            <w:tcMar>
              <w:top w:w="15" w:type="dxa"/>
              <w:left w:w="22" w:type="dxa"/>
              <w:bottom w:w="15" w:type="dxa"/>
              <w:right w:w="22" w:type="dxa"/>
            </w:tcMar>
            <w:hideMark/>
          </w:tcPr>
          <w:p w14:paraId="40E7EB0B" w14:textId="77777777" w:rsidR="00790934" w:rsidRDefault="00790934" w:rsidP="00741131">
            <w:pPr>
              <w:spacing w:before="120" w:after="120" w:line="480" w:lineRule="auto"/>
              <w:rPr>
                <w:color w:val="000000"/>
              </w:rPr>
            </w:pPr>
            <w:r>
              <w:rPr>
                <w:b/>
                <w:bCs/>
                <w:color w:val="000000"/>
              </w:rPr>
              <w:t>Definition</w:t>
            </w:r>
          </w:p>
        </w:tc>
      </w:tr>
      <w:tr w:rsidR="00790934" w14:paraId="24D6BCCE" w14:textId="77777777" w:rsidTr="00741131">
        <w:trPr>
          <w:trHeight w:val="540"/>
        </w:trPr>
        <w:tc>
          <w:tcPr>
            <w:tcW w:w="0" w:type="auto"/>
            <w:tcBorders>
              <w:left w:val="single" w:sz="6" w:space="0" w:color="E0E0E0"/>
              <w:bottom w:val="single" w:sz="6" w:space="0" w:color="E0E0E0"/>
              <w:right w:val="single" w:sz="6" w:space="0" w:color="E0E0E0"/>
            </w:tcBorders>
            <w:tcMar>
              <w:top w:w="15" w:type="dxa"/>
              <w:left w:w="22" w:type="dxa"/>
              <w:bottom w:w="15" w:type="dxa"/>
              <w:right w:w="22" w:type="dxa"/>
            </w:tcMar>
            <w:hideMark/>
          </w:tcPr>
          <w:p w14:paraId="16B9CDC2" w14:textId="77777777" w:rsidR="00790934" w:rsidRDefault="00790934" w:rsidP="00741131">
            <w:pPr>
              <w:spacing w:before="120" w:after="120" w:line="480" w:lineRule="auto"/>
              <w:rPr>
                <w:color w:val="000000"/>
              </w:rPr>
            </w:pPr>
            <w:r>
              <w:rPr>
                <w:b/>
                <w:bCs/>
                <w:color w:val="000000"/>
              </w:rPr>
              <w:t>Affordability (SA1)</w:t>
            </w:r>
          </w:p>
        </w:tc>
        <w:tc>
          <w:tcPr>
            <w:tcW w:w="0" w:type="auto"/>
            <w:tcBorders>
              <w:left w:val="single" w:sz="6" w:space="0" w:color="E0E0E0"/>
              <w:bottom w:val="single" w:sz="6" w:space="0" w:color="E0E0E0"/>
              <w:right w:val="single" w:sz="6" w:space="0" w:color="E0E0E0"/>
            </w:tcBorders>
            <w:tcMar>
              <w:top w:w="15" w:type="dxa"/>
              <w:left w:w="22" w:type="dxa"/>
              <w:bottom w:w="15" w:type="dxa"/>
              <w:right w:w="22" w:type="dxa"/>
            </w:tcMar>
            <w:hideMark/>
          </w:tcPr>
          <w:p w14:paraId="7117459E" w14:textId="77777777" w:rsidR="00790934" w:rsidRDefault="00790934" w:rsidP="00741131">
            <w:pPr>
              <w:spacing w:line="480" w:lineRule="auto"/>
              <w:rPr>
                <w:color w:val="000000"/>
              </w:rPr>
            </w:pPr>
            <w:r>
              <w:rPr>
                <w:color w:val="000000"/>
              </w:rPr>
              <w:t>The extent to which the simulator can be developed or acquired at a cost lower than that of comparable commercial models, given local resource limitations and budget capacity. Affordability reflects not only purchase or construction cost but also economic feasibility for sustained educational use.</w:t>
            </w:r>
          </w:p>
        </w:tc>
      </w:tr>
      <w:tr w:rsidR="00790934" w14:paraId="435429A2" w14:textId="77777777" w:rsidTr="00741131">
        <w:trPr>
          <w:trHeight w:val="540"/>
        </w:trPr>
        <w:tc>
          <w:tcPr>
            <w:tcW w:w="0" w:type="auto"/>
            <w:tcBorders>
              <w:left w:val="single" w:sz="6" w:space="0" w:color="E0E0E0"/>
              <w:bottom w:val="single" w:sz="6" w:space="0" w:color="E0E0E0"/>
              <w:right w:val="single" w:sz="6" w:space="0" w:color="E0E0E0"/>
            </w:tcBorders>
            <w:tcMar>
              <w:top w:w="15" w:type="dxa"/>
              <w:left w:w="22" w:type="dxa"/>
              <w:bottom w:w="15" w:type="dxa"/>
              <w:right w:w="22" w:type="dxa"/>
            </w:tcMar>
            <w:hideMark/>
          </w:tcPr>
          <w:p w14:paraId="5D15EECB" w14:textId="77777777" w:rsidR="00790934" w:rsidRDefault="00790934" w:rsidP="00741131">
            <w:pPr>
              <w:spacing w:before="120" w:after="120" w:line="480" w:lineRule="auto"/>
              <w:rPr>
                <w:color w:val="000000"/>
              </w:rPr>
            </w:pPr>
            <w:r>
              <w:rPr>
                <w:b/>
                <w:bCs/>
                <w:color w:val="000000"/>
              </w:rPr>
              <w:t>Access feasibility (SA2)</w:t>
            </w:r>
          </w:p>
        </w:tc>
        <w:tc>
          <w:tcPr>
            <w:tcW w:w="0" w:type="auto"/>
            <w:tcBorders>
              <w:left w:val="single" w:sz="6" w:space="0" w:color="E0E0E0"/>
              <w:bottom w:val="single" w:sz="6" w:space="0" w:color="E0E0E0"/>
              <w:right w:val="single" w:sz="6" w:space="0" w:color="E0E0E0"/>
            </w:tcBorders>
            <w:tcMar>
              <w:top w:w="15" w:type="dxa"/>
              <w:left w:w="22" w:type="dxa"/>
              <w:bottom w:w="15" w:type="dxa"/>
              <w:right w:w="22" w:type="dxa"/>
            </w:tcMar>
            <w:hideMark/>
          </w:tcPr>
          <w:p w14:paraId="2D76D849" w14:textId="77777777" w:rsidR="00790934" w:rsidRDefault="00790934" w:rsidP="00741131">
            <w:pPr>
              <w:spacing w:line="480" w:lineRule="auto"/>
              <w:rPr>
                <w:color w:val="000000"/>
              </w:rPr>
            </w:pPr>
            <w:r>
              <w:rPr>
                <w:color w:val="000000"/>
              </w:rPr>
              <w:t>The degree to which the simulator can be obtained, deployed, and used in settings facing resource inequities, limited availability of commercial models, or restricted access to simulation infrastructure. Access feasibility includes practical availability, distribution, and suitability for diverse educational contexts.</w:t>
            </w:r>
          </w:p>
        </w:tc>
      </w:tr>
      <w:tr w:rsidR="00790934" w14:paraId="3C1F047C" w14:textId="77777777" w:rsidTr="00741131">
        <w:trPr>
          <w:trHeight w:val="540"/>
        </w:trPr>
        <w:tc>
          <w:tcPr>
            <w:tcW w:w="0" w:type="auto"/>
            <w:tcBorders>
              <w:left w:val="single" w:sz="6" w:space="0" w:color="E0E0E0"/>
              <w:bottom w:val="single" w:sz="6" w:space="0" w:color="E0E0E0"/>
              <w:right w:val="single" w:sz="6" w:space="0" w:color="E0E0E0"/>
            </w:tcBorders>
            <w:tcMar>
              <w:top w:w="15" w:type="dxa"/>
              <w:left w:w="22" w:type="dxa"/>
              <w:bottom w:w="15" w:type="dxa"/>
              <w:right w:w="22" w:type="dxa"/>
            </w:tcMar>
            <w:hideMark/>
          </w:tcPr>
          <w:p w14:paraId="0ECDFFC6" w14:textId="77777777" w:rsidR="00790934" w:rsidRDefault="00790934" w:rsidP="00741131">
            <w:pPr>
              <w:spacing w:before="120" w:after="120" w:line="480" w:lineRule="auto"/>
              <w:rPr>
                <w:color w:val="000000"/>
              </w:rPr>
            </w:pPr>
            <w:r>
              <w:rPr>
                <w:b/>
                <w:bCs/>
                <w:color w:val="000000"/>
              </w:rPr>
              <w:t>Sustainability capacity (SA3)</w:t>
            </w:r>
          </w:p>
        </w:tc>
        <w:tc>
          <w:tcPr>
            <w:tcW w:w="0" w:type="auto"/>
            <w:tcBorders>
              <w:left w:val="single" w:sz="6" w:space="0" w:color="E0E0E0"/>
              <w:bottom w:val="single" w:sz="6" w:space="0" w:color="E0E0E0"/>
              <w:right w:val="single" w:sz="6" w:space="0" w:color="E0E0E0"/>
            </w:tcBorders>
            <w:tcMar>
              <w:top w:w="15" w:type="dxa"/>
              <w:left w:w="22" w:type="dxa"/>
              <w:bottom w:w="15" w:type="dxa"/>
              <w:right w:w="22" w:type="dxa"/>
            </w:tcMar>
            <w:hideMark/>
          </w:tcPr>
          <w:p w14:paraId="0FDA1331" w14:textId="77777777" w:rsidR="00790934" w:rsidRDefault="00790934" w:rsidP="00741131">
            <w:pPr>
              <w:spacing w:line="480" w:lineRule="auto"/>
              <w:rPr>
                <w:color w:val="000000"/>
              </w:rPr>
            </w:pPr>
            <w:r>
              <w:rPr>
                <w:color w:val="000000"/>
              </w:rPr>
              <w:t>The extent to which the simulator supports resource efficiency and environmentally responsible use through durability, reduced waste, potential component reuse, repairability, and reduced reliance on consumables, thereby contributing to the long-term viability of simulation activities.</w:t>
            </w:r>
          </w:p>
        </w:tc>
      </w:tr>
      <w:tr w:rsidR="00790934" w14:paraId="56049042" w14:textId="77777777" w:rsidTr="00741131">
        <w:trPr>
          <w:trHeight w:val="540"/>
        </w:trPr>
        <w:tc>
          <w:tcPr>
            <w:tcW w:w="0" w:type="auto"/>
            <w:tcBorders>
              <w:left w:val="single" w:sz="6" w:space="0" w:color="E0E0E0"/>
              <w:bottom w:val="single" w:sz="6" w:space="0" w:color="E0E0E0"/>
              <w:right w:val="single" w:sz="6" w:space="0" w:color="E0E0E0"/>
            </w:tcBorders>
            <w:tcMar>
              <w:top w:w="15" w:type="dxa"/>
              <w:left w:w="22" w:type="dxa"/>
              <w:bottom w:w="15" w:type="dxa"/>
              <w:right w:w="22" w:type="dxa"/>
            </w:tcMar>
            <w:hideMark/>
          </w:tcPr>
          <w:p w14:paraId="0CFBE00B" w14:textId="77777777" w:rsidR="00790934" w:rsidRDefault="00790934" w:rsidP="00741131">
            <w:pPr>
              <w:spacing w:before="120" w:after="120" w:line="480" w:lineRule="auto"/>
              <w:rPr>
                <w:color w:val="000000"/>
              </w:rPr>
            </w:pPr>
            <w:r>
              <w:rPr>
                <w:b/>
                <w:bCs/>
                <w:color w:val="000000"/>
              </w:rPr>
              <w:t>Manufacturability and assembly feasibility (SA4)</w:t>
            </w:r>
          </w:p>
        </w:tc>
        <w:tc>
          <w:tcPr>
            <w:tcW w:w="0" w:type="auto"/>
            <w:tcBorders>
              <w:left w:val="single" w:sz="6" w:space="0" w:color="E0E0E0"/>
              <w:bottom w:val="single" w:sz="6" w:space="0" w:color="E0E0E0"/>
              <w:right w:val="single" w:sz="6" w:space="0" w:color="E0E0E0"/>
            </w:tcBorders>
            <w:tcMar>
              <w:top w:w="15" w:type="dxa"/>
              <w:left w:w="22" w:type="dxa"/>
              <w:bottom w:w="15" w:type="dxa"/>
              <w:right w:w="22" w:type="dxa"/>
            </w:tcMar>
            <w:hideMark/>
          </w:tcPr>
          <w:p w14:paraId="35CEB50D" w14:textId="77777777" w:rsidR="00790934" w:rsidRDefault="00790934" w:rsidP="00741131">
            <w:pPr>
              <w:spacing w:line="480" w:lineRule="auto"/>
              <w:rPr>
                <w:color w:val="000000"/>
              </w:rPr>
            </w:pPr>
            <w:r>
              <w:rPr>
                <w:color w:val="000000"/>
              </w:rPr>
              <w:t>The extent to which the simulator can be produced and assembled using accessible tools, materials, and procedures, with limited technical expertise, enabling local fabrication, rapid setup, and consistent deployment in educational settings.</w:t>
            </w:r>
          </w:p>
        </w:tc>
      </w:tr>
      <w:tr w:rsidR="00790934" w14:paraId="7747C6B6" w14:textId="77777777" w:rsidTr="00741131">
        <w:trPr>
          <w:trHeight w:val="540"/>
        </w:trPr>
        <w:tc>
          <w:tcPr>
            <w:tcW w:w="0" w:type="auto"/>
            <w:tcBorders>
              <w:left w:val="single" w:sz="6" w:space="0" w:color="E0E0E0"/>
              <w:bottom w:val="single" w:sz="6" w:space="0" w:color="E0E0E0"/>
              <w:right w:val="single" w:sz="6" w:space="0" w:color="E0E0E0"/>
            </w:tcBorders>
            <w:tcMar>
              <w:top w:w="15" w:type="dxa"/>
              <w:left w:w="22" w:type="dxa"/>
              <w:bottom w:w="15" w:type="dxa"/>
              <w:right w:w="22" w:type="dxa"/>
            </w:tcMar>
            <w:hideMark/>
          </w:tcPr>
          <w:p w14:paraId="081F1A55" w14:textId="77777777" w:rsidR="00790934" w:rsidRDefault="00790934" w:rsidP="00741131">
            <w:pPr>
              <w:spacing w:before="120" w:after="120" w:line="480" w:lineRule="auto"/>
              <w:rPr>
                <w:color w:val="000000"/>
              </w:rPr>
            </w:pPr>
            <w:r>
              <w:rPr>
                <w:b/>
                <w:bCs/>
                <w:color w:val="000000"/>
              </w:rPr>
              <w:t>Portability (SA5)</w:t>
            </w:r>
          </w:p>
        </w:tc>
        <w:tc>
          <w:tcPr>
            <w:tcW w:w="0" w:type="auto"/>
            <w:tcBorders>
              <w:left w:val="single" w:sz="6" w:space="0" w:color="E0E0E0"/>
              <w:bottom w:val="single" w:sz="6" w:space="0" w:color="E0E0E0"/>
              <w:right w:val="single" w:sz="6" w:space="0" w:color="E0E0E0"/>
            </w:tcBorders>
            <w:tcMar>
              <w:top w:w="15" w:type="dxa"/>
              <w:left w:w="22" w:type="dxa"/>
              <w:bottom w:w="15" w:type="dxa"/>
              <w:right w:w="22" w:type="dxa"/>
            </w:tcMar>
            <w:hideMark/>
          </w:tcPr>
          <w:p w14:paraId="2C41E700" w14:textId="77777777" w:rsidR="00790934" w:rsidRDefault="00790934" w:rsidP="00741131">
            <w:pPr>
              <w:spacing w:line="480" w:lineRule="auto"/>
              <w:rPr>
                <w:color w:val="000000"/>
              </w:rPr>
            </w:pPr>
            <w:r>
              <w:rPr>
                <w:color w:val="000000"/>
              </w:rPr>
              <w:t xml:space="preserve">The extent to which the simulator can be transported, stored, and moved between learning environments with minimal </w:t>
            </w:r>
            <w:r>
              <w:rPr>
                <w:color w:val="000000"/>
              </w:rPr>
              <w:lastRenderedPageBreak/>
              <w:t>effort, supporting decentralized or multisite simulation delivery.</w:t>
            </w:r>
          </w:p>
        </w:tc>
      </w:tr>
      <w:tr w:rsidR="00790934" w14:paraId="6007C0BD" w14:textId="77777777" w:rsidTr="00741131">
        <w:trPr>
          <w:trHeight w:val="540"/>
        </w:trPr>
        <w:tc>
          <w:tcPr>
            <w:tcW w:w="0" w:type="auto"/>
            <w:tcBorders>
              <w:left w:val="single" w:sz="6" w:space="0" w:color="E0E0E0"/>
              <w:bottom w:val="single" w:sz="6" w:space="0" w:color="E0E0E0"/>
              <w:right w:val="single" w:sz="6" w:space="0" w:color="E0E0E0"/>
            </w:tcBorders>
            <w:tcMar>
              <w:top w:w="15" w:type="dxa"/>
              <w:left w:w="22" w:type="dxa"/>
              <w:bottom w:w="15" w:type="dxa"/>
              <w:right w:w="22" w:type="dxa"/>
            </w:tcMar>
            <w:hideMark/>
          </w:tcPr>
          <w:p w14:paraId="179F1A8C" w14:textId="77777777" w:rsidR="00790934" w:rsidRDefault="00790934" w:rsidP="00741131">
            <w:pPr>
              <w:spacing w:before="120" w:after="120" w:line="480" w:lineRule="auto"/>
              <w:rPr>
                <w:color w:val="000000"/>
              </w:rPr>
            </w:pPr>
            <w:r>
              <w:rPr>
                <w:b/>
                <w:bCs/>
                <w:color w:val="000000"/>
              </w:rPr>
              <w:lastRenderedPageBreak/>
              <w:t>Purpose-appropriate Fidelity (SA6)</w:t>
            </w:r>
          </w:p>
        </w:tc>
        <w:tc>
          <w:tcPr>
            <w:tcW w:w="0" w:type="auto"/>
            <w:tcBorders>
              <w:left w:val="single" w:sz="6" w:space="0" w:color="E0E0E0"/>
              <w:bottom w:val="single" w:sz="6" w:space="0" w:color="E0E0E0"/>
              <w:right w:val="single" w:sz="6" w:space="0" w:color="E0E0E0"/>
            </w:tcBorders>
            <w:tcMar>
              <w:top w:w="15" w:type="dxa"/>
              <w:left w:w="22" w:type="dxa"/>
              <w:bottom w:w="15" w:type="dxa"/>
              <w:right w:w="22" w:type="dxa"/>
            </w:tcMar>
            <w:hideMark/>
          </w:tcPr>
          <w:p w14:paraId="4DCA2C06" w14:textId="77777777" w:rsidR="00790934" w:rsidRDefault="00790934" w:rsidP="00741131">
            <w:pPr>
              <w:spacing w:line="480" w:lineRule="auto"/>
              <w:rPr>
                <w:color w:val="000000"/>
              </w:rPr>
            </w:pPr>
            <w:r>
              <w:rPr>
                <w:color w:val="000000"/>
              </w:rPr>
              <w:t>The degree to which the simulator's functional performance and learner interaction approximate relevant clinical practice in a manner aligned with learning objectives. Fidelity is conceptualized as fit-for-purpose rather than inherently determined by technological sophistication.</w:t>
            </w:r>
          </w:p>
        </w:tc>
      </w:tr>
      <w:tr w:rsidR="00790934" w14:paraId="451E8C79" w14:textId="77777777" w:rsidTr="00741131">
        <w:trPr>
          <w:trHeight w:val="540"/>
        </w:trPr>
        <w:tc>
          <w:tcPr>
            <w:tcW w:w="0" w:type="auto"/>
            <w:tcBorders>
              <w:left w:val="single" w:sz="6" w:space="0" w:color="E0E0E0"/>
              <w:bottom w:val="single" w:sz="6" w:space="0" w:color="E0E0E0"/>
              <w:right w:val="single" w:sz="6" w:space="0" w:color="E0E0E0"/>
            </w:tcBorders>
            <w:tcMar>
              <w:top w:w="15" w:type="dxa"/>
              <w:left w:w="22" w:type="dxa"/>
              <w:bottom w:w="15" w:type="dxa"/>
              <w:right w:w="22" w:type="dxa"/>
            </w:tcMar>
            <w:hideMark/>
          </w:tcPr>
          <w:p w14:paraId="2479F558" w14:textId="77777777" w:rsidR="00790934" w:rsidRDefault="00790934" w:rsidP="00741131">
            <w:pPr>
              <w:spacing w:before="120" w:after="120" w:line="480" w:lineRule="auto"/>
              <w:rPr>
                <w:color w:val="000000"/>
              </w:rPr>
            </w:pPr>
            <w:r>
              <w:rPr>
                <w:b/>
                <w:bCs/>
                <w:color w:val="000000"/>
              </w:rPr>
              <w:t>Enabling technology integration (SA7)</w:t>
            </w:r>
          </w:p>
        </w:tc>
        <w:tc>
          <w:tcPr>
            <w:tcW w:w="0" w:type="auto"/>
            <w:tcBorders>
              <w:left w:val="single" w:sz="6" w:space="0" w:color="E0E0E0"/>
              <w:bottom w:val="single" w:sz="6" w:space="0" w:color="E0E0E0"/>
              <w:right w:val="single" w:sz="6" w:space="0" w:color="E0E0E0"/>
            </w:tcBorders>
            <w:tcMar>
              <w:top w:w="15" w:type="dxa"/>
              <w:left w:w="22" w:type="dxa"/>
              <w:bottom w:w="15" w:type="dxa"/>
              <w:right w:w="22" w:type="dxa"/>
            </w:tcMar>
            <w:hideMark/>
          </w:tcPr>
          <w:p w14:paraId="75C5ECE9" w14:textId="77777777" w:rsidR="00790934" w:rsidRDefault="00790934" w:rsidP="00741131">
            <w:pPr>
              <w:spacing w:line="480" w:lineRule="auto"/>
              <w:rPr>
                <w:color w:val="000000"/>
              </w:rPr>
            </w:pPr>
            <w:r>
              <w:rPr>
                <w:color w:val="000000"/>
              </w:rPr>
              <w:t>The extent to which the simulator incorporates technological features that support functional performance, interactivity, feedback, and educational alignment. This attribute captures technological integration to enhance learning function, not as an indicator of superiority per se.</w:t>
            </w:r>
          </w:p>
        </w:tc>
      </w:tr>
      <w:tr w:rsidR="00790934" w14:paraId="3853285B" w14:textId="77777777" w:rsidTr="00741131">
        <w:trPr>
          <w:trHeight w:val="540"/>
        </w:trPr>
        <w:tc>
          <w:tcPr>
            <w:tcW w:w="0" w:type="auto"/>
            <w:tcBorders>
              <w:left w:val="single" w:sz="6" w:space="0" w:color="E0E0E0"/>
              <w:bottom w:val="single" w:sz="6" w:space="0" w:color="E0E0E0"/>
              <w:right w:val="single" w:sz="6" w:space="0" w:color="E0E0E0"/>
            </w:tcBorders>
            <w:tcMar>
              <w:top w:w="15" w:type="dxa"/>
              <w:left w:w="22" w:type="dxa"/>
              <w:bottom w:w="15" w:type="dxa"/>
              <w:right w:w="22" w:type="dxa"/>
            </w:tcMar>
            <w:hideMark/>
          </w:tcPr>
          <w:p w14:paraId="3FFFD21A" w14:textId="77777777" w:rsidR="00790934" w:rsidRDefault="00790934" w:rsidP="00741131">
            <w:pPr>
              <w:spacing w:before="120" w:after="120" w:line="480" w:lineRule="auto"/>
              <w:rPr>
                <w:color w:val="000000"/>
              </w:rPr>
            </w:pPr>
            <w:r>
              <w:rPr>
                <w:b/>
                <w:bCs/>
                <w:color w:val="000000"/>
              </w:rPr>
              <w:t>Replicability and consistency (SA8)</w:t>
            </w:r>
          </w:p>
        </w:tc>
        <w:tc>
          <w:tcPr>
            <w:tcW w:w="0" w:type="auto"/>
            <w:tcBorders>
              <w:left w:val="single" w:sz="6" w:space="0" w:color="E0E0E0"/>
              <w:bottom w:val="single" w:sz="6" w:space="0" w:color="E0E0E0"/>
              <w:right w:val="single" w:sz="6" w:space="0" w:color="E0E0E0"/>
            </w:tcBorders>
            <w:tcMar>
              <w:top w:w="15" w:type="dxa"/>
              <w:left w:w="22" w:type="dxa"/>
              <w:bottom w:w="15" w:type="dxa"/>
              <w:right w:w="22" w:type="dxa"/>
            </w:tcMar>
            <w:hideMark/>
          </w:tcPr>
          <w:p w14:paraId="542C089C" w14:textId="77777777" w:rsidR="00790934" w:rsidRDefault="00790934" w:rsidP="00741131">
            <w:pPr>
              <w:spacing w:line="480" w:lineRule="auto"/>
              <w:rPr>
                <w:color w:val="000000"/>
              </w:rPr>
            </w:pPr>
            <w:r>
              <w:rPr>
                <w:color w:val="000000"/>
              </w:rPr>
              <w:t>The extent to which the simulator can be reproduced and used repeatedly with consistent performance across learners, sessions, and contexts, supporting standardization, reliability of training exposure, and scalability of implementation.</w:t>
            </w:r>
          </w:p>
        </w:tc>
      </w:tr>
      <w:tr w:rsidR="00790934" w14:paraId="79FCAFF9" w14:textId="77777777" w:rsidTr="00741131">
        <w:trPr>
          <w:trHeight w:val="540"/>
        </w:trPr>
        <w:tc>
          <w:tcPr>
            <w:tcW w:w="0" w:type="auto"/>
            <w:tcBorders>
              <w:left w:val="single" w:sz="6" w:space="0" w:color="E0E0E0"/>
              <w:bottom w:val="single" w:sz="6" w:space="0" w:color="E0E0E0"/>
              <w:right w:val="single" w:sz="6" w:space="0" w:color="E0E0E0"/>
            </w:tcBorders>
            <w:tcMar>
              <w:top w:w="15" w:type="dxa"/>
              <w:left w:w="22" w:type="dxa"/>
              <w:bottom w:w="15" w:type="dxa"/>
              <w:right w:w="22" w:type="dxa"/>
            </w:tcMar>
            <w:hideMark/>
          </w:tcPr>
          <w:p w14:paraId="6940032C" w14:textId="77777777" w:rsidR="00790934" w:rsidRDefault="00790934" w:rsidP="00741131">
            <w:pPr>
              <w:spacing w:before="120" w:after="120" w:line="480" w:lineRule="auto"/>
              <w:rPr>
                <w:color w:val="000000"/>
              </w:rPr>
            </w:pPr>
            <w:r>
              <w:rPr>
                <w:b/>
                <w:bCs/>
                <w:color w:val="000000"/>
              </w:rPr>
              <w:t>Versatility (SA9)</w:t>
            </w:r>
          </w:p>
        </w:tc>
        <w:tc>
          <w:tcPr>
            <w:tcW w:w="0" w:type="auto"/>
            <w:tcBorders>
              <w:left w:val="single" w:sz="6" w:space="0" w:color="E0E0E0"/>
              <w:bottom w:val="single" w:sz="6" w:space="0" w:color="E0E0E0"/>
              <w:right w:val="single" w:sz="6" w:space="0" w:color="E0E0E0"/>
            </w:tcBorders>
            <w:tcMar>
              <w:top w:w="15" w:type="dxa"/>
              <w:left w:w="22" w:type="dxa"/>
              <w:bottom w:w="15" w:type="dxa"/>
              <w:right w:w="22" w:type="dxa"/>
            </w:tcMar>
            <w:hideMark/>
          </w:tcPr>
          <w:p w14:paraId="57C6A033" w14:textId="77777777" w:rsidR="00790934" w:rsidRDefault="00790934" w:rsidP="00741131">
            <w:pPr>
              <w:spacing w:line="480" w:lineRule="auto"/>
              <w:rPr>
                <w:color w:val="000000"/>
              </w:rPr>
            </w:pPr>
            <w:r>
              <w:rPr>
                <w:color w:val="000000"/>
              </w:rPr>
              <w:t>The extent to which the simulator can support multiple skills, scenarios, learner groups, and educational purposes, including adaptability across different training environments and competency targets.</w:t>
            </w:r>
          </w:p>
        </w:tc>
      </w:tr>
      <w:tr w:rsidR="00790934" w14:paraId="0A604309" w14:textId="77777777" w:rsidTr="00741131">
        <w:trPr>
          <w:trHeight w:val="540"/>
        </w:trPr>
        <w:tc>
          <w:tcPr>
            <w:tcW w:w="0" w:type="auto"/>
            <w:tcBorders>
              <w:left w:val="single" w:sz="6" w:space="0" w:color="E0E0E0"/>
              <w:bottom w:val="single" w:sz="6" w:space="0" w:color="E0E0E0"/>
              <w:right w:val="single" w:sz="6" w:space="0" w:color="E0E0E0"/>
            </w:tcBorders>
            <w:tcMar>
              <w:top w:w="15" w:type="dxa"/>
              <w:left w:w="22" w:type="dxa"/>
              <w:bottom w:w="15" w:type="dxa"/>
              <w:right w:w="22" w:type="dxa"/>
            </w:tcMar>
            <w:hideMark/>
          </w:tcPr>
          <w:p w14:paraId="6DF7CF6D" w14:textId="77777777" w:rsidR="00790934" w:rsidRDefault="00790934" w:rsidP="00741131">
            <w:pPr>
              <w:spacing w:before="120" w:after="120" w:line="480" w:lineRule="auto"/>
              <w:rPr>
                <w:color w:val="000000"/>
              </w:rPr>
            </w:pPr>
            <w:r>
              <w:rPr>
                <w:b/>
                <w:bCs/>
                <w:color w:val="000000"/>
              </w:rPr>
              <w:t>Contextual adaptability (SA10)</w:t>
            </w:r>
          </w:p>
        </w:tc>
        <w:tc>
          <w:tcPr>
            <w:tcW w:w="0" w:type="auto"/>
            <w:tcBorders>
              <w:left w:val="single" w:sz="6" w:space="0" w:color="E0E0E0"/>
              <w:bottom w:val="single" w:sz="6" w:space="0" w:color="E0E0E0"/>
              <w:right w:val="single" w:sz="6" w:space="0" w:color="E0E0E0"/>
            </w:tcBorders>
            <w:tcMar>
              <w:top w:w="15" w:type="dxa"/>
              <w:left w:w="22" w:type="dxa"/>
              <w:bottom w:w="15" w:type="dxa"/>
              <w:right w:w="22" w:type="dxa"/>
            </w:tcMar>
            <w:hideMark/>
          </w:tcPr>
          <w:p w14:paraId="56DD7F0F" w14:textId="77777777" w:rsidR="00790934" w:rsidRDefault="00790934" w:rsidP="00741131">
            <w:pPr>
              <w:spacing w:line="480" w:lineRule="auto"/>
              <w:rPr>
                <w:color w:val="000000"/>
              </w:rPr>
            </w:pPr>
            <w:r>
              <w:rPr>
                <w:color w:val="000000"/>
              </w:rPr>
              <w:t>The extent to which the simulator and its use can be tailored to curricular demands, institutional realities, learner profiles, and contextual constraints while maintaining functional adequacy and alignment with educational objectives.</w:t>
            </w:r>
          </w:p>
        </w:tc>
      </w:tr>
    </w:tbl>
    <w:p w14:paraId="4955458D" w14:textId="48D6D0DC" w:rsidR="00ED4B21" w:rsidRDefault="00790934" w:rsidP="00B1213A">
      <w:pPr>
        <w:spacing w:before="120" w:after="120" w:line="480" w:lineRule="auto"/>
        <w:jc w:val="both"/>
      </w:pPr>
      <w:r>
        <w:rPr>
          <w:i/>
          <w:iCs/>
        </w:rPr>
        <w:t>Note.</w:t>
      </w:r>
      <w:r>
        <w:t xml:space="preserve"> Adapted from Costa et al.</w:t>
      </w:r>
      <w:r w:rsidR="00FD099F" w:rsidRPr="00FD099F">
        <w:rPr>
          <w:vertAlign w:val="superscript"/>
        </w:rPr>
        <w:t>5</w:t>
      </w:r>
    </w:p>
    <w:sectPr w:rsidR="00ED4B2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934"/>
    <w:rsid w:val="00246F1C"/>
    <w:rsid w:val="003D02AC"/>
    <w:rsid w:val="00580F66"/>
    <w:rsid w:val="00790934"/>
    <w:rsid w:val="00853EA7"/>
    <w:rsid w:val="0088270A"/>
    <w:rsid w:val="00996D0B"/>
    <w:rsid w:val="00B1213A"/>
    <w:rsid w:val="00D16AB4"/>
    <w:rsid w:val="00EC36F7"/>
    <w:rsid w:val="00ED4B21"/>
    <w:rsid w:val="00F542E8"/>
    <w:rsid w:val="00FD09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2962E3B1"/>
  <w15:chartTrackingRefBased/>
  <w15:docId w15:val="{F5054380-CDDF-C744-B0CC-7AFB5B254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934"/>
    <w:pPr>
      <w:spacing w:after="0" w:line="240" w:lineRule="auto"/>
    </w:pPr>
    <w:rPr>
      <w:rFonts w:ascii="Times New Roman" w:eastAsia="Times New Roman" w:hAnsi="Times New Roman" w:cs="Times New Roman"/>
      <w:kern w:val="0"/>
      <w:lang w:val="en-US"/>
      <w14:ligatures w14:val="none"/>
    </w:rPr>
  </w:style>
  <w:style w:type="paragraph" w:styleId="Ttulo1">
    <w:name w:val="heading 1"/>
    <w:basedOn w:val="Normal"/>
    <w:next w:val="Normal"/>
    <w:link w:val="Ttulo1Char"/>
    <w:uiPriority w:val="9"/>
    <w:qFormat/>
    <w:rsid w:val="0079093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ES"/>
      <w14:ligatures w14:val="standardContextual"/>
    </w:rPr>
  </w:style>
  <w:style w:type="paragraph" w:styleId="Ttulo2">
    <w:name w:val="heading 2"/>
    <w:basedOn w:val="Normal"/>
    <w:next w:val="Normal"/>
    <w:link w:val="Ttulo2Char"/>
    <w:uiPriority w:val="9"/>
    <w:semiHidden/>
    <w:unhideWhenUsed/>
    <w:qFormat/>
    <w:rsid w:val="0079093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s-ES"/>
      <w14:ligatures w14:val="standardContextual"/>
    </w:rPr>
  </w:style>
  <w:style w:type="paragraph" w:styleId="Ttulo3">
    <w:name w:val="heading 3"/>
    <w:basedOn w:val="Normal"/>
    <w:next w:val="Normal"/>
    <w:link w:val="Ttulo3Char"/>
    <w:uiPriority w:val="9"/>
    <w:semiHidden/>
    <w:unhideWhenUsed/>
    <w:qFormat/>
    <w:rsid w:val="0079093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s-ES"/>
      <w14:ligatures w14:val="standardContextual"/>
    </w:rPr>
  </w:style>
  <w:style w:type="paragraph" w:styleId="Ttulo4">
    <w:name w:val="heading 4"/>
    <w:basedOn w:val="Normal"/>
    <w:next w:val="Normal"/>
    <w:link w:val="Ttulo4Char"/>
    <w:uiPriority w:val="9"/>
    <w:semiHidden/>
    <w:unhideWhenUsed/>
    <w:qFormat/>
    <w:rsid w:val="00790934"/>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s-ES"/>
      <w14:ligatures w14:val="standardContextual"/>
    </w:rPr>
  </w:style>
  <w:style w:type="paragraph" w:styleId="Ttulo5">
    <w:name w:val="heading 5"/>
    <w:basedOn w:val="Normal"/>
    <w:next w:val="Normal"/>
    <w:link w:val="Ttulo5Char"/>
    <w:uiPriority w:val="9"/>
    <w:semiHidden/>
    <w:unhideWhenUsed/>
    <w:qFormat/>
    <w:rsid w:val="00790934"/>
    <w:pPr>
      <w:keepNext/>
      <w:keepLines/>
      <w:spacing w:before="80" w:after="40" w:line="278" w:lineRule="auto"/>
      <w:outlineLvl w:val="4"/>
    </w:pPr>
    <w:rPr>
      <w:rFonts w:asciiTheme="minorHAnsi" w:eastAsiaTheme="majorEastAsia" w:hAnsiTheme="minorHAnsi" w:cstheme="majorBidi"/>
      <w:color w:val="0F4761" w:themeColor="accent1" w:themeShade="BF"/>
      <w:kern w:val="2"/>
      <w:lang w:val="es-ES"/>
      <w14:ligatures w14:val="standardContextual"/>
    </w:rPr>
  </w:style>
  <w:style w:type="paragraph" w:styleId="Ttulo6">
    <w:name w:val="heading 6"/>
    <w:basedOn w:val="Normal"/>
    <w:next w:val="Normal"/>
    <w:link w:val="Ttulo6Char"/>
    <w:uiPriority w:val="9"/>
    <w:semiHidden/>
    <w:unhideWhenUsed/>
    <w:qFormat/>
    <w:rsid w:val="00790934"/>
    <w:pPr>
      <w:keepNext/>
      <w:keepLines/>
      <w:spacing w:before="40" w:line="278" w:lineRule="auto"/>
      <w:outlineLvl w:val="5"/>
    </w:pPr>
    <w:rPr>
      <w:rFonts w:asciiTheme="minorHAnsi" w:eastAsiaTheme="majorEastAsia" w:hAnsiTheme="minorHAnsi" w:cstheme="majorBidi"/>
      <w:i/>
      <w:iCs/>
      <w:color w:val="595959" w:themeColor="text1" w:themeTint="A6"/>
      <w:kern w:val="2"/>
      <w:lang w:val="es-ES"/>
      <w14:ligatures w14:val="standardContextual"/>
    </w:rPr>
  </w:style>
  <w:style w:type="paragraph" w:styleId="Ttulo7">
    <w:name w:val="heading 7"/>
    <w:basedOn w:val="Normal"/>
    <w:next w:val="Normal"/>
    <w:link w:val="Ttulo7Char"/>
    <w:uiPriority w:val="9"/>
    <w:semiHidden/>
    <w:unhideWhenUsed/>
    <w:qFormat/>
    <w:rsid w:val="00790934"/>
    <w:pPr>
      <w:keepNext/>
      <w:keepLines/>
      <w:spacing w:before="40" w:line="278" w:lineRule="auto"/>
      <w:outlineLvl w:val="6"/>
    </w:pPr>
    <w:rPr>
      <w:rFonts w:asciiTheme="minorHAnsi" w:eastAsiaTheme="majorEastAsia" w:hAnsiTheme="minorHAnsi" w:cstheme="majorBidi"/>
      <w:color w:val="595959" w:themeColor="text1" w:themeTint="A6"/>
      <w:kern w:val="2"/>
      <w:lang w:val="es-ES"/>
      <w14:ligatures w14:val="standardContextual"/>
    </w:rPr>
  </w:style>
  <w:style w:type="paragraph" w:styleId="Ttulo8">
    <w:name w:val="heading 8"/>
    <w:basedOn w:val="Normal"/>
    <w:next w:val="Normal"/>
    <w:link w:val="Ttulo8Char"/>
    <w:uiPriority w:val="9"/>
    <w:semiHidden/>
    <w:unhideWhenUsed/>
    <w:qFormat/>
    <w:rsid w:val="00790934"/>
    <w:pPr>
      <w:keepNext/>
      <w:keepLines/>
      <w:spacing w:line="278" w:lineRule="auto"/>
      <w:outlineLvl w:val="7"/>
    </w:pPr>
    <w:rPr>
      <w:rFonts w:asciiTheme="minorHAnsi" w:eastAsiaTheme="majorEastAsia" w:hAnsiTheme="minorHAnsi" w:cstheme="majorBidi"/>
      <w:i/>
      <w:iCs/>
      <w:color w:val="272727" w:themeColor="text1" w:themeTint="D8"/>
      <w:kern w:val="2"/>
      <w:lang w:val="es-ES"/>
      <w14:ligatures w14:val="standardContextual"/>
    </w:rPr>
  </w:style>
  <w:style w:type="paragraph" w:styleId="Ttulo9">
    <w:name w:val="heading 9"/>
    <w:basedOn w:val="Normal"/>
    <w:next w:val="Normal"/>
    <w:link w:val="Ttulo9Char"/>
    <w:uiPriority w:val="9"/>
    <w:semiHidden/>
    <w:unhideWhenUsed/>
    <w:qFormat/>
    <w:rsid w:val="00790934"/>
    <w:pPr>
      <w:keepNext/>
      <w:keepLines/>
      <w:spacing w:line="278" w:lineRule="auto"/>
      <w:outlineLvl w:val="8"/>
    </w:pPr>
    <w:rPr>
      <w:rFonts w:asciiTheme="minorHAnsi" w:eastAsiaTheme="majorEastAsia" w:hAnsiTheme="minorHAnsi" w:cstheme="majorBidi"/>
      <w:color w:val="272727" w:themeColor="text1" w:themeTint="D8"/>
      <w:kern w:val="2"/>
      <w:lang w:val="es-E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9093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79093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79093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79093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79093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79093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9093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9093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90934"/>
    <w:rPr>
      <w:rFonts w:eastAsiaTheme="majorEastAsia" w:cstheme="majorBidi"/>
      <w:color w:val="272727" w:themeColor="text1" w:themeTint="D8"/>
    </w:rPr>
  </w:style>
  <w:style w:type="paragraph" w:styleId="Ttulo">
    <w:name w:val="Title"/>
    <w:basedOn w:val="Normal"/>
    <w:next w:val="Normal"/>
    <w:link w:val="TtuloChar"/>
    <w:uiPriority w:val="10"/>
    <w:qFormat/>
    <w:rsid w:val="00790934"/>
    <w:pPr>
      <w:spacing w:after="80"/>
      <w:contextualSpacing/>
    </w:pPr>
    <w:rPr>
      <w:rFonts w:asciiTheme="majorHAnsi" w:eastAsiaTheme="majorEastAsia" w:hAnsiTheme="majorHAnsi" w:cstheme="majorBidi"/>
      <w:spacing w:val="-10"/>
      <w:kern w:val="28"/>
      <w:sz w:val="56"/>
      <w:szCs w:val="56"/>
      <w:lang w:val="es-ES"/>
      <w14:ligatures w14:val="standardContextual"/>
    </w:rPr>
  </w:style>
  <w:style w:type="character" w:customStyle="1" w:styleId="TtuloChar">
    <w:name w:val="Título Char"/>
    <w:basedOn w:val="Fontepargpadro"/>
    <w:link w:val="Ttulo"/>
    <w:uiPriority w:val="10"/>
    <w:rsid w:val="0079093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9093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s-ES"/>
      <w14:ligatures w14:val="standardContextual"/>
    </w:rPr>
  </w:style>
  <w:style w:type="character" w:customStyle="1" w:styleId="SubttuloChar">
    <w:name w:val="Subtítulo Char"/>
    <w:basedOn w:val="Fontepargpadro"/>
    <w:link w:val="Subttulo"/>
    <w:uiPriority w:val="11"/>
    <w:rsid w:val="0079093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90934"/>
    <w:pPr>
      <w:spacing w:before="160" w:after="160" w:line="278" w:lineRule="auto"/>
      <w:jc w:val="center"/>
    </w:pPr>
    <w:rPr>
      <w:rFonts w:asciiTheme="minorHAnsi" w:eastAsiaTheme="minorHAnsi" w:hAnsiTheme="minorHAnsi" w:cstheme="minorBidi"/>
      <w:i/>
      <w:iCs/>
      <w:color w:val="404040" w:themeColor="text1" w:themeTint="BF"/>
      <w:kern w:val="2"/>
      <w:lang w:val="es-ES"/>
      <w14:ligatures w14:val="standardContextual"/>
    </w:rPr>
  </w:style>
  <w:style w:type="character" w:customStyle="1" w:styleId="CitaoChar">
    <w:name w:val="Citação Char"/>
    <w:basedOn w:val="Fontepargpadro"/>
    <w:link w:val="Citao"/>
    <w:uiPriority w:val="29"/>
    <w:rsid w:val="00790934"/>
    <w:rPr>
      <w:i/>
      <w:iCs/>
      <w:color w:val="404040" w:themeColor="text1" w:themeTint="BF"/>
    </w:rPr>
  </w:style>
  <w:style w:type="paragraph" w:styleId="PargrafodaLista">
    <w:name w:val="List Paragraph"/>
    <w:basedOn w:val="Normal"/>
    <w:uiPriority w:val="34"/>
    <w:qFormat/>
    <w:rsid w:val="00790934"/>
    <w:pPr>
      <w:spacing w:after="160" w:line="278" w:lineRule="auto"/>
      <w:ind w:left="720"/>
      <w:contextualSpacing/>
    </w:pPr>
    <w:rPr>
      <w:rFonts w:asciiTheme="minorHAnsi" w:eastAsiaTheme="minorHAnsi" w:hAnsiTheme="minorHAnsi" w:cstheme="minorBidi"/>
      <w:kern w:val="2"/>
      <w:lang w:val="es-ES"/>
      <w14:ligatures w14:val="standardContextual"/>
    </w:rPr>
  </w:style>
  <w:style w:type="character" w:styleId="nfaseIntensa">
    <w:name w:val="Intense Emphasis"/>
    <w:basedOn w:val="Fontepargpadro"/>
    <w:uiPriority w:val="21"/>
    <w:qFormat/>
    <w:rsid w:val="00790934"/>
    <w:rPr>
      <w:i/>
      <w:iCs/>
      <w:color w:val="0F4761" w:themeColor="accent1" w:themeShade="BF"/>
    </w:rPr>
  </w:style>
  <w:style w:type="paragraph" w:styleId="CitaoIntensa">
    <w:name w:val="Intense Quote"/>
    <w:basedOn w:val="Normal"/>
    <w:next w:val="Normal"/>
    <w:link w:val="CitaoIntensaChar"/>
    <w:uiPriority w:val="30"/>
    <w:qFormat/>
    <w:rsid w:val="0079093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s-ES"/>
      <w14:ligatures w14:val="standardContextual"/>
    </w:rPr>
  </w:style>
  <w:style w:type="character" w:customStyle="1" w:styleId="CitaoIntensaChar">
    <w:name w:val="Citação Intensa Char"/>
    <w:basedOn w:val="Fontepargpadro"/>
    <w:link w:val="CitaoIntensa"/>
    <w:uiPriority w:val="30"/>
    <w:rsid w:val="00790934"/>
    <w:rPr>
      <w:i/>
      <w:iCs/>
      <w:color w:val="0F4761" w:themeColor="accent1" w:themeShade="BF"/>
    </w:rPr>
  </w:style>
  <w:style w:type="character" w:styleId="RefernciaIntensa">
    <w:name w:val="Intense Reference"/>
    <w:basedOn w:val="Fontepargpadro"/>
    <w:uiPriority w:val="32"/>
    <w:qFormat/>
    <w:rsid w:val="0079093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2530</Characters>
  <Application>Microsoft Office Word</Application>
  <DocSecurity>4</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Manuel Romero Sánchez</dc:creator>
  <cp:keywords/>
  <dc:description/>
  <cp:lastModifiedBy>Raphael Ranieree</cp:lastModifiedBy>
  <cp:revision>2</cp:revision>
  <dcterms:created xsi:type="dcterms:W3CDTF">2026-04-06T15:51:00Z</dcterms:created>
  <dcterms:modified xsi:type="dcterms:W3CDTF">2026-04-06T15:51:00Z</dcterms:modified>
</cp:coreProperties>
</file>