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93917" w14:textId="37992D3D" w:rsidR="00367E15" w:rsidRPr="00552A76" w:rsidRDefault="00367E15" w:rsidP="00367E15">
      <w:pPr>
        <w:spacing w:line="480" w:lineRule="auto"/>
        <w:jc w:val="both"/>
        <w:rPr>
          <w:i/>
          <w:iCs/>
        </w:rPr>
      </w:pPr>
      <w:r w:rsidRPr="00552A76">
        <w:rPr>
          <w:b/>
          <w:bCs/>
        </w:rPr>
        <w:t xml:space="preserve">Table </w:t>
      </w:r>
      <w:r w:rsidR="00AD7CAD">
        <w:rPr>
          <w:b/>
          <w:bCs/>
        </w:rPr>
        <w:t>2</w:t>
      </w:r>
      <w:r w:rsidRPr="00552A76">
        <w:rPr>
          <w:b/>
          <w:bCs/>
        </w:rPr>
        <w:t xml:space="preserve">. </w:t>
      </w:r>
      <w:r w:rsidRPr="00552A76">
        <w:rPr>
          <w:i/>
          <w:iCs/>
        </w:rPr>
        <w:t xml:space="preserve">Thematic axes and theoretical propositions of the middle-range theoretical framework for the use of low-cost simulators in healthcare education. </w:t>
      </w:r>
    </w:p>
    <w:p w14:paraId="4AC0C3DD" w14:textId="77777777" w:rsidR="00ED4B21" w:rsidRDefault="00ED4B21"/>
    <w:tbl>
      <w:tblPr>
        <w:tblW w:w="9064" w:type="dxa"/>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1444"/>
        <w:gridCol w:w="7620"/>
      </w:tblGrid>
      <w:tr w:rsidR="00367E15" w:rsidRPr="00552A76" w14:paraId="76C06001" w14:textId="77777777" w:rsidTr="00D4227E">
        <w:trPr>
          <w:trHeight w:val="540"/>
        </w:trPr>
        <w:tc>
          <w:tcPr>
            <w:tcW w:w="1444" w:type="dxa"/>
            <w:tcBorders>
              <w:top w:val="single" w:sz="6" w:space="0" w:color="E0E0E0"/>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11C74C95" w14:textId="77777777" w:rsidR="00367E15" w:rsidRPr="00552A76" w:rsidRDefault="00367E15" w:rsidP="00AD7CAD">
            <w:pPr>
              <w:spacing w:line="480" w:lineRule="auto"/>
              <w:jc w:val="center"/>
              <w:rPr>
                <w:color w:val="000000"/>
              </w:rPr>
            </w:pPr>
            <w:r w:rsidRPr="00552A76">
              <w:rPr>
                <w:b/>
                <w:bCs/>
                <w:color w:val="000000"/>
              </w:rPr>
              <w:t>Thematic axes</w:t>
            </w:r>
          </w:p>
        </w:tc>
        <w:tc>
          <w:tcPr>
            <w:tcW w:w="7620" w:type="dxa"/>
            <w:tcBorders>
              <w:top w:val="single" w:sz="6" w:space="0" w:color="E0E0E0"/>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25D1A554" w14:textId="77777777" w:rsidR="00367E15" w:rsidRPr="00552A76" w:rsidRDefault="00367E15" w:rsidP="00AD7CAD">
            <w:pPr>
              <w:spacing w:line="480" w:lineRule="auto"/>
              <w:jc w:val="center"/>
              <w:rPr>
                <w:color w:val="000000"/>
              </w:rPr>
            </w:pPr>
            <w:r w:rsidRPr="00552A76">
              <w:rPr>
                <w:b/>
                <w:bCs/>
                <w:color w:val="000000"/>
              </w:rPr>
              <w:t>Theoretical propositions</w:t>
            </w:r>
          </w:p>
        </w:tc>
      </w:tr>
      <w:tr w:rsidR="00367E15" w:rsidRPr="00552A76" w14:paraId="3AA196BA" w14:textId="77777777" w:rsidTr="00D4227E">
        <w:trPr>
          <w:trHeight w:val="540"/>
        </w:trPr>
        <w:tc>
          <w:tcPr>
            <w:tcW w:w="1444"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4D2FF40F" w14:textId="77777777" w:rsidR="00367E15" w:rsidRPr="00552A76" w:rsidRDefault="00367E15" w:rsidP="00D4227E">
            <w:pPr>
              <w:spacing w:line="480" w:lineRule="auto"/>
              <w:rPr>
                <w:color w:val="000000"/>
              </w:rPr>
            </w:pPr>
            <w:r w:rsidRPr="00552A76">
              <w:rPr>
                <w:color w:val="000000"/>
              </w:rPr>
              <w:t>Axis 1: Accessibility and practice-based learning</w:t>
            </w:r>
          </w:p>
        </w:tc>
        <w:tc>
          <w:tcPr>
            <w:tcW w:w="7620"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43B2BA4B" w14:textId="77777777" w:rsidR="00367E15" w:rsidRPr="00552A76" w:rsidRDefault="00367E15" w:rsidP="00D4227E">
            <w:pPr>
              <w:spacing w:line="480" w:lineRule="auto"/>
              <w:rPr>
                <w:color w:val="000000"/>
              </w:rPr>
            </w:pPr>
            <w:r w:rsidRPr="00552A76">
              <w:rPr>
                <w:b/>
                <w:bCs/>
                <w:color w:val="000000"/>
              </w:rPr>
              <w:t>P1.</w:t>
            </w:r>
            <w:r w:rsidRPr="00552A76">
              <w:rPr>
                <w:color w:val="000000"/>
              </w:rPr>
              <w:t xml:space="preserve"> LCS-CS is expected to increase access to simulation-based education and practice-based learning opportunities (PO1), particularly in contexts characterized by educational need (ANT1), equity-related access constraints (ANT4), limited institutional infrastructure (ANT3), and restricted availability of commercial simulation models (ANT2).</w:t>
            </w:r>
          </w:p>
        </w:tc>
      </w:tr>
      <w:tr w:rsidR="00367E15" w:rsidRPr="00552A76" w14:paraId="0487F75B" w14:textId="77777777" w:rsidTr="00D4227E">
        <w:trPr>
          <w:trHeight w:val="540"/>
        </w:trPr>
        <w:tc>
          <w:tcPr>
            <w:tcW w:w="1444"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64204259" w14:textId="77777777" w:rsidR="00367E15" w:rsidRPr="00552A76" w:rsidRDefault="00367E15" w:rsidP="00D4227E">
            <w:pPr>
              <w:spacing w:line="480" w:lineRule="auto"/>
              <w:rPr>
                <w:color w:val="000000"/>
              </w:rPr>
            </w:pPr>
            <w:r w:rsidRPr="00552A76">
              <w:rPr>
                <w:color w:val="000000"/>
              </w:rPr>
              <w:t>Axis 1: Accessibility and practice-based learning</w:t>
            </w:r>
          </w:p>
        </w:tc>
        <w:tc>
          <w:tcPr>
            <w:tcW w:w="7620"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449E35EF" w14:textId="77777777" w:rsidR="00367E15" w:rsidRPr="00552A76" w:rsidRDefault="00367E15" w:rsidP="00D4227E">
            <w:pPr>
              <w:spacing w:line="480" w:lineRule="auto"/>
              <w:rPr>
                <w:color w:val="000000"/>
              </w:rPr>
            </w:pPr>
            <w:r w:rsidRPr="00552A76">
              <w:rPr>
                <w:b/>
                <w:bCs/>
                <w:color w:val="000000"/>
              </w:rPr>
              <w:t>P2.</w:t>
            </w:r>
            <w:r w:rsidRPr="00552A76">
              <w:rPr>
                <w:color w:val="000000"/>
              </w:rPr>
              <w:t xml:space="preserve"> Portability (SA5), versatility (SA9), manufacturability and assembly feasibility (SA4), and access feasibility (SA2) are expected to reduce geographic, financial, and structural barriers to participation in LCS-CS, thereby strengthening access to clinical simulation and practice-based learning (PO1), particularly under limited institutional infrastructure (ANT3) and equity-related access constraints (ANT4) and when educational policies support implementation (ANT5).</w:t>
            </w:r>
          </w:p>
        </w:tc>
      </w:tr>
      <w:tr w:rsidR="00367E15" w:rsidRPr="00552A76" w14:paraId="549085A0" w14:textId="77777777" w:rsidTr="00D4227E">
        <w:trPr>
          <w:trHeight w:val="540"/>
        </w:trPr>
        <w:tc>
          <w:tcPr>
            <w:tcW w:w="1444"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6F291641" w14:textId="77777777" w:rsidR="00367E15" w:rsidRPr="00552A76" w:rsidRDefault="00367E15" w:rsidP="00D4227E">
            <w:pPr>
              <w:spacing w:line="480" w:lineRule="auto"/>
              <w:rPr>
                <w:color w:val="000000"/>
              </w:rPr>
            </w:pPr>
            <w:r w:rsidRPr="00552A76">
              <w:rPr>
                <w:color w:val="000000"/>
              </w:rPr>
              <w:t>Axis 2: Efficiency and sustainability</w:t>
            </w:r>
          </w:p>
        </w:tc>
        <w:tc>
          <w:tcPr>
            <w:tcW w:w="7620"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16479E4C" w14:textId="77777777" w:rsidR="00367E15" w:rsidRPr="00552A76" w:rsidRDefault="00367E15" w:rsidP="00D4227E">
            <w:pPr>
              <w:spacing w:line="480" w:lineRule="auto"/>
              <w:rPr>
                <w:color w:val="000000"/>
              </w:rPr>
            </w:pPr>
            <w:r w:rsidRPr="00552A76">
              <w:rPr>
                <w:b/>
                <w:bCs/>
                <w:color w:val="000000"/>
              </w:rPr>
              <w:t>P3.</w:t>
            </w:r>
            <w:r w:rsidRPr="00552A76">
              <w:rPr>
                <w:color w:val="000000"/>
              </w:rPr>
              <w:t xml:space="preserve"> LCS-CS is expected to strengthen efficiency and sustainability (PO4), including reduced institutional expenditures for clinical skills training, particularly when affordability (SA1) and replicability and consistency (SA8) support scalable delivery and when institutional capacity for implementation (MOD4) enables consistent logistics, technical support, and maintenance over time.</w:t>
            </w:r>
          </w:p>
        </w:tc>
      </w:tr>
      <w:tr w:rsidR="00367E15" w:rsidRPr="00552A76" w14:paraId="77D69424" w14:textId="77777777" w:rsidTr="00D4227E">
        <w:trPr>
          <w:trHeight w:val="540"/>
        </w:trPr>
        <w:tc>
          <w:tcPr>
            <w:tcW w:w="1444"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476337EC" w14:textId="77777777" w:rsidR="00367E15" w:rsidRPr="00552A76" w:rsidRDefault="00367E15" w:rsidP="00D4227E">
            <w:pPr>
              <w:spacing w:line="480" w:lineRule="auto"/>
              <w:rPr>
                <w:color w:val="000000"/>
              </w:rPr>
            </w:pPr>
            <w:r w:rsidRPr="00552A76">
              <w:rPr>
                <w:color w:val="000000"/>
              </w:rPr>
              <w:t xml:space="preserve">Axis 2: Efficiency </w:t>
            </w:r>
            <w:r w:rsidRPr="00552A76">
              <w:rPr>
                <w:color w:val="000000"/>
              </w:rPr>
              <w:lastRenderedPageBreak/>
              <w:t>and sustainability</w:t>
            </w:r>
          </w:p>
        </w:tc>
        <w:tc>
          <w:tcPr>
            <w:tcW w:w="7620"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446528AF" w14:textId="77777777" w:rsidR="00367E15" w:rsidRPr="00552A76" w:rsidRDefault="00367E15" w:rsidP="00D4227E">
            <w:pPr>
              <w:spacing w:line="480" w:lineRule="auto"/>
              <w:rPr>
                <w:color w:val="000000"/>
              </w:rPr>
            </w:pPr>
            <w:r w:rsidRPr="00552A76">
              <w:rPr>
                <w:b/>
                <w:bCs/>
                <w:color w:val="000000"/>
              </w:rPr>
              <w:lastRenderedPageBreak/>
              <w:t>P4.</w:t>
            </w:r>
            <w:r w:rsidRPr="00552A76">
              <w:rPr>
                <w:color w:val="000000"/>
              </w:rPr>
              <w:t xml:space="preserve"> Sustainability capacity (SA3), supported by institutional commitment to sustainability (ANT6), is expected to strengthen efficiency and sustainability </w:t>
            </w:r>
            <w:r w:rsidRPr="00552A76">
              <w:rPr>
                <w:color w:val="000000"/>
              </w:rPr>
              <w:lastRenderedPageBreak/>
              <w:t>of simulation programs (PO4), particularly when institutional capacity for implementation (MOD4) supports continuity and responsible resource management.</w:t>
            </w:r>
          </w:p>
        </w:tc>
      </w:tr>
      <w:tr w:rsidR="00367E15" w:rsidRPr="00552A76" w14:paraId="273F90F3" w14:textId="77777777" w:rsidTr="00D4227E">
        <w:trPr>
          <w:trHeight w:val="540"/>
        </w:trPr>
        <w:tc>
          <w:tcPr>
            <w:tcW w:w="1444"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7DFE2FB9" w14:textId="77777777" w:rsidR="00367E15" w:rsidRPr="00552A76" w:rsidRDefault="00367E15" w:rsidP="00D4227E">
            <w:pPr>
              <w:spacing w:line="480" w:lineRule="auto"/>
              <w:rPr>
                <w:color w:val="000000"/>
              </w:rPr>
            </w:pPr>
            <w:r w:rsidRPr="00552A76">
              <w:rPr>
                <w:color w:val="000000"/>
              </w:rPr>
              <w:lastRenderedPageBreak/>
              <w:t>Axis 2: Efficiency and sustainability</w:t>
            </w:r>
          </w:p>
        </w:tc>
        <w:tc>
          <w:tcPr>
            <w:tcW w:w="7620"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1B79B5C9" w14:textId="77777777" w:rsidR="00367E15" w:rsidRPr="00552A76" w:rsidRDefault="00367E15" w:rsidP="00D4227E">
            <w:pPr>
              <w:spacing w:line="480" w:lineRule="auto"/>
              <w:rPr>
                <w:color w:val="000000"/>
              </w:rPr>
            </w:pPr>
            <w:r w:rsidRPr="00552A76">
              <w:rPr>
                <w:b/>
                <w:bCs/>
                <w:color w:val="000000"/>
              </w:rPr>
              <w:t>P5.</w:t>
            </w:r>
            <w:r w:rsidRPr="00552A76">
              <w:rPr>
                <w:color w:val="000000"/>
              </w:rPr>
              <w:t xml:space="preserve"> Replicability and consistency (SA8) and sustainability capacity (SA3) are expected to increase feasibility, continuity, and scalability of LCS-CS, thereby strengthening efficiency and sustainability (PO4), particularly under educational need (ANT1), equity-related access constraints (ANT4), limited institutional infrastructure (ANT3), and restricted availability of commercial simulation models (ANT2).</w:t>
            </w:r>
          </w:p>
        </w:tc>
      </w:tr>
      <w:tr w:rsidR="00367E15" w:rsidRPr="00552A76" w14:paraId="5B30AE2F" w14:textId="77777777" w:rsidTr="00D4227E">
        <w:trPr>
          <w:trHeight w:val="540"/>
        </w:trPr>
        <w:tc>
          <w:tcPr>
            <w:tcW w:w="1444"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4CA88535" w14:textId="77777777" w:rsidR="00367E15" w:rsidRPr="00552A76" w:rsidRDefault="00367E15" w:rsidP="00D4227E">
            <w:pPr>
              <w:spacing w:line="480" w:lineRule="auto"/>
              <w:rPr>
                <w:color w:val="000000"/>
              </w:rPr>
            </w:pPr>
            <w:r w:rsidRPr="00552A76">
              <w:rPr>
                <w:color w:val="000000"/>
              </w:rPr>
              <w:t>Axis 3: Instructional quality and teaching capacity</w:t>
            </w:r>
          </w:p>
        </w:tc>
        <w:tc>
          <w:tcPr>
            <w:tcW w:w="7620"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780B0E4E" w14:textId="77777777" w:rsidR="00367E15" w:rsidRPr="00552A76" w:rsidRDefault="00367E15" w:rsidP="00D4227E">
            <w:pPr>
              <w:spacing w:line="480" w:lineRule="auto"/>
              <w:rPr>
                <w:color w:val="000000"/>
              </w:rPr>
            </w:pPr>
            <w:r w:rsidRPr="00552A76">
              <w:rPr>
                <w:b/>
                <w:bCs/>
                <w:color w:val="000000"/>
              </w:rPr>
              <w:t>P6.</w:t>
            </w:r>
            <w:r w:rsidRPr="00552A76">
              <w:rPr>
                <w:color w:val="000000"/>
              </w:rPr>
              <w:t xml:space="preserve"> LCS-CS is more likely to produce stronger learning and competence development (PO2) when instructional alignment and pedagogical strategy (MOD1), faculty competence and qualifications (MOD2), and learner readiness (MOD3) are adequate.</w:t>
            </w:r>
          </w:p>
        </w:tc>
      </w:tr>
      <w:tr w:rsidR="00367E15" w:rsidRPr="00552A76" w14:paraId="25191A66" w14:textId="77777777" w:rsidTr="00D4227E">
        <w:trPr>
          <w:trHeight w:val="540"/>
        </w:trPr>
        <w:tc>
          <w:tcPr>
            <w:tcW w:w="1444"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759737D5" w14:textId="77777777" w:rsidR="00367E15" w:rsidRPr="00552A76" w:rsidRDefault="00367E15" w:rsidP="00D4227E">
            <w:pPr>
              <w:spacing w:line="480" w:lineRule="auto"/>
              <w:rPr>
                <w:color w:val="000000"/>
              </w:rPr>
            </w:pPr>
            <w:r w:rsidRPr="00552A76">
              <w:rPr>
                <w:color w:val="000000"/>
              </w:rPr>
              <w:t>Axis 3: Instructional quality and teaching capacity</w:t>
            </w:r>
          </w:p>
        </w:tc>
        <w:tc>
          <w:tcPr>
            <w:tcW w:w="7620"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4545E2C3" w14:textId="77777777" w:rsidR="00367E15" w:rsidRPr="00552A76" w:rsidRDefault="00367E15" w:rsidP="00D4227E">
            <w:pPr>
              <w:spacing w:line="480" w:lineRule="auto"/>
              <w:rPr>
                <w:color w:val="000000"/>
              </w:rPr>
            </w:pPr>
            <w:r w:rsidRPr="00552A76">
              <w:rPr>
                <w:b/>
                <w:bCs/>
                <w:color w:val="000000"/>
              </w:rPr>
              <w:t>P7.</w:t>
            </w:r>
            <w:r w:rsidRPr="00552A76">
              <w:rPr>
                <w:color w:val="000000"/>
              </w:rPr>
              <w:t xml:space="preserve"> Contextual adaptability (SA10) and versatility (SA9) are expected to strengthen instructional quality and teaching capacity (PO3), particularly when institutional capacity for implementation (MOD4) supports ongoing refinement and when instructional alignment and pedagogical strategy (MOD1) and faculty competence and qualifications (MOD2) are adequate within the institutional and policy context (ANT3, ANT5).</w:t>
            </w:r>
          </w:p>
        </w:tc>
      </w:tr>
      <w:tr w:rsidR="00367E15" w:rsidRPr="00552A76" w14:paraId="11409987" w14:textId="77777777" w:rsidTr="00D4227E">
        <w:trPr>
          <w:trHeight w:val="540"/>
        </w:trPr>
        <w:tc>
          <w:tcPr>
            <w:tcW w:w="1444"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4F168070" w14:textId="77777777" w:rsidR="00367E15" w:rsidRPr="00552A76" w:rsidRDefault="00367E15" w:rsidP="00D4227E">
            <w:pPr>
              <w:spacing w:line="480" w:lineRule="auto"/>
              <w:rPr>
                <w:color w:val="000000"/>
              </w:rPr>
            </w:pPr>
            <w:r w:rsidRPr="00552A76">
              <w:rPr>
                <w:color w:val="000000"/>
              </w:rPr>
              <w:t>Axis 4: Customization and educational context</w:t>
            </w:r>
          </w:p>
        </w:tc>
        <w:tc>
          <w:tcPr>
            <w:tcW w:w="7620"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2D4A2A2C" w14:textId="77777777" w:rsidR="00367E15" w:rsidRPr="00552A76" w:rsidRDefault="00367E15" w:rsidP="00D4227E">
            <w:pPr>
              <w:spacing w:line="480" w:lineRule="auto"/>
              <w:rPr>
                <w:color w:val="000000"/>
              </w:rPr>
            </w:pPr>
            <w:r w:rsidRPr="00552A76">
              <w:rPr>
                <w:b/>
                <w:bCs/>
                <w:color w:val="000000"/>
              </w:rPr>
              <w:t>P8.</w:t>
            </w:r>
            <w:r w:rsidRPr="00552A76">
              <w:rPr>
                <w:color w:val="000000"/>
              </w:rPr>
              <w:t xml:space="preserve"> Educational effectiveness in LCS-CS is expected to be stronger when simulator attributes (SA1–SA9) are adapted to the educational context through contextual adaptability (SA10) and aligned with learning objectives through instructional alignment and pedagogical strategy (MOD1), thereby strengthening learning and competence development (PO2).</w:t>
            </w:r>
          </w:p>
        </w:tc>
      </w:tr>
      <w:tr w:rsidR="00367E15" w:rsidRPr="00552A76" w14:paraId="4E349F8D" w14:textId="77777777" w:rsidTr="00D4227E">
        <w:trPr>
          <w:trHeight w:val="540"/>
        </w:trPr>
        <w:tc>
          <w:tcPr>
            <w:tcW w:w="1444"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764E84B7" w14:textId="77777777" w:rsidR="00367E15" w:rsidRPr="00552A76" w:rsidRDefault="00367E15" w:rsidP="00D4227E">
            <w:pPr>
              <w:spacing w:line="480" w:lineRule="auto"/>
              <w:rPr>
                <w:color w:val="000000"/>
              </w:rPr>
            </w:pPr>
            <w:r w:rsidRPr="00552A76">
              <w:rPr>
                <w:color w:val="000000"/>
              </w:rPr>
              <w:lastRenderedPageBreak/>
              <w:t>Axis 4: Customization and educational context</w:t>
            </w:r>
          </w:p>
        </w:tc>
        <w:tc>
          <w:tcPr>
            <w:tcW w:w="7620"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3D4654EB" w14:textId="77777777" w:rsidR="00367E15" w:rsidRPr="00552A76" w:rsidRDefault="00367E15" w:rsidP="00D4227E">
            <w:pPr>
              <w:spacing w:line="480" w:lineRule="auto"/>
              <w:rPr>
                <w:color w:val="000000"/>
              </w:rPr>
            </w:pPr>
            <w:r w:rsidRPr="00552A76">
              <w:rPr>
                <w:b/>
                <w:bCs/>
                <w:color w:val="000000"/>
              </w:rPr>
              <w:t>P9.</w:t>
            </w:r>
            <w:r w:rsidRPr="00552A76">
              <w:rPr>
                <w:color w:val="000000"/>
              </w:rPr>
              <w:t xml:space="preserve"> When LCS-CS is aligned with learner readiness (MOD3) and learning objectives through instructional alignment and pedagogical strategy (MOD1), instructional quality and teaching capacity (PO3) are expected to improve, particularly in contexts characterized by educational need (ANT1) and equity-related access constraints (ANT4).</w:t>
            </w:r>
          </w:p>
        </w:tc>
      </w:tr>
      <w:tr w:rsidR="00367E15" w:rsidRPr="00552A76" w14:paraId="3C6B91A3" w14:textId="77777777" w:rsidTr="00D4227E">
        <w:trPr>
          <w:trHeight w:val="540"/>
        </w:trPr>
        <w:tc>
          <w:tcPr>
            <w:tcW w:w="1444"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53D9B871" w14:textId="77777777" w:rsidR="00367E15" w:rsidRPr="00552A76" w:rsidRDefault="00367E15" w:rsidP="00D4227E">
            <w:pPr>
              <w:spacing w:line="480" w:lineRule="auto"/>
              <w:rPr>
                <w:color w:val="000000"/>
              </w:rPr>
            </w:pPr>
            <w:r w:rsidRPr="00552A76">
              <w:rPr>
                <w:color w:val="000000"/>
              </w:rPr>
              <w:t>Axis 5: Technological level and effectiveness</w:t>
            </w:r>
          </w:p>
        </w:tc>
        <w:tc>
          <w:tcPr>
            <w:tcW w:w="7620"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6285A72F" w14:textId="77777777" w:rsidR="00367E15" w:rsidRPr="00552A76" w:rsidRDefault="00367E15" w:rsidP="00D4227E">
            <w:pPr>
              <w:spacing w:line="480" w:lineRule="auto"/>
              <w:rPr>
                <w:color w:val="000000"/>
              </w:rPr>
            </w:pPr>
            <w:r w:rsidRPr="00552A76">
              <w:rPr>
                <w:b/>
                <w:bCs/>
                <w:color w:val="000000"/>
              </w:rPr>
              <w:t>P10.</w:t>
            </w:r>
            <w:r w:rsidRPr="00552A76">
              <w:rPr>
                <w:color w:val="000000"/>
              </w:rPr>
              <w:t xml:space="preserve"> The contribution of enabling technology integration (SA7) to learning and competence development (PO2) is contingent on purpose-appropriate fidelity (SA6) and is expected to be stronger when aligned with learning objectives through instructional alignment and pedagogical strategy (MOD1).</w:t>
            </w:r>
          </w:p>
        </w:tc>
      </w:tr>
      <w:tr w:rsidR="00367E15" w:rsidRPr="00552A76" w14:paraId="6E6F0FD5" w14:textId="77777777" w:rsidTr="00D4227E">
        <w:trPr>
          <w:trHeight w:val="540"/>
        </w:trPr>
        <w:tc>
          <w:tcPr>
            <w:tcW w:w="1444"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05BEF2B6" w14:textId="77777777" w:rsidR="00367E15" w:rsidRPr="00552A76" w:rsidRDefault="00367E15" w:rsidP="00D4227E">
            <w:pPr>
              <w:spacing w:line="480" w:lineRule="auto"/>
              <w:rPr>
                <w:color w:val="000000"/>
              </w:rPr>
            </w:pPr>
            <w:r w:rsidRPr="00552A76">
              <w:rPr>
                <w:color w:val="000000"/>
              </w:rPr>
              <w:t>Axis 5: Technological level and effectiveness</w:t>
            </w:r>
          </w:p>
        </w:tc>
        <w:tc>
          <w:tcPr>
            <w:tcW w:w="7620"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0971D117" w14:textId="77777777" w:rsidR="00367E15" w:rsidRPr="00552A76" w:rsidRDefault="00367E15" w:rsidP="00D4227E">
            <w:pPr>
              <w:spacing w:line="480" w:lineRule="auto"/>
              <w:rPr>
                <w:color w:val="000000"/>
              </w:rPr>
            </w:pPr>
            <w:r w:rsidRPr="00552A76">
              <w:rPr>
                <w:b/>
                <w:bCs/>
                <w:color w:val="000000"/>
              </w:rPr>
              <w:t>P11.</w:t>
            </w:r>
            <w:r w:rsidRPr="00552A76">
              <w:rPr>
                <w:color w:val="000000"/>
              </w:rPr>
              <w:t xml:space="preserve"> Simulators with lower levels of technology integration (SA7) and lower purpose-appropriate fidelity (SA6) may achieve instructional quality outcomes (PO3) comparable to higher-fidelity approaches when instructional alignment and pedagogical strategy (MOD1), faculty competence and qualifications (MOD2), and learner readiness (MOD3) are adequate in LCS-CS.</w:t>
            </w:r>
          </w:p>
        </w:tc>
      </w:tr>
      <w:tr w:rsidR="00367E15" w:rsidRPr="00552A76" w14:paraId="42B179A6" w14:textId="77777777" w:rsidTr="00D4227E">
        <w:trPr>
          <w:trHeight w:val="540"/>
        </w:trPr>
        <w:tc>
          <w:tcPr>
            <w:tcW w:w="1444"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35BF4C3A" w14:textId="77777777" w:rsidR="00367E15" w:rsidRPr="00552A76" w:rsidRDefault="00367E15" w:rsidP="00D4227E">
            <w:pPr>
              <w:spacing w:line="480" w:lineRule="auto"/>
              <w:rPr>
                <w:color w:val="000000"/>
              </w:rPr>
            </w:pPr>
            <w:r w:rsidRPr="00552A76">
              <w:rPr>
                <w:color w:val="000000"/>
              </w:rPr>
              <w:t>Axis 6:</w:t>
            </w:r>
            <w:r w:rsidRPr="00552A76">
              <w:rPr>
                <w:color w:val="000000"/>
              </w:rPr>
              <w:br/>
              <w:t>Interaction between factors</w:t>
            </w:r>
          </w:p>
        </w:tc>
        <w:tc>
          <w:tcPr>
            <w:tcW w:w="7620"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06DC0B7D" w14:textId="77777777" w:rsidR="00367E15" w:rsidRPr="00552A76" w:rsidRDefault="00367E15" w:rsidP="00D4227E">
            <w:pPr>
              <w:spacing w:line="480" w:lineRule="auto"/>
              <w:rPr>
                <w:color w:val="000000"/>
              </w:rPr>
            </w:pPr>
            <w:r w:rsidRPr="00552A76">
              <w:rPr>
                <w:b/>
                <w:bCs/>
                <w:color w:val="000000"/>
              </w:rPr>
              <w:t>P12.</w:t>
            </w:r>
            <w:r w:rsidRPr="00552A76">
              <w:rPr>
                <w:color w:val="000000"/>
              </w:rPr>
              <w:t xml:space="preserve"> The combined presence of affordability (SA1), access feasibility (SA2), sustainability capacity (SA3), and contextual adaptability (SA10) is expected to strengthen access to clinical simulation and practice-based learning (PO1), particularly when supported by institutional capacity for implementation (MOD4) and coherent instructional alignment and pedagogical strategy (MOD1) in contexts characterized by educational need (ANT1) and equity-related access constraints (ANT4).</w:t>
            </w:r>
          </w:p>
        </w:tc>
      </w:tr>
      <w:tr w:rsidR="00367E15" w:rsidRPr="00552A76" w14:paraId="7D63E8DD" w14:textId="77777777" w:rsidTr="00D4227E">
        <w:trPr>
          <w:trHeight w:val="540"/>
        </w:trPr>
        <w:tc>
          <w:tcPr>
            <w:tcW w:w="1444"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2D94BAD5" w14:textId="77777777" w:rsidR="00367E15" w:rsidRPr="00552A76" w:rsidRDefault="00367E15" w:rsidP="00D4227E">
            <w:pPr>
              <w:spacing w:line="480" w:lineRule="auto"/>
              <w:rPr>
                <w:color w:val="000000"/>
              </w:rPr>
            </w:pPr>
            <w:r w:rsidRPr="00552A76">
              <w:rPr>
                <w:color w:val="000000"/>
              </w:rPr>
              <w:t>Axis 6:</w:t>
            </w:r>
            <w:r w:rsidRPr="00552A76">
              <w:rPr>
                <w:color w:val="000000"/>
              </w:rPr>
              <w:br/>
              <w:t>Interaction between factors</w:t>
            </w:r>
          </w:p>
        </w:tc>
        <w:tc>
          <w:tcPr>
            <w:tcW w:w="7620" w:type="dxa"/>
            <w:tcBorders>
              <w:left w:val="single" w:sz="6" w:space="0" w:color="E0E0E0"/>
              <w:bottom w:val="single" w:sz="6" w:space="0" w:color="E0E0E0"/>
              <w:right w:val="single" w:sz="6" w:space="0" w:color="E0E0E0"/>
            </w:tcBorders>
            <w:tcMar>
              <w:top w:w="15" w:type="dxa"/>
              <w:left w:w="22" w:type="dxa"/>
              <w:bottom w:w="15" w:type="dxa"/>
              <w:right w:w="22" w:type="dxa"/>
            </w:tcMar>
            <w:vAlign w:val="center"/>
            <w:hideMark/>
          </w:tcPr>
          <w:p w14:paraId="3DD05BF0" w14:textId="77777777" w:rsidR="00367E15" w:rsidRPr="00552A76" w:rsidRDefault="00367E15" w:rsidP="00D4227E">
            <w:pPr>
              <w:spacing w:line="480" w:lineRule="auto"/>
              <w:rPr>
                <w:color w:val="000000"/>
              </w:rPr>
            </w:pPr>
            <w:r w:rsidRPr="00552A76">
              <w:rPr>
                <w:b/>
                <w:bCs/>
                <w:color w:val="000000"/>
              </w:rPr>
              <w:t>P13.</w:t>
            </w:r>
            <w:r w:rsidRPr="00552A76">
              <w:rPr>
                <w:color w:val="000000"/>
              </w:rPr>
              <w:t xml:space="preserve"> Proximal outcomes of LCS-CS, including PO1–PO4, depend on interactions among antecedents (ANT1–ANT6), simulator attributes (SA1–SA10), and modulators (MOD1–MOD4) that shape implementation quality </w:t>
            </w:r>
            <w:r w:rsidRPr="00552A76">
              <w:rPr>
                <w:color w:val="000000"/>
              </w:rPr>
              <w:lastRenderedPageBreak/>
              <w:t>and the magnitude of educational and organizational benefits, and over time may contribute to improved quality of healthcare delivery (DO1).</w:t>
            </w:r>
          </w:p>
        </w:tc>
      </w:tr>
    </w:tbl>
    <w:p w14:paraId="5ADBEA78" w14:textId="77777777" w:rsidR="00367E15" w:rsidRPr="00552A76" w:rsidRDefault="00367E15" w:rsidP="00367E15">
      <w:pPr>
        <w:spacing w:line="480" w:lineRule="auto"/>
        <w:jc w:val="both"/>
      </w:pPr>
    </w:p>
    <w:p w14:paraId="41BED7F5" w14:textId="77777777" w:rsidR="00367E15" w:rsidRPr="00552A76" w:rsidRDefault="00367E15" w:rsidP="00367E15">
      <w:pPr>
        <w:spacing w:line="480" w:lineRule="auto"/>
        <w:jc w:val="both"/>
        <w:rPr>
          <w:i/>
          <w:iCs/>
        </w:rPr>
      </w:pPr>
      <w:r w:rsidRPr="00552A76">
        <w:rPr>
          <w:i/>
          <w:iCs/>
        </w:rPr>
        <w:t>Note: P = Proposition; LCS-CS: Use of low-cost simulators in clinical simulation. The mapping of constructs (antecedents, implementation attributes, modulators, and outcomes) is embedded within each proposition.</w:t>
      </w:r>
    </w:p>
    <w:p w14:paraId="4332E1AA" w14:textId="77777777" w:rsidR="00367E15" w:rsidRDefault="00367E15"/>
    <w:sectPr w:rsidR="00367E1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E15"/>
    <w:rsid w:val="00367E15"/>
    <w:rsid w:val="00474CB8"/>
    <w:rsid w:val="00853EA7"/>
    <w:rsid w:val="008A4E6A"/>
    <w:rsid w:val="00996D0B"/>
    <w:rsid w:val="00AD7CAD"/>
    <w:rsid w:val="00AF7703"/>
    <w:rsid w:val="00EC36F7"/>
    <w:rsid w:val="00ED4B21"/>
    <w:rsid w:val="00F542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57877D1"/>
  <w15:chartTrackingRefBased/>
  <w15:docId w15:val="{C6AA8E07-1878-534E-A002-0EA7B0265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E15"/>
    <w:pPr>
      <w:spacing w:after="0" w:line="240" w:lineRule="auto"/>
    </w:pPr>
    <w:rPr>
      <w:rFonts w:ascii="Times New Roman" w:eastAsia="Times New Roman" w:hAnsi="Times New Roman" w:cs="Times New Roman"/>
      <w:kern w:val="0"/>
      <w:lang w:val="en-US"/>
      <w14:ligatures w14:val="none"/>
    </w:rPr>
  </w:style>
  <w:style w:type="paragraph" w:styleId="Ttulo1">
    <w:name w:val="heading 1"/>
    <w:basedOn w:val="Normal"/>
    <w:next w:val="Normal"/>
    <w:link w:val="Ttulo1Char"/>
    <w:uiPriority w:val="9"/>
    <w:qFormat/>
    <w:rsid w:val="00367E1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ES"/>
      <w14:ligatures w14:val="standardContextual"/>
    </w:rPr>
  </w:style>
  <w:style w:type="paragraph" w:styleId="Ttulo2">
    <w:name w:val="heading 2"/>
    <w:basedOn w:val="Normal"/>
    <w:next w:val="Normal"/>
    <w:link w:val="Ttulo2Char"/>
    <w:uiPriority w:val="9"/>
    <w:semiHidden/>
    <w:unhideWhenUsed/>
    <w:qFormat/>
    <w:rsid w:val="00367E1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ES"/>
      <w14:ligatures w14:val="standardContextual"/>
    </w:rPr>
  </w:style>
  <w:style w:type="paragraph" w:styleId="Ttulo3">
    <w:name w:val="heading 3"/>
    <w:basedOn w:val="Normal"/>
    <w:next w:val="Normal"/>
    <w:link w:val="Ttulo3Char"/>
    <w:uiPriority w:val="9"/>
    <w:semiHidden/>
    <w:unhideWhenUsed/>
    <w:qFormat/>
    <w:rsid w:val="00367E1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s-ES"/>
      <w14:ligatures w14:val="standardContextual"/>
    </w:rPr>
  </w:style>
  <w:style w:type="paragraph" w:styleId="Ttulo4">
    <w:name w:val="heading 4"/>
    <w:basedOn w:val="Normal"/>
    <w:next w:val="Normal"/>
    <w:link w:val="Ttulo4Char"/>
    <w:uiPriority w:val="9"/>
    <w:semiHidden/>
    <w:unhideWhenUsed/>
    <w:qFormat/>
    <w:rsid w:val="00367E15"/>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s-ES"/>
      <w14:ligatures w14:val="standardContextual"/>
    </w:rPr>
  </w:style>
  <w:style w:type="paragraph" w:styleId="Ttulo5">
    <w:name w:val="heading 5"/>
    <w:basedOn w:val="Normal"/>
    <w:next w:val="Normal"/>
    <w:link w:val="Ttulo5Char"/>
    <w:uiPriority w:val="9"/>
    <w:semiHidden/>
    <w:unhideWhenUsed/>
    <w:qFormat/>
    <w:rsid w:val="00367E15"/>
    <w:pPr>
      <w:keepNext/>
      <w:keepLines/>
      <w:spacing w:before="80" w:after="40" w:line="278" w:lineRule="auto"/>
      <w:outlineLvl w:val="4"/>
    </w:pPr>
    <w:rPr>
      <w:rFonts w:asciiTheme="minorHAnsi" w:eastAsiaTheme="majorEastAsia" w:hAnsiTheme="minorHAnsi" w:cstheme="majorBidi"/>
      <w:color w:val="0F4761" w:themeColor="accent1" w:themeShade="BF"/>
      <w:kern w:val="2"/>
      <w:lang w:val="es-ES"/>
      <w14:ligatures w14:val="standardContextual"/>
    </w:rPr>
  </w:style>
  <w:style w:type="paragraph" w:styleId="Ttulo6">
    <w:name w:val="heading 6"/>
    <w:basedOn w:val="Normal"/>
    <w:next w:val="Normal"/>
    <w:link w:val="Ttulo6Char"/>
    <w:uiPriority w:val="9"/>
    <w:semiHidden/>
    <w:unhideWhenUsed/>
    <w:qFormat/>
    <w:rsid w:val="00367E15"/>
    <w:pPr>
      <w:keepNext/>
      <w:keepLines/>
      <w:spacing w:before="40" w:line="278" w:lineRule="auto"/>
      <w:outlineLvl w:val="5"/>
    </w:pPr>
    <w:rPr>
      <w:rFonts w:asciiTheme="minorHAnsi" w:eastAsiaTheme="majorEastAsia" w:hAnsiTheme="minorHAnsi" w:cstheme="majorBidi"/>
      <w:i/>
      <w:iCs/>
      <w:color w:val="595959" w:themeColor="text1" w:themeTint="A6"/>
      <w:kern w:val="2"/>
      <w:lang w:val="es-ES"/>
      <w14:ligatures w14:val="standardContextual"/>
    </w:rPr>
  </w:style>
  <w:style w:type="paragraph" w:styleId="Ttulo7">
    <w:name w:val="heading 7"/>
    <w:basedOn w:val="Normal"/>
    <w:next w:val="Normal"/>
    <w:link w:val="Ttulo7Char"/>
    <w:uiPriority w:val="9"/>
    <w:semiHidden/>
    <w:unhideWhenUsed/>
    <w:qFormat/>
    <w:rsid w:val="00367E15"/>
    <w:pPr>
      <w:keepNext/>
      <w:keepLines/>
      <w:spacing w:before="40" w:line="278" w:lineRule="auto"/>
      <w:outlineLvl w:val="6"/>
    </w:pPr>
    <w:rPr>
      <w:rFonts w:asciiTheme="minorHAnsi" w:eastAsiaTheme="majorEastAsia" w:hAnsiTheme="minorHAnsi" w:cstheme="majorBidi"/>
      <w:color w:val="595959" w:themeColor="text1" w:themeTint="A6"/>
      <w:kern w:val="2"/>
      <w:lang w:val="es-ES"/>
      <w14:ligatures w14:val="standardContextual"/>
    </w:rPr>
  </w:style>
  <w:style w:type="paragraph" w:styleId="Ttulo8">
    <w:name w:val="heading 8"/>
    <w:basedOn w:val="Normal"/>
    <w:next w:val="Normal"/>
    <w:link w:val="Ttulo8Char"/>
    <w:uiPriority w:val="9"/>
    <w:semiHidden/>
    <w:unhideWhenUsed/>
    <w:qFormat/>
    <w:rsid w:val="00367E15"/>
    <w:pPr>
      <w:keepNext/>
      <w:keepLines/>
      <w:spacing w:line="278" w:lineRule="auto"/>
      <w:outlineLvl w:val="7"/>
    </w:pPr>
    <w:rPr>
      <w:rFonts w:asciiTheme="minorHAnsi" w:eastAsiaTheme="majorEastAsia" w:hAnsiTheme="minorHAnsi" w:cstheme="majorBidi"/>
      <w:i/>
      <w:iCs/>
      <w:color w:val="272727" w:themeColor="text1" w:themeTint="D8"/>
      <w:kern w:val="2"/>
      <w:lang w:val="es-ES"/>
      <w14:ligatures w14:val="standardContextual"/>
    </w:rPr>
  </w:style>
  <w:style w:type="paragraph" w:styleId="Ttulo9">
    <w:name w:val="heading 9"/>
    <w:basedOn w:val="Normal"/>
    <w:next w:val="Normal"/>
    <w:link w:val="Ttulo9Char"/>
    <w:uiPriority w:val="9"/>
    <w:semiHidden/>
    <w:unhideWhenUsed/>
    <w:qFormat/>
    <w:rsid w:val="00367E15"/>
    <w:pPr>
      <w:keepNext/>
      <w:keepLines/>
      <w:spacing w:line="278" w:lineRule="auto"/>
      <w:outlineLvl w:val="8"/>
    </w:pPr>
    <w:rPr>
      <w:rFonts w:asciiTheme="minorHAnsi" w:eastAsiaTheme="majorEastAsia" w:hAnsiTheme="minorHAnsi" w:cstheme="majorBidi"/>
      <w:color w:val="272727" w:themeColor="text1" w:themeTint="D8"/>
      <w:kern w:val="2"/>
      <w:lang w:val="es-E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67E1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67E1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67E1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67E1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67E1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67E1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67E1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67E1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67E15"/>
    <w:rPr>
      <w:rFonts w:eastAsiaTheme="majorEastAsia" w:cstheme="majorBidi"/>
      <w:color w:val="272727" w:themeColor="text1" w:themeTint="D8"/>
    </w:rPr>
  </w:style>
  <w:style w:type="paragraph" w:styleId="Ttulo">
    <w:name w:val="Title"/>
    <w:basedOn w:val="Normal"/>
    <w:next w:val="Normal"/>
    <w:link w:val="TtuloChar"/>
    <w:uiPriority w:val="10"/>
    <w:qFormat/>
    <w:rsid w:val="00367E15"/>
    <w:pPr>
      <w:spacing w:after="80"/>
      <w:contextualSpacing/>
    </w:pPr>
    <w:rPr>
      <w:rFonts w:asciiTheme="majorHAnsi" w:eastAsiaTheme="majorEastAsia" w:hAnsiTheme="majorHAnsi" w:cstheme="majorBidi"/>
      <w:spacing w:val="-10"/>
      <w:kern w:val="28"/>
      <w:sz w:val="56"/>
      <w:szCs w:val="56"/>
      <w:lang w:val="es-ES"/>
      <w14:ligatures w14:val="standardContextual"/>
    </w:rPr>
  </w:style>
  <w:style w:type="character" w:customStyle="1" w:styleId="TtuloChar">
    <w:name w:val="Título Char"/>
    <w:basedOn w:val="Fontepargpadro"/>
    <w:link w:val="Ttulo"/>
    <w:uiPriority w:val="10"/>
    <w:rsid w:val="00367E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67E1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s-ES"/>
      <w14:ligatures w14:val="standardContextual"/>
    </w:rPr>
  </w:style>
  <w:style w:type="character" w:customStyle="1" w:styleId="SubttuloChar">
    <w:name w:val="Subtítulo Char"/>
    <w:basedOn w:val="Fontepargpadro"/>
    <w:link w:val="Subttulo"/>
    <w:uiPriority w:val="11"/>
    <w:rsid w:val="00367E1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67E15"/>
    <w:pPr>
      <w:spacing w:before="160" w:after="160" w:line="278" w:lineRule="auto"/>
      <w:jc w:val="center"/>
    </w:pPr>
    <w:rPr>
      <w:rFonts w:asciiTheme="minorHAnsi" w:eastAsiaTheme="minorHAnsi" w:hAnsiTheme="minorHAnsi" w:cstheme="minorBidi"/>
      <w:i/>
      <w:iCs/>
      <w:color w:val="404040" w:themeColor="text1" w:themeTint="BF"/>
      <w:kern w:val="2"/>
      <w:lang w:val="es-ES"/>
      <w14:ligatures w14:val="standardContextual"/>
    </w:rPr>
  </w:style>
  <w:style w:type="character" w:customStyle="1" w:styleId="CitaoChar">
    <w:name w:val="Citação Char"/>
    <w:basedOn w:val="Fontepargpadro"/>
    <w:link w:val="Citao"/>
    <w:uiPriority w:val="29"/>
    <w:rsid w:val="00367E15"/>
    <w:rPr>
      <w:i/>
      <w:iCs/>
      <w:color w:val="404040" w:themeColor="text1" w:themeTint="BF"/>
    </w:rPr>
  </w:style>
  <w:style w:type="paragraph" w:styleId="PargrafodaLista">
    <w:name w:val="List Paragraph"/>
    <w:basedOn w:val="Normal"/>
    <w:uiPriority w:val="34"/>
    <w:qFormat/>
    <w:rsid w:val="00367E15"/>
    <w:pPr>
      <w:spacing w:after="160" w:line="278" w:lineRule="auto"/>
      <w:ind w:left="720"/>
      <w:contextualSpacing/>
    </w:pPr>
    <w:rPr>
      <w:rFonts w:asciiTheme="minorHAnsi" w:eastAsiaTheme="minorHAnsi" w:hAnsiTheme="minorHAnsi" w:cstheme="minorBidi"/>
      <w:kern w:val="2"/>
      <w:lang w:val="es-ES"/>
      <w14:ligatures w14:val="standardContextual"/>
    </w:rPr>
  </w:style>
  <w:style w:type="character" w:styleId="nfaseIntensa">
    <w:name w:val="Intense Emphasis"/>
    <w:basedOn w:val="Fontepargpadro"/>
    <w:uiPriority w:val="21"/>
    <w:qFormat/>
    <w:rsid w:val="00367E15"/>
    <w:rPr>
      <w:i/>
      <w:iCs/>
      <w:color w:val="0F4761" w:themeColor="accent1" w:themeShade="BF"/>
    </w:rPr>
  </w:style>
  <w:style w:type="paragraph" w:styleId="CitaoIntensa">
    <w:name w:val="Intense Quote"/>
    <w:basedOn w:val="Normal"/>
    <w:next w:val="Normal"/>
    <w:link w:val="CitaoIntensaChar"/>
    <w:uiPriority w:val="30"/>
    <w:qFormat/>
    <w:rsid w:val="00367E1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s-ES"/>
      <w14:ligatures w14:val="standardContextual"/>
    </w:rPr>
  </w:style>
  <w:style w:type="character" w:customStyle="1" w:styleId="CitaoIntensaChar">
    <w:name w:val="Citação Intensa Char"/>
    <w:basedOn w:val="Fontepargpadro"/>
    <w:link w:val="CitaoIntensa"/>
    <w:uiPriority w:val="30"/>
    <w:rsid w:val="00367E15"/>
    <w:rPr>
      <w:i/>
      <w:iCs/>
      <w:color w:val="0F4761" w:themeColor="accent1" w:themeShade="BF"/>
    </w:rPr>
  </w:style>
  <w:style w:type="character" w:styleId="RefernciaIntensa">
    <w:name w:val="Intense Reference"/>
    <w:basedOn w:val="Fontepargpadro"/>
    <w:uiPriority w:val="32"/>
    <w:qFormat/>
    <w:rsid w:val="00367E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896</Words>
  <Characters>4839</Characters>
  <Application>Microsoft Office Word</Application>
  <DocSecurity>4</DocSecurity>
  <Lines>40</Lines>
  <Paragraphs>11</Paragraphs>
  <ScaleCrop>false</ScaleCrop>
  <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Manuel Romero Sánchez</dc:creator>
  <cp:keywords/>
  <dc:description/>
  <cp:lastModifiedBy>Raphael Ranieree</cp:lastModifiedBy>
  <cp:revision>2</cp:revision>
  <dcterms:created xsi:type="dcterms:W3CDTF">2026-04-06T15:51:00Z</dcterms:created>
  <dcterms:modified xsi:type="dcterms:W3CDTF">2026-04-06T15:51:00Z</dcterms:modified>
</cp:coreProperties>
</file>