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608B6" w14:textId="77777777" w:rsidR="003617D8" w:rsidRPr="00054127" w:rsidRDefault="003617D8" w:rsidP="003617D8">
      <w:pPr>
        <w:rPr>
          <w:rFonts w:ascii="Arial" w:hAnsi="Arial" w:cs="Arial"/>
          <w:color w:val="000000"/>
          <w:sz w:val="20"/>
          <w:szCs w:val="20"/>
        </w:rPr>
      </w:pPr>
      <w:r w:rsidRPr="00BD206D">
        <w:rPr>
          <w:b/>
          <w:bCs/>
          <w:sz w:val="32"/>
          <w:szCs w:val="32"/>
        </w:rPr>
        <w:t>Online methods:</w:t>
      </w:r>
    </w:p>
    <w:p w14:paraId="3EA904E3" w14:textId="77777777" w:rsidR="003617D8" w:rsidRPr="00660F80" w:rsidRDefault="003617D8" w:rsidP="003617D8">
      <w:pPr>
        <w:rPr>
          <w:b/>
          <w:bCs/>
        </w:rPr>
      </w:pPr>
      <w:r w:rsidRPr="00660F80">
        <w:rPr>
          <w:b/>
          <w:bCs/>
        </w:rPr>
        <w:t>Data</w:t>
      </w:r>
    </w:p>
    <w:p w14:paraId="752D447A" w14:textId="77777777" w:rsidR="003617D8" w:rsidRDefault="003617D8" w:rsidP="003617D8">
      <w:r w:rsidRPr="00660F80">
        <w:t>All genome-wide association study (GWAS) summary statistics, including download links, publication year, originating study, and number of participants, are listed in Table 1. All primary analyses were performed using the GRCh38 genome build. Summary statistics provided in GRCh37 were lifted over to GRCh38 using Picard tools. Data were harmonized using custom scripts and restricted to HapMap3 variants for LDSC, PHBC, and related analyses to ensure consistent linkage disequilibrium reference and robust heritability estimation.</w:t>
      </w:r>
    </w:p>
    <w:tbl>
      <w:tblPr>
        <w:tblStyle w:val="GridTable1Light"/>
        <w:tblW w:w="8677" w:type="dxa"/>
        <w:tblLook w:val="04A0" w:firstRow="1" w:lastRow="0" w:firstColumn="1" w:lastColumn="0" w:noHBand="0" w:noVBand="1"/>
      </w:tblPr>
      <w:tblGrid>
        <w:gridCol w:w="2360"/>
        <w:gridCol w:w="1529"/>
        <w:gridCol w:w="660"/>
        <w:gridCol w:w="3200"/>
        <w:gridCol w:w="928"/>
      </w:tblGrid>
      <w:tr w:rsidR="003617D8" w:rsidRPr="0065604A" w14:paraId="4A6416D1" w14:textId="77777777" w:rsidTr="00E97BF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64A8F3E7"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trait</w:t>
            </w:r>
          </w:p>
        </w:tc>
        <w:tc>
          <w:tcPr>
            <w:tcW w:w="1529" w:type="dxa"/>
            <w:noWrap/>
            <w:hideMark/>
          </w:tcPr>
          <w:p w14:paraId="40A1E139" w14:textId="77777777" w:rsidR="003617D8" w:rsidRPr="0065604A" w:rsidRDefault="003617D8" w:rsidP="00E97BF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paper</w:t>
            </w:r>
          </w:p>
        </w:tc>
        <w:tc>
          <w:tcPr>
            <w:tcW w:w="660" w:type="dxa"/>
            <w:noWrap/>
            <w:hideMark/>
          </w:tcPr>
          <w:p w14:paraId="1D4A2EA9" w14:textId="77777777" w:rsidR="003617D8" w:rsidRPr="0065604A" w:rsidRDefault="003617D8" w:rsidP="00E97BF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year</w:t>
            </w:r>
          </w:p>
        </w:tc>
        <w:tc>
          <w:tcPr>
            <w:tcW w:w="3200" w:type="dxa"/>
            <w:noWrap/>
            <w:hideMark/>
          </w:tcPr>
          <w:p w14:paraId="41ECD2E6" w14:textId="77777777" w:rsidR="003617D8" w:rsidRPr="0065604A" w:rsidRDefault="003617D8" w:rsidP="00E97BF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 Functional group</w:t>
            </w:r>
          </w:p>
        </w:tc>
        <w:tc>
          <w:tcPr>
            <w:tcW w:w="928" w:type="dxa"/>
            <w:noWrap/>
            <w:hideMark/>
          </w:tcPr>
          <w:p w14:paraId="3563A2AA" w14:textId="77777777" w:rsidR="003617D8" w:rsidRPr="0065604A" w:rsidRDefault="003617D8" w:rsidP="00E97BF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included in MR</w:t>
            </w:r>
          </w:p>
        </w:tc>
      </w:tr>
      <w:tr w:rsidR="003617D8" w:rsidRPr="0065604A" w14:paraId="4BCCED6F"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7CCC3F91"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T2D</w:t>
            </w:r>
          </w:p>
        </w:tc>
        <w:tc>
          <w:tcPr>
            <w:tcW w:w="1529" w:type="dxa"/>
            <w:noWrap/>
            <w:hideMark/>
          </w:tcPr>
          <w:p w14:paraId="42AF903E"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PMID:30297969</w:t>
            </w:r>
          </w:p>
        </w:tc>
        <w:tc>
          <w:tcPr>
            <w:tcW w:w="660" w:type="dxa"/>
            <w:noWrap/>
            <w:hideMark/>
          </w:tcPr>
          <w:p w14:paraId="643D6A05"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2018</w:t>
            </w:r>
          </w:p>
        </w:tc>
        <w:tc>
          <w:tcPr>
            <w:tcW w:w="3200" w:type="dxa"/>
            <w:noWrap/>
            <w:hideMark/>
          </w:tcPr>
          <w:p w14:paraId="2319374E"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Energy / Cellular energetics </w:t>
            </w:r>
          </w:p>
        </w:tc>
        <w:tc>
          <w:tcPr>
            <w:tcW w:w="928" w:type="dxa"/>
            <w:noWrap/>
            <w:hideMark/>
          </w:tcPr>
          <w:p w14:paraId="196B7DFC"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31C08E5F"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0FBDA0B5"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nmr-Total-Triglycerides</w:t>
            </w:r>
          </w:p>
        </w:tc>
        <w:tc>
          <w:tcPr>
            <w:tcW w:w="1529" w:type="dxa"/>
            <w:noWrap/>
            <w:hideMark/>
          </w:tcPr>
          <w:p w14:paraId="78CAEA03"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PMID:40436851</w:t>
            </w:r>
          </w:p>
        </w:tc>
        <w:tc>
          <w:tcPr>
            <w:tcW w:w="660" w:type="dxa"/>
            <w:noWrap/>
            <w:hideMark/>
          </w:tcPr>
          <w:p w14:paraId="1B806004"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2025</w:t>
            </w:r>
          </w:p>
        </w:tc>
        <w:tc>
          <w:tcPr>
            <w:tcW w:w="3200" w:type="dxa"/>
            <w:noWrap/>
            <w:hideMark/>
          </w:tcPr>
          <w:p w14:paraId="26F034B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Energy / Cellular energetics </w:t>
            </w:r>
          </w:p>
        </w:tc>
        <w:tc>
          <w:tcPr>
            <w:tcW w:w="928" w:type="dxa"/>
            <w:noWrap/>
            <w:hideMark/>
          </w:tcPr>
          <w:p w14:paraId="68236AAE"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677B3113" w14:textId="77777777" w:rsidTr="00E97BFE">
        <w:trPr>
          <w:trHeight w:val="36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4322A156"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nmr-Lactate</w:t>
            </w:r>
          </w:p>
        </w:tc>
        <w:tc>
          <w:tcPr>
            <w:tcW w:w="1529" w:type="dxa"/>
            <w:noWrap/>
            <w:hideMark/>
          </w:tcPr>
          <w:p w14:paraId="22943D61"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PMID:40436851</w:t>
            </w:r>
          </w:p>
        </w:tc>
        <w:tc>
          <w:tcPr>
            <w:tcW w:w="660" w:type="dxa"/>
            <w:noWrap/>
            <w:hideMark/>
          </w:tcPr>
          <w:p w14:paraId="2C03839D"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2025</w:t>
            </w:r>
          </w:p>
        </w:tc>
        <w:tc>
          <w:tcPr>
            <w:tcW w:w="3200" w:type="dxa"/>
            <w:noWrap/>
            <w:hideMark/>
          </w:tcPr>
          <w:p w14:paraId="1DDCDB8E"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Energy / Cellular energetics </w:t>
            </w:r>
          </w:p>
        </w:tc>
        <w:tc>
          <w:tcPr>
            <w:tcW w:w="928" w:type="dxa"/>
            <w:noWrap/>
            <w:hideMark/>
          </w:tcPr>
          <w:p w14:paraId="3CDF8EEF"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7E28A8EB"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7C16A653"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Mito-DNA-CN</w:t>
            </w:r>
          </w:p>
        </w:tc>
        <w:tc>
          <w:tcPr>
            <w:tcW w:w="1529" w:type="dxa"/>
            <w:noWrap/>
            <w:hideMark/>
          </w:tcPr>
          <w:p w14:paraId="0BF7CB1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PMID:34859289</w:t>
            </w:r>
          </w:p>
        </w:tc>
        <w:tc>
          <w:tcPr>
            <w:tcW w:w="660" w:type="dxa"/>
            <w:noWrap/>
            <w:hideMark/>
          </w:tcPr>
          <w:p w14:paraId="3C3724D2"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2022</w:t>
            </w:r>
          </w:p>
        </w:tc>
        <w:tc>
          <w:tcPr>
            <w:tcW w:w="3200" w:type="dxa"/>
            <w:noWrap/>
            <w:hideMark/>
          </w:tcPr>
          <w:p w14:paraId="2A8C629C"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Energy / Cellular energetics </w:t>
            </w:r>
          </w:p>
        </w:tc>
        <w:tc>
          <w:tcPr>
            <w:tcW w:w="928" w:type="dxa"/>
            <w:noWrap/>
            <w:hideMark/>
          </w:tcPr>
          <w:p w14:paraId="66AFB7BD"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37DACE41"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78E548B6"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rbc-meanPlatelet-volume</w:t>
            </w:r>
          </w:p>
        </w:tc>
        <w:tc>
          <w:tcPr>
            <w:tcW w:w="1529" w:type="dxa"/>
            <w:noWrap/>
            <w:hideMark/>
          </w:tcPr>
          <w:p w14:paraId="0F236C60"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PMID:32888493</w:t>
            </w:r>
          </w:p>
        </w:tc>
        <w:tc>
          <w:tcPr>
            <w:tcW w:w="660" w:type="dxa"/>
            <w:noWrap/>
            <w:hideMark/>
          </w:tcPr>
          <w:p w14:paraId="5D0154E6"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2020</w:t>
            </w:r>
          </w:p>
        </w:tc>
        <w:tc>
          <w:tcPr>
            <w:tcW w:w="3200" w:type="dxa"/>
            <w:noWrap/>
            <w:hideMark/>
          </w:tcPr>
          <w:p w14:paraId="1722D3F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Immunothrombosis / Platelets</w:t>
            </w:r>
          </w:p>
        </w:tc>
        <w:tc>
          <w:tcPr>
            <w:tcW w:w="928" w:type="dxa"/>
            <w:noWrap/>
            <w:hideMark/>
          </w:tcPr>
          <w:p w14:paraId="2E2AB7D2"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7B3822DB"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60275AB8"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VWF</w:t>
            </w:r>
          </w:p>
        </w:tc>
        <w:tc>
          <w:tcPr>
            <w:tcW w:w="1529" w:type="dxa"/>
            <w:noWrap/>
            <w:hideMark/>
          </w:tcPr>
          <w:p w14:paraId="60D02D24"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PMID:37794186 </w:t>
            </w:r>
          </w:p>
        </w:tc>
        <w:tc>
          <w:tcPr>
            <w:tcW w:w="660" w:type="dxa"/>
            <w:noWrap/>
            <w:hideMark/>
          </w:tcPr>
          <w:p w14:paraId="2D60B84A"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2023</w:t>
            </w:r>
          </w:p>
        </w:tc>
        <w:tc>
          <w:tcPr>
            <w:tcW w:w="3200" w:type="dxa"/>
            <w:noWrap/>
            <w:hideMark/>
          </w:tcPr>
          <w:p w14:paraId="728AAC2C"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Immunothrombosis / Platelets</w:t>
            </w:r>
          </w:p>
        </w:tc>
        <w:tc>
          <w:tcPr>
            <w:tcW w:w="928" w:type="dxa"/>
            <w:noWrap/>
            <w:hideMark/>
          </w:tcPr>
          <w:p w14:paraId="4CFC0427"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78D5B7D2"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339E31D5"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Venous-thromboembolism</w:t>
            </w:r>
          </w:p>
        </w:tc>
        <w:tc>
          <w:tcPr>
            <w:tcW w:w="1529" w:type="dxa"/>
            <w:noWrap/>
            <w:hideMark/>
          </w:tcPr>
          <w:p w14:paraId="56EA7F0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PMID:36777996</w:t>
            </w:r>
          </w:p>
        </w:tc>
        <w:tc>
          <w:tcPr>
            <w:tcW w:w="660" w:type="dxa"/>
            <w:noWrap/>
            <w:hideMark/>
          </w:tcPr>
          <w:p w14:paraId="7D18611F"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2022</w:t>
            </w:r>
          </w:p>
        </w:tc>
        <w:tc>
          <w:tcPr>
            <w:tcW w:w="3200" w:type="dxa"/>
            <w:noWrap/>
            <w:hideMark/>
          </w:tcPr>
          <w:p w14:paraId="2B52CED6"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Immunothrombosis / Platelets</w:t>
            </w:r>
          </w:p>
        </w:tc>
        <w:tc>
          <w:tcPr>
            <w:tcW w:w="928" w:type="dxa"/>
            <w:noWrap/>
            <w:hideMark/>
          </w:tcPr>
          <w:p w14:paraId="22D5A2DD"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233BEE87"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39F9F4B1"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Varicose-veins</w:t>
            </w:r>
          </w:p>
        </w:tc>
        <w:tc>
          <w:tcPr>
            <w:tcW w:w="1529" w:type="dxa"/>
            <w:noWrap/>
            <w:hideMark/>
          </w:tcPr>
          <w:p w14:paraId="452CF873"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PMID:36653477</w:t>
            </w:r>
          </w:p>
        </w:tc>
        <w:tc>
          <w:tcPr>
            <w:tcW w:w="660" w:type="dxa"/>
            <w:noWrap/>
            <w:hideMark/>
          </w:tcPr>
          <w:p w14:paraId="69443EEC"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2023</w:t>
            </w:r>
          </w:p>
        </w:tc>
        <w:tc>
          <w:tcPr>
            <w:tcW w:w="3200" w:type="dxa"/>
            <w:noWrap/>
            <w:hideMark/>
          </w:tcPr>
          <w:p w14:paraId="7A2EDA31"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Perfusion / Vascular</w:t>
            </w:r>
          </w:p>
        </w:tc>
        <w:tc>
          <w:tcPr>
            <w:tcW w:w="928" w:type="dxa"/>
            <w:noWrap/>
            <w:hideMark/>
          </w:tcPr>
          <w:p w14:paraId="727590AB"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0D842F8E"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4D3A7501"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ortho-hypotens</w:t>
            </w:r>
          </w:p>
        </w:tc>
        <w:tc>
          <w:tcPr>
            <w:tcW w:w="1529" w:type="dxa"/>
            <w:noWrap/>
            <w:hideMark/>
          </w:tcPr>
          <w:p w14:paraId="56A7778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PMID:30104761</w:t>
            </w:r>
          </w:p>
        </w:tc>
        <w:tc>
          <w:tcPr>
            <w:tcW w:w="660" w:type="dxa"/>
            <w:noWrap/>
            <w:hideMark/>
          </w:tcPr>
          <w:p w14:paraId="71A1AA3E"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2019</w:t>
            </w:r>
          </w:p>
        </w:tc>
        <w:tc>
          <w:tcPr>
            <w:tcW w:w="3200" w:type="dxa"/>
            <w:noWrap/>
            <w:hideMark/>
          </w:tcPr>
          <w:p w14:paraId="620D06CE"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Perfusion / Vascular</w:t>
            </w:r>
          </w:p>
        </w:tc>
        <w:tc>
          <w:tcPr>
            <w:tcW w:w="928" w:type="dxa"/>
            <w:noWrap/>
            <w:hideMark/>
          </w:tcPr>
          <w:p w14:paraId="28CAF776"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08FBCB60"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23210B37"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Migrane</w:t>
            </w:r>
          </w:p>
        </w:tc>
        <w:tc>
          <w:tcPr>
            <w:tcW w:w="1529" w:type="dxa"/>
            <w:noWrap/>
            <w:hideMark/>
          </w:tcPr>
          <w:p w14:paraId="45B81266"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PMID:39024449</w:t>
            </w:r>
          </w:p>
        </w:tc>
        <w:tc>
          <w:tcPr>
            <w:tcW w:w="660" w:type="dxa"/>
            <w:noWrap/>
            <w:hideMark/>
          </w:tcPr>
          <w:p w14:paraId="41A6AF97"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2024</w:t>
            </w:r>
          </w:p>
        </w:tc>
        <w:tc>
          <w:tcPr>
            <w:tcW w:w="3200" w:type="dxa"/>
            <w:noWrap/>
            <w:hideMark/>
          </w:tcPr>
          <w:p w14:paraId="32AB1A35"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Perfusion / Vascular</w:t>
            </w:r>
          </w:p>
        </w:tc>
        <w:tc>
          <w:tcPr>
            <w:tcW w:w="928" w:type="dxa"/>
            <w:noWrap/>
            <w:hideMark/>
          </w:tcPr>
          <w:p w14:paraId="691941BC"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54A8799B"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3EB5E1F0"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WMH-volume</w:t>
            </w:r>
          </w:p>
        </w:tc>
        <w:tc>
          <w:tcPr>
            <w:tcW w:w="1529" w:type="dxa"/>
            <w:noWrap/>
            <w:hideMark/>
          </w:tcPr>
          <w:p w14:paraId="62A999A3"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PMID:33293549</w:t>
            </w:r>
          </w:p>
        </w:tc>
        <w:tc>
          <w:tcPr>
            <w:tcW w:w="660" w:type="dxa"/>
            <w:noWrap/>
            <w:hideMark/>
          </w:tcPr>
          <w:p w14:paraId="1F78002C"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2020</w:t>
            </w:r>
          </w:p>
        </w:tc>
        <w:tc>
          <w:tcPr>
            <w:tcW w:w="3200" w:type="dxa"/>
            <w:noWrap/>
            <w:hideMark/>
          </w:tcPr>
          <w:p w14:paraId="59AB586C"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Perfusion / Vascular</w:t>
            </w:r>
          </w:p>
        </w:tc>
        <w:tc>
          <w:tcPr>
            <w:tcW w:w="928" w:type="dxa"/>
            <w:noWrap/>
            <w:hideMark/>
          </w:tcPr>
          <w:p w14:paraId="1D6C092B"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45847E8D"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5E4E17FB"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IBS</w:t>
            </w:r>
          </w:p>
        </w:tc>
        <w:tc>
          <w:tcPr>
            <w:tcW w:w="1529" w:type="dxa"/>
            <w:noWrap/>
            <w:hideMark/>
          </w:tcPr>
          <w:p w14:paraId="74FAEEDE"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PMID:34741163</w:t>
            </w:r>
          </w:p>
        </w:tc>
        <w:tc>
          <w:tcPr>
            <w:tcW w:w="660" w:type="dxa"/>
            <w:noWrap/>
            <w:hideMark/>
          </w:tcPr>
          <w:p w14:paraId="59AAB00F"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2021</w:t>
            </w:r>
          </w:p>
        </w:tc>
        <w:tc>
          <w:tcPr>
            <w:tcW w:w="3200" w:type="dxa"/>
            <w:noWrap/>
            <w:hideMark/>
          </w:tcPr>
          <w:p w14:paraId="04312192"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Barrier / Microbiome–epithelium</w:t>
            </w:r>
          </w:p>
        </w:tc>
        <w:tc>
          <w:tcPr>
            <w:tcW w:w="928" w:type="dxa"/>
            <w:noWrap/>
            <w:hideMark/>
          </w:tcPr>
          <w:p w14:paraId="6BE183A7"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3F70E51C"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06F7BBD2"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Crohns</w:t>
            </w:r>
          </w:p>
        </w:tc>
        <w:tc>
          <w:tcPr>
            <w:tcW w:w="1529" w:type="dxa"/>
            <w:noWrap/>
            <w:hideMark/>
          </w:tcPr>
          <w:p w14:paraId="68ED1D8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PMID:37156999</w:t>
            </w:r>
          </w:p>
        </w:tc>
        <w:tc>
          <w:tcPr>
            <w:tcW w:w="660" w:type="dxa"/>
            <w:noWrap/>
            <w:hideMark/>
          </w:tcPr>
          <w:p w14:paraId="6B92FE16"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2023</w:t>
            </w:r>
          </w:p>
        </w:tc>
        <w:tc>
          <w:tcPr>
            <w:tcW w:w="3200" w:type="dxa"/>
            <w:noWrap/>
            <w:hideMark/>
          </w:tcPr>
          <w:p w14:paraId="012A92B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Barrier / Microbiome–epithelium</w:t>
            </w:r>
          </w:p>
        </w:tc>
        <w:tc>
          <w:tcPr>
            <w:tcW w:w="928" w:type="dxa"/>
            <w:noWrap/>
            <w:hideMark/>
          </w:tcPr>
          <w:p w14:paraId="594B7914"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7C5484FC"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6912373D"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Ulcerative-colitis</w:t>
            </w:r>
          </w:p>
        </w:tc>
        <w:tc>
          <w:tcPr>
            <w:tcW w:w="1529" w:type="dxa"/>
            <w:noWrap/>
            <w:hideMark/>
          </w:tcPr>
          <w:p w14:paraId="7ADE17B7"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PMID:37156999</w:t>
            </w:r>
          </w:p>
        </w:tc>
        <w:tc>
          <w:tcPr>
            <w:tcW w:w="660" w:type="dxa"/>
            <w:noWrap/>
            <w:hideMark/>
          </w:tcPr>
          <w:p w14:paraId="3540D1A6"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2023</w:t>
            </w:r>
          </w:p>
        </w:tc>
        <w:tc>
          <w:tcPr>
            <w:tcW w:w="3200" w:type="dxa"/>
            <w:noWrap/>
            <w:hideMark/>
          </w:tcPr>
          <w:p w14:paraId="12B7A50C"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Barrier / Microbiome–epithelium</w:t>
            </w:r>
          </w:p>
        </w:tc>
        <w:tc>
          <w:tcPr>
            <w:tcW w:w="928" w:type="dxa"/>
            <w:noWrap/>
            <w:hideMark/>
          </w:tcPr>
          <w:p w14:paraId="2A438BBC"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18B870A8"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517EA1A5"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Alzheimers</w:t>
            </w:r>
          </w:p>
        </w:tc>
        <w:tc>
          <w:tcPr>
            <w:tcW w:w="1529" w:type="dxa"/>
            <w:noWrap/>
            <w:hideMark/>
          </w:tcPr>
          <w:p w14:paraId="020C1894"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PMID:34493870</w:t>
            </w:r>
          </w:p>
        </w:tc>
        <w:tc>
          <w:tcPr>
            <w:tcW w:w="660" w:type="dxa"/>
            <w:noWrap/>
            <w:hideMark/>
          </w:tcPr>
          <w:p w14:paraId="25178CE1"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2021</w:t>
            </w:r>
          </w:p>
        </w:tc>
        <w:tc>
          <w:tcPr>
            <w:tcW w:w="3200" w:type="dxa"/>
            <w:noWrap/>
            <w:hideMark/>
          </w:tcPr>
          <w:p w14:paraId="1384668A"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Neuroinflammation &amp;  Adaptive skew </w:t>
            </w:r>
          </w:p>
        </w:tc>
        <w:tc>
          <w:tcPr>
            <w:tcW w:w="928" w:type="dxa"/>
            <w:noWrap/>
            <w:hideMark/>
          </w:tcPr>
          <w:p w14:paraId="595E7B99"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06EC8CE7"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76C688DC"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MS</w:t>
            </w:r>
          </w:p>
        </w:tc>
        <w:tc>
          <w:tcPr>
            <w:tcW w:w="1529" w:type="dxa"/>
            <w:noWrap/>
            <w:hideMark/>
          </w:tcPr>
          <w:p w14:paraId="397D6A17"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PMID:31604244</w:t>
            </w:r>
          </w:p>
        </w:tc>
        <w:tc>
          <w:tcPr>
            <w:tcW w:w="660" w:type="dxa"/>
            <w:noWrap/>
            <w:hideMark/>
          </w:tcPr>
          <w:p w14:paraId="1B5BCC19"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2019</w:t>
            </w:r>
          </w:p>
        </w:tc>
        <w:tc>
          <w:tcPr>
            <w:tcW w:w="3200" w:type="dxa"/>
            <w:noWrap/>
            <w:hideMark/>
          </w:tcPr>
          <w:p w14:paraId="2BB1A975"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Neuroinflammation &amp;  Adaptive skew </w:t>
            </w:r>
          </w:p>
        </w:tc>
        <w:tc>
          <w:tcPr>
            <w:tcW w:w="928" w:type="dxa"/>
            <w:noWrap/>
            <w:hideMark/>
          </w:tcPr>
          <w:p w14:paraId="59BEC731"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43FB55C7"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3BE63530"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Cortisol-level-1</w:t>
            </w:r>
          </w:p>
        </w:tc>
        <w:tc>
          <w:tcPr>
            <w:tcW w:w="1529" w:type="dxa"/>
            <w:noWrap/>
            <w:hideMark/>
          </w:tcPr>
          <w:p w14:paraId="09933FEB"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PMID:33469137</w:t>
            </w:r>
          </w:p>
        </w:tc>
        <w:tc>
          <w:tcPr>
            <w:tcW w:w="660" w:type="dxa"/>
            <w:noWrap/>
            <w:hideMark/>
          </w:tcPr>
          <w:p w14:paraId="7107C6CD"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2021</w:t>
            </w:r>
          </w:p>
        </w:tc>
        <w:tc>
          <w:tcPr>
            <w:tcW w:w="3200" w:type="dxa"/>
            <w:noWrap/>
            <w:hideMark/>
          </w:tcPr>
          <w:p w14:paraId="52629BA9"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Neuroinflammation &amp;  Adaptive skew </w:t>
            </w:r>
          </w:p>
        </w:tc>
        <w:tc>
          <w:tcPr>
            <w:tcW w:w="928" w:type="dxa"/>
            <w:noWrap/>
            <w:hideMark/>
          </w:tcPr>
          <w:p w14:paraId="2BFA7F88"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62849AF1"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1C16972D"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lastRenderedPageBreak/>
              <w:t>Insomina</w:t>
            </w:r>
          </w:p>
        </w:tc>
        <w:tc>
          <w:tcPr>
            <w:tcW w:w="1529" w:type="dxa"/>
            <w:noWrap/>
            <w:hideMark/>
          </w:tcPr>
          <w:p w14:paraId="29B251B2"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PMID:30804565</w:t>
            </w:r>
          </w:p>
        </w:tc>
        <w:tc>
          <w:tcPr>
            <w:tcW w:w="660" w:type="dxa"/>
            <w:noWrap/>
            <w:hideMark/>
          </w:tcPr>
          <w:p w14:paraId="38F4E3EB"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2019</w:t>
            </w:r>
          </w:p>
        </w:tc>
        <w:tc>
          <w:tcPr>
            <w:tcW w:w="3200" w:type="dxa"/>
            <w:noWrap/>
            <w:hideMark/>
          </w:tcPr>
          <w:p w14:paraId="25D88870"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Neuroinflammation &amp;  Adaptive skew </w:t>
            </w:r>
          </w:p>
        </w:tc>
        <w:tc>
          <w:tcPr>
            <w:tcW w:w="928" w:type="dxa"/>
            <w:noWrap/>
            <w:hideMark/>
          </w:tcPr>
          <w:p w14:paraId="7EF6F0E6"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1C02AFC8"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14390544"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SLE</w:t>
            </w:r>
          </w:p>
        </w:tc>
        <w:tc>
          <w:tcPr>
            <w:tcW w:w="1529" w:type="dxa"/>
            <w:noWrap/>
            <w:hideMark/>
          </w:tcPr>
          <w:p w14:paraId="6A8BC2E3"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PMID:36750564</w:t>
            </w:r>
          </w:p>
        </w:tc>
        <w:tc>
          <w:tcPr>
            <w:tcW w:w="660" w:type="dxa"/>
            <w:noWrap/>
            <w:hideMark/>
          </w:tcPr>
          <w:p w14:paraId="0EC07FB8"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2023</w:t>
            </w:r>
          </w:p>
        </w:tc>
        <w:tc>
          <w:tcPr>
            <w:tcW w:w="3200" w:type="dxa"/>
            <w:noWrap/>
            <w:hideMark/>
          </w:tcPr>
          <w:p w14:paraId="09F075FC"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Neuroinflammation &amp;  Adaptive skew </w:t>
            </w:r>
          </w:p>
        </w:tc>
        <w:tc>
          <w:tcPr>
            <w:tcW w:w="928" w:type="dxa"/>
            <w:noWrap/>
            <w:hideMark/>
          </w:tcPr>
          <w:p w14:paraId="68EB0A9A"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27EFE4D4"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2E1E4C78"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RheumatoidArthritis</w:t>
            </w:r>
          </w:p>
        </w:tc>
        <w:tc>
          <w:tcPr>
            <w:tcW w:w="1529" w:type="dxa"/>
            <w:noWrap/>
            <w:hideMark/>
          </w:tcPr>
          <w:p w14:paraId="5B687601"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 36333501</w:t>
            </w:r>
          </w:p>
        </w:tc>
        <w:tc>
          <w:tcPr>
            <w:tcW w:w="660" w:type="dxa"/>
            <w:noWrap/>
            <w:hideMark/>
          </w:tcPr>
          <w:p w14:paraId="5183D91B"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2022</w:t>
            </w:r>
          </w:p>
        </w:tc>
        <w:tc>
          <w:tcPr>
            <w:tcW w:w="3200" w:type="dxa"/>
            <w:noWrap/>
            <w:hideMark/>
          </w:tcPr>
          <w:p w14:paraId="4A2CCB5B"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 xml:space="preserve">Neuroinflammation &amp;  Adaptive skew </w:t>
            </w:r>
          </w:p>
        </w:tc>
        <w:tc>
          <w:tcPr>
            <w:tcW w:w="928" w:type="dxa"/>
            <w:noWrap/>
            <w:hideMark/>
          </w:tcPr>
          <w:p w14:paraId="33824723"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0</w:t>
            </w:r>
          </w:p>
        </w:tc>
      </w:tr>
      <w:tr w:rsidR="003617D8" w:rsidRPr="0065604A" w14:paraId="084A63BE"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392A6E0F"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nmr-Glycoprotein-Acetyls</w:t>
            </w:r>
          </w:p>
        </w:tc>
        <w:tc>
          <w:tcPr>
            <w:tcW w:w="1529" w:type="dxa"/>
            <w:noWrap/>
            <w:hideMark/>
          </w:tcPr>
          <w:p w14:paraId="2BCD1582"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PMID:40436851</w:t>
            </w:r>
          </w:p>
        </w:tc>
        <w:tc>
          <w:tcPr>
            <w:tcW w:w="660" w:type="dxa"/>
            <w:noWrap/>
            <w:hideMark/>
          </w:tcPr>
          <w:p w14:paraId="75BEF0D1"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2025</w:t>
            </w:r>
          </w:p>
        </w:tc>
        <w:tc>
          <w:tcPr>
            <w:tcW w:w="3200" w:type="dxa"/>
            <w:noWrap/>
            <w:hideMark/>
          </w:tcPr>
          <w:p w14:paraId="392984E7"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inflammatory</w:t>
            </w:r>
          </w:p>
        </w:tc>
        <w:tc>
          <w:tcPr>
            <w:tcW w:w="928" w:type="dxa"/>
            <w:noWrap/>
            <w:hideMark/>
          </w:tcPr>
          <w:p w14:paraId="08DC58E1"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r w:rsidR="003617D8" w:rsidRPr="0065604A" w14:paraId="28D7A9B3" w14:textId="77777777" w:rsidTr="00E97BFE">
        <w:trPr>
          <w:trHeight w:val="320"/>
        </w:trPr>
        <w:tc>
          <w:tcPr>
            <w:cnfStyle w:val="001000000000" w:firstRow="0" w:lastRow="0" w:firstColumn="1" w:lastColumn="0" w:oddVBand="0" w:evenVBand="0" w:oddHBand="0" w:evenHBand="0" w:firstRowFirstColumn="0" w:firstRowLastColumn="0" w:lastRowFirstColumn="0" w:lastRowLastColumn="0"/>
            <w:tcW w:w="2360" w:type="dxa"/>
            <w:noWrap/>
            <w:hideMark/>
          </w:tcPr>
          <w:p w14:paraId="28E125C0" w14:textId="77777777" w:rsidR="003617D8" w:rsidRPr="0065604A" w:rsidRDefault="003617D8" w:rsidP="00E97BFE">
            <w:pPr>
              <w:rPr>
                <w:rFonts w:ascii="Calibri" w:eastAsia="Times New Roman" w:hAnsi="Calibri" w:cs="Calibri"/>
                <w:color w:val="000000"/>
                <w:sz w:val="20"/>
                <w:szCs w:val="20"/>
              </w:rPr>
            </w:pPr>
            <w:r w:rsidRPr="0065604A">
              <w:rPr>
                <w:rFonts w:ascii="Calibri" w:eastAsia="Times New Roman" w:hAnsi="Calibri" w:cs="Calibri"/>
                <w:color w:val="000000"/>
                <w:sz w:val="20"/>
                <w:szCs w:val="20"/>
              </w:rPr>
              <w:t>rbc-mono</w:t>
            </w:r>
          </w:p>
        </w:tc>
        <w:tc>
          <w:tcPr>
            <w:tcW w:w="1529" w:type="dxa"/>
            <w:noWrap/>
            <w:hideMark/>
          </w:tcPr>
          <w:p w14:paraId="6071F34A"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PMID:32888493</w:t>
            </w:r>
          </w:p>
        </w:tc>
        <w:tc>
          <w:tcPr>
            <w:tcW w:w="660" w:type="dxa"/>
            <w:noWrap/>
            <w:hideMark/>
          </w:tcPr>
          <w:p w14:paraId="0E8F5519"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2020</w:t>
            </w:r>
          </w:p>
        </w:tc>
        <w:tc>
          <w:tcPr>
            <w:tcW w:w="3200" w:type="dxa"/>
            <w:noWrap/>
            <w:hideMark/>
          </w:tcPr>
          <w:p w14:paraId="2BC0532F" w14:textId="77777777" w:rsidR="003617D8" w:rsidRPr="0065604A" w:rsidRDefault="003617D8" w:rsidP="00E97BF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inflammatory</w:t>
            </w:r>
          </w:p>
        </w:tc>
        <w:tc>
          <w:tcPr>
            <w:tcW w:w="928" w:type="dxa"/>
            <w:noWrap/>
            <w:hideMark/>
          </w:tcPr>
          <w:p w14:paraId="0C440745" w14:textId="77777777" w:rsidR="003617D8" w:rsidRPr="0065604A" w:rsidRDefault="003617D8" w:rsidP="00E97BF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65604A">
              <w:rPr>
                <w:rFonts w:ascii="Calibri" w:eastAsia="Times New Roman" w:hAnsi="Calibri" w:cs="Calibri"/>
                <w:color w:val="000000"/>
                <w:sz w:val="20"/>
                <w:szCs w:val="20"/>
              </w:rPr>
              <w:t>1</w:t>
            </w:r>
          </w:p>
        </w:tc>
      </w:tr>
    </w:tbl>
    <w:p w14:paraId="74960460" w14:textId="77777777" w:rsidR="003617D8" w:rsidRDefault="003617D8" w:rsidP="003617D8">
      <w:pPr>
        <w:contextualSpacing/>
        <w:rPr>
          <w:rFonts w:ascii="Arial" w:hAnsi="Arial" w:cs="Arial"/>
          <w:sz w:val="20"/>
          <w:szCs w:val="20"/>
        </w:rPr>
      </w:pPr>
      <w:r w:rsidRPr="0027603B">
        <w:rPr>
          <w:b/>
          <w:bCs/>
        </w:rPr>
        <w:t>Online Methods Table 1.</w:t>
      </w:r>
      <w:r w:rsidRPr="0027603B">
        <w:t xml:space="preserve"> Overview of GWAS summary statistics included in the analyses. The source publication for each trait is identified by PubMed ID and publication year. Traits are assigned to functional groups corresponding to the mechanistic domains shown in Figure 1 and referenced throughout the manuscript. The column Included in MR indicates whether a trait was analyzed using Mendelian randomization (1 = included, 0 = not included). Sample sizes and direct download links to all summary statistics are available at Zenodo</w:t>
      </w:r>
      <w:r>
        <w:t xml:space="preserve">: </w:t>
      </w:r>
      <w:hyperlink r:id="rId4" w:history="1">
        <w:r w:rsidRPr="00762736">
          <w:rPr>
            <w:rStyle w:val="Hyperlink"/>
            <w:rFonts w:ascii="Arial" w:hAnsi="Arial" w:cs="Arial"/>
            <w:sz w:val="20"/>
            <w:szCs w:val="20"/>
          </w:rPr>
          <w:t>https://doi.org/10.5281/zenodo.18198370</w:t>
        </w:r>
      </w:hyperlink>
      <w:r>
        <w:rPr>
          <w:rFonts w:ascii="Arial" w:hAnsi="Arial" w:cs="Arial"/>
          <w:sz w:val="20"/>
          <w:szCs w:val="20"/>
        </w:rPr>
        <w:t xml:space="preserve"> </w:t>
      </w:r>
    </w:p>
    <w:p w14:paraId="3A32DA9A" w14:textId="77777777" w:rsidR="003617D8" w:rsidRDefault="003617D8" w:rsidP="003617D8"/>
    <w:p w14:paraId="4BF90602" w14:textId="77777777" w:rsidR="003617D8" w:rsidRPr="00660F80" w:rsidRDefault="003617D8" w:rsidP="003617D8">
      <w:pPr>
        <w:rPr>
          <w:b/>
          <w:bCs/>
        </w:rPr>
      </w:pPr>
      <w:r w:rsidRPr="00660F80">
        <w:rPr>
          <w:b/>
          <w:bCs/>
        </w:rPr>
        <w:t>Linkage Disequilibrium Score Regression (LDSC)</w:t>
      </w:r>
    </w:p>
    <w:p w14:paraId="2B68602E" w14:textId="77777777" w:rsidR="003617D8" w:rsidRDefault="003617D8" w:rsidP="003617D8">
      <w:r w:rsidRPr="00660F80">
        <w:t>Linkage Disequilibrium Score Regression was performed as previously described to estimate SNP-based heritability and pairwise genetic correlations. Analyses were conducted using European-ancestry LD scores and standard preprocessing steps. A detailed description of the LDSC pipeline and parameter settings is provided in our prior work (</w:t>
      </w:r>
      <w:hyperlink r:id="rId5" w:history="1">
        <w:r w:rsidRPr="00166577">
          <w:rPr>
            <w:rStyle w:val="Hyperlink"/>
          </w:rPr>
          <w:t>https://doi.org/10.21203/rs.3.rs-7528705/v1</w:t>
        </w:r>
      </w:hyperlink>
      <w:r>
        <w:t xml:space="preserve"> </w:t>
      </w:r>
      <w:r w:rsidRPr="00660F80">
        <w:t>).</w:t>
      </w:r>
    </w:p>
    <w:p w14:paraId="5E3E9C4D" w14:textId="77777777" w:rsidR="003617D8" w:rsidRPr="0028734C" w:rsidRDefault="003617D8" w:rsidP="003617D8">
      <w:pPr>
        <w:rPr>
          <w:b/>
          <w:bCs/>
        </w:rPr>
      </w:pPr>
      <w:r w:rsidRPr="0028734C">
        <w:rPr>
          <w:b/>
          <w:bCs/>
        </w:rPr>
        <w:t>Pleiotropic Heritability Block Correction (PHBC)</w:t>
      </w:r>
      <w:r>
        <w:rPr>
          <w:b/>
          <w:bCs/>
        </w:rPr>
        <w:t>:</w:t>
      </w:r>
      <w:r w:rsidRPr="0028734C">
        <w:rPr>
          <w:b/>
          <w:bCs/>
        </w:rPr>
        <w:t xml:space="preserve"> </w:t>
      </w:r>
    </w:p>
    <w:p w14:paraId="22FF1CC7" w14:textId="77777777" w:rsidR="003617D8" w:rsidRPr="0028734C" w:rsidRDefault="003617D8" w:rsidP="003617D8">
      <w:r w:rsidRPr="0028734C">
        <w:t>Shared pleiotropic heritability was estimated using the PHBC framework, based on the methodology and core code described in the pleioh2g preprint (</w:t>
      </w:r>
      <w:hyperlink r:id="rId6" w:history="1">
        <w:r w:rsidRPr="00166577">
          <w:rPr>
            <w:rStyle w:val="Hyperlink"/>
          </w:rPr>
          <w:t>https://doi.org/10.1101/2025.06.10.25329261</w:t>
        </w:r>
      </w:hyperlink>
      <w:r>
        <w:t xml:space="preserve"> </w:t>
      </w:r>
      <w:r w:rsidRPr="0028734C">
        <w:t>) and repository</w:t>
      </w:r>
      <w:r>
        <w:t xml:space="preserve"> </w:t>
      </w:r>
      <w:r w:rsidRPr="0028734C">
        <w:t>(</w:t>
      </w:r>
      <w:hyperlink r:id="rId7" w:history="1">
        <w:r w:rsidRPr="00166577">
          <w:rPr>
            <w:rStyle w:val="Hyperlink"/>
          </w:rPr>
          <w:t>https://github.com/cran/pleioh2g</w:t>
        </w:r>
      </w:hyperlink>
      <w:r>
        <w:t xml:space="preserve"> </w:t>
      </w:r>
      <w:r w:rsidRPr="0028734C">
        <w:t xml:space="preserve">). PHBC extends standard Linkage Disequilibrium Score Regression (LDSC) by decomposing trait heritability into components that are shared across traits versus trait-specific, thereby quantifying pleiotropic genetic contributions beyond pairwise genetic correlation. </w:t>
      </w:r>
      <w:r w:rsidRPr="0040732B">
        <w:t>Liability-scale heritability estimates were computed for binary traits using established transformations incorporating sample and population prevalence; all prevalence assumptions and resulting estimates are provided via Zenodo (</w:t>
      </w:r>
      <w:hyperlink r:id="rId8" w:history="1">
        <w:r w:rsidRPr="00762736">
          <w:rPr>
            <w:rStyle w:val="Hyperlink"/>
          </w:rPr>
          <w:t>https://doi.org/10.5281/zenodo.18198370</w:t>
        </w:r>
      </w:hyperlink>
      <w:r>
        <w:t xml:space="preserve"> </w:t>
      </w:r>
      <w:r w:rsidRPr="0040732B">
        <w:t>). To characterize the structure of pleiotropic overlap, PHBC analyses were conducted in three complementary configurations. First, single-trait PHBC models were used to estimate pairwise shared heritability between ME/CFS and each auxiliary trait individually. Second, a full multi-trait PHBC model including all auxiliary traits simultaneously was fitted to estimate the total proportion of ME/CFS heritability attributable to shared pleiotropy across domains. Third, leave-one-out models were constructed by excluding each auxiliary trait in turn from the multi-trait model; reductions in shared pleiotropic heritability relative to the full model were interpreted as evidence that the excluded trait captures a distinct pleiotropic component not explained by the remaining traits. These analyses form the basis of the barplot shown in Figure 1B.</w:t>
      </w:r>
    </w:p>
    <w:p w14:paraId="2FFFB9DD" w14:textId="77777777" w:rsidR="003617D8" w:rsidRDefault="003617D8" w:rsidP="003617D8">
      <w:r w:rsidRPr="0028734C">
        <w:lastRenderedPageBreak/>
        <w:t>Rather than using the original wrapper functions, we implemented a two-step pipeline that (i) computes cross-trait LDSC estimates with and without jackknifing and (ii) applies the PHBC model to partition shared pleiotropic heritability across multiple auxiliary traits. This implementation enables flexible execution in distributed computing environments and ensures reproducible software deployment via containerization. All scripts, a Docker container</w:t>
      </w:r>
      <w:r>
        <w:t xml:space="preserve"> (</w:t>
      </w:r>
      <w:hyperlink r:id="rId9" w:history="1">
        <w:r w:rsidRPr="00166577">
          <w:rPr>
            <w:rStyle w:val="Hyperlink"/>
          </w:rPr>
          <w:t>https://hub.docker.com/r/mwielsch/pleioh2g</w:t>
        </w:r>
      </w:hyperlink>
      <w:r>
        <w:t xml:space="preserve"> )</w:t>
      </w:r>
      <w:r w:rsidRPr="0028734C">
        <w:t xml:space="preserve">, and the corresponding Dockerfile </w:t>
      </w:r>
      <w:r w:rsidRPr="005E6AC1">
        <w:t>are provided in a GitHub repository (</w:t>
      </w:r>
      <w:hyperlink r:id="rId10" w:history="1">
        <w:r w:rsidRPr="001C20D7">
          <w:rPr>
            <w:rStyle w:val="Hyperlink"/>
          </w:rPr>
          <w:t>https://github.com/Mwielscher/pleioh2g_MECFS</w:t>
        </w:r>
      </w:hyperlink>
      <w:r>
        <w:rPr>
          <w:color w:val="EE0000"/>
        </w:rPr>
        <w:t xml:space="preserve"> </w:t>
      </w:r>
      <w:r w:rsidRPr="0028734C">
        <w:t>).</w:t>
      </w:r>
    </w:p>
    <w:p w14:paraId="008A1646" w14:textId="77777777" w:rsidR="003617D8" w:rsidRDefault="003617D8" w:rsidP="003617D8"/>
    <w:p w14:paraId="4C853DBE" w14:textId="77777777" w:rsidR="003617D8" w:rsidRDefault="003617D8" w:rsidP="003617D8"/>
    <w:p w14:paraId="2E9E7259" w14:textId="77777777" w:rsidR="003617D8" w:rsidRPr="00581FB4" w:rsidRDefault="003617D8" w:rsidP="003617D8">
      <w:pPr>
        <w:rPr>
          <w:b/>
          <w:bCs/>
        </w:rPr>
      </w:pPr>
      <w:r w:rsidRPr="00581FB4">
        <w:rPr>
          <w:b/>
          <w:bCs/>
        </w:rPr>
        <w:t>Mendelian Randomization (MR)</w:t>
      </w:r>
    </w:p>
    <w:p w14:paraId="0F959AD9" w14:textId="77777777" w:rsidR="003617D8" w:rsidRDefault="003617D8" w:rsidP="003617D8">
      <w:r w:rsidRPr="00581FB4">
        <w:t xml:space="preserve">Mendelian randomization analyses were conducted to assess potential causal relationships between selected biomarker traits and ME/CFS using established two-sample MR frameworks. Genetic instruments were selected based on genome-wide significance and linkage disequilibrium pruning. Primary causal estimates were obtained using the inverse-variance weighted (IVW) method, with additional sensitivity analyses performed to assess robustness to horizontal pleiotropy and instrument heterogeneity. </w:t>
      </w:r>
      <w:r w:rsidRPr="00D35568">
        <w:t>To account for multiple testing across nine biomarker exposures, a Bonferroni-corrected significance threshold of p &lt; 5.6 × 10⁻³ was applied. Primary IVW results that did not meet this threshold were interpreted as suggestive evidence and evaluated in conjunction with consistency across sensitivity analyses</w:t>
      </w:r>
      <w:r>
        <w:t xml:space="preserve">. </w:t>
      </w:r>
      <w:r w:rsidRPr="00581FB4">
        <w:t>Full methodological details, including instrument selection and sensitivity analyses, are described in our prior work (</w:t>
      </w:r>
      <w:hyperlink r:id="rId11" w:history="1">
        <w:r w:rsidRPr="00166577">
          <w:rPr>
            <w:rStyle w:val="Hyperlink"/>
          </w:rPr>
          <w:t>https://doi.org/10.21203/rs.3.rs-7528705/v1</w:t>
        </w:r>
      </w:hyperlink>
      <w:r>
        <w:t xml:space="preserve"> </w:t>
      </w:r>
      <w:r w:rsidRPr="00581FB4">
        <w:t>) and accompanying code repository (</w:t>
      </w:r>
      <w:hyperlink r:id="rId12" w:history="1">
        <w:r w:rsidRPr="00166577">
          <w:rPr>
            <w:rStyle w:val="Hyperlink"/>
          </w:rPr>
          <w:t>https://github.com/Mwielscher/Shiftwork_PRS</w:t>
        </w:r>
      </w:hyperlink>
      <w:r>
        <w:t xml:space="preserve"> ).</w:t>
      </w:r>
    </w:p>
    <w:p w14:paraId="79623A7D" w14:textId="77777777" w:rsidR="003617D8" w:rsidRDefault="003617D8" w:rsidP="003617D8"/>
    <w:tbl>
      <w:tblPr>
        <w:tblStyle w:val="GridTable1Light"/>
        <w:tblpPr w:leftFromText="180" w:rightFromText="180" w:vertAnchor="page" w:horzAnchor="margin" w:tblpY="5446"/>
        <w:tblW w:w="0" w:type="auto"/>
        <w:tblLayout w:type="fixed"/>
        <w:tblLook w:val="04A0" w:firstRow="1" w:lastRow="0" w:firstColumn="1" w:lastColumn="0" w:noHBand="0" w:noVBand="1"/>
      </w:tblPr>
      <w:tblGrid>
        <w:gridCol w:w="1273"/>
        <w:gridCol w:w="707"/>
        <w:gridCol w:w="992"/>
        <w:gridCol w:w="992"/>
        <w:gridCol w:w="1134"/>
        <w:gridCol w:w="851"/>
        <w:gridCol w:w="1134"/>
        <w:gridCol w:w="1276"/>
      </w:tblGrid>
      <w:tr w:rsidR="003617D8" w:rsidRPr="002256C6" w14:paraId="0869528C" w14:textId="77777777" w:rsidTr="00E97BFE">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486ACE70"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lastRenderedPageBreak/>
              <w:t>exposure</w:t>
            </w:r>
          </w:p>
        </w:tc>
        <w:tc>
          <w:tcPr>
            <w:tcW w:w="707" w:type="dxa"/>
            <w:noWrap/>
            <w:hideMark/>
          </w:tcPr>
          <w:p w14:paraId="447E706F"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SNPs</w:t>
            </w:r>
          </w:p>
        </w:tc>
        <w:tc>
          <w:tcPr>
            <w:tcW w:w="992" w:type="dxa"/>
            <w:noWrap/>
            <w:hideMark/>
          </w:tcPr>
          <w:p w14:paraId="41AC32AF" w14:textId="77777777" w:rsidR="003617D8"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szCs w:val="20"/>
              </w:rPr>
            </w:pPr>
            <w:r w:rsidRPr="002256C6">
              <w:rPr>
                <w:rFonts w:ascii="Calibri" w:eastAsia="Times New Roman" w:hAnsi="Calibri" w:cs="Calibri"/>
                <w:color w:val="000000"/>
                <w:sz w:val="20"/>
                <w:szCs w:val="20"/>
              </w:rPr>
              <w:t>In</w:t>
            </w:r>
          </w:p>
          <w:p w14:paraId="06212DAF"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Analys</w:t>
            </w:r>
            <w:r>
              <w:rPr>
                <w:rFonts w:ascii="Calibri" w:eastAsia="Times New Roman" w:hAnsi="Calibri" w:cs="Calibri"/>
                <w:color w:val="000000"/>
                <w:sz w:val="20"/>
                <w:szCs w:val="20"/>
              </w:rPr>
              <w:t>is</w:t>
            </w:r>
          </w:p>
        </w:tc>
        <w:tc>
          <w:tcPr>
            <w:tcW w:w="992" w:type="dxa"/>
            <w:noWrap/>
            <w:hideMark/>
          </w:tcPr>
          <w:p w14:paraId="41E23857"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F_mean</w:t>
            </w:r>
          </w:p>
        </w:tc>
        <w:tc>
          <w:tcPr>
            <w:tcW w:w="1134" w:type="dxa"/>
            <w:noWrap/>
            <w:hideMark/>
          </w:tcPr>
          <w:p w14:paraId="1E982A10" w14:textId="77777777" w:rsidR="003617D8"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szCs w:val="20"/>
              </w:rPr>
            </w:pPr>
            <w:r w:rsidRPr="002256C6">
              <w:rPr>
                <w:rFonts w:ascii="Calibri" w:eastAsia="Times New Roman" w:hAnsi="Calibri" w:cs="Calibri"/>
                <w:color w:val="000000"/>
                <w:sz w:val="20"/>
                <w:szCs w:val="20"/>
              </w:rPr>
              <w:t>Steiger</w:t>
            </w:r>
            <w:r>
              <w:rPr>
                <w:rFonts w:ascii="Calibri" w:eastAsia="Times New Roman" w:hAnsi="Calibri" w:cs="Calibri"/>
                <w:color w:val="000000"/>
                <w:sz w:val="20"/>
                <w:szCs w:val="20"/>
              </w:rPr>
              <w:t>:</w:t>
            </w:r>
          </w:p>
          <w:p w14:paraId="4E927417" w14:textId="77777777" w:rsidR="003617D8"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szCs w:val="20"/>
              </w:rPr>
            </w:pPr>
            <w:r>
              <w:rPr>
                <w:rFonts w:ascii="Calibri" w:eastAsia="Times New Roman" w:hAnsi="Calibri" w:cs="Calibri"/>
                <w:color w:val="000000"/>
                <w:sz w:val="20"/>
                <w:szCs w:val="20"/>
              </w:rPr>
              <w:t>c</w:t>
            </w:r>
            <w:r w:rsidRPr="002256C6">
              <w:rPr>
                <w:rFonts w:ascii="Calibri" w:eastAsia="Times New Roman" w:hAnsi="Calibri" w:cs="Calibri"/>
                <w:color w:val="000000"/>
                <w:sz w:val="20"/>
                <w:szCs w:val="20"/>
              </w:rPr>
              <w:t>ausal</w:t>
            </w:r>
          </w:p>
          <w:p w14:paraId="637C6CBF"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direction</w:t>
            </w:r>
          </w:p>
        </w:tc>
        <w:tc>
          <w:tcPr>
            <w:tcW w:w="851" w:type="dxa"/>
            <w:noWrap/>
            <w:hideMark/>
          </w:tcPr>
          <w:p w14:paraId="3764C5C9"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het_Q</w:t>
            </w:r>
          </w:p>
        </w:tc>
        <w:tc>
          <w:tcPr>
            <w:tcW w:w="1134" w:type="dxa"/>
            <w:noWrap/>
            <w:hideMark/>
          </w:tcPr>
          <w:p w14:paraId="3004872A"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het_Q_df</w:t>
            </w:r>
          </w:p>
        </w:tc>
        <w:tc>
          <w:tcPr>
            <w:tcW w:w="1276" w:type="dxa"/>
            <w:noWrap/>
            <w:hideMark/>
          </w:tcPr>
          <w:p w14:paraId="38C21340" w14:textId="77777777" w:rsidR="003617D8" w:rsidRPr="002256C6" w:rsidRDefault="003617D8" w:rsidP="00E97BF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het_Q_pval</w:t>
            </w:r>
          </w:p>
        </w:tc>
      </w:tr>
      <w:tr w:rsidR="003617D8" w:rsidRPr="002256C6" w14:paraId="0B2ACF10"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4B908599"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Cortisol-level-1</w:t>
            </w:r>
          </w:p>
        </w:tc>
        <w:tc>
          <w:tcPr>
            <w:tcW w:w="707" w:type="dxa"/>
            <w:noWrap/>
            <w:hideMark/>
          </w:tcPr>
          <w:p w14:paraId="02621607"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w:t>
            </w:r>
          </w:p>
        </w:tc>
        <w:tc>
          <w:tcPr>
            <w:tcW w:w="992" w:type="dxa"/>
            <w:noWrap/>
            <w:hideMark/>
          </w:tcPr>
          <w:p w14:paraId="07F3BD0C"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w:t>
            </w:r>
          </w:p>
        </w:tc>
        <w:tc>
          <w:tcPr>
            <w:tcW w:w="992" w:type="dxa"/>
            <w:noWrap/>
            <w:hideMark/>
          </w:tcPr>
          <w:p w14:paraId="2CA8392C"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42.4</w:t>
            </w:r>
          </w:p>
        </w:tc>
        <w:tc>
          <w:tcPr>
            <w:tcW w:w="1134" w:type="dxa"/>
            <w:noWrap/>
            <w:hideMark/>
          </w:tcPr>
          <w:p w14:paraId="4CA62637"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1D14E363"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p>
        </w:tc>
        <w:tc>
          <w:tcPr>
            <w:tcW w:w="1134" w:type="dxa"/>
            <w:noWrap/>
            <w:hideMark/>
          </w:tcPr>
          <w:p w14:paraId="45640F34"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276" w:type="dxa"/>
            <w:noWrap/>
            <w:hideMark/>
          </w:tcPr>
          <w:p w14:paraId="2AA8073F"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3617D8" w:rsidRPr="002256C6" w14:paraId="34B296DA"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04563DC2"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Mito-DNA-CN</w:t>
            </w:r>
          </w:p>
        </w:tc>
        <w:tc>
          <w:tcPr>
            <w:tcW w:w="707" w:type="dxa"/>
            <w:noWrap/>
            <w:hideMark/>
          </w:tcPr>
          <w:p w14:paraId="7B8BDDA4"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84</w:t>
            </w:r>
          </w:p>
        </w:tc>
        <w:tc>
          <w:tcPr>
            <w:tcW w:w="992" w:type="dxa"/>
            <w:noWrap/>
            <w:hideMark/>
          </w:tcPr>
          <w:p w14:paraId="3FC2D630"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84</w:t>
            </w:r>
          </w:p>
        </w:tc>
        <w:tc>
          <w:tcPr>
            <w:tcW w:w="992" w:type="dxa"/>
            <w:noWrap/>
            <w:hideMark/>
          </w:tcPr>
          <w:p w14:paraId="309FC1C9"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85.5</w:t>
            </w:r>
          </w:p>
        </w:tc>
        <w:tc>
          <w:tcPr>
            <w:tcW w:w="1134" w:type="dxa"/>
            <w:noWrap/>
            <w:hideMark/>
          </w:tcPr>
          <w:p w14:paraId="7BDA0765"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765AA38D"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87.7</w:t>
            </w:r>
          </w:p>
        </w:tc>
        <w:tc>
          <w:tcPr>
            <w:tcW w:w="1134" w:type="dxa"/>
            <w:noWrap/>
            <w:hideMark/>
          </w:tcPr>
          <w:p w14:paraId="0E414DCA"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82</w:t>
            </w:r>
          </w:p>
        </w:tc>
        <w:tc>
          <w:tcPr>
            <w:tcW w:w="1276" w:type="dxa"/>
            <w:noWrap/>
            <w:hideMark/>
          </w:tcPr>
          <w:p w14:paraId="7A51F1B5"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3.14E-01</w:t>
            </w:r>
          </w:p>
        </w:tc>
      </w:tr>
      <w:tr w:rsidR="003617D8" w:rsidRPr="002256C6" w14:paraId="6458F042" w14:textId="77777777" w:rsidTr="00E97BFE">
        <w:trPr>
          <w:trHeight w:val="290"/>
        </w:trPr>
        <w:tc>
          <w:tcPr>
            <w:cnfStyle w:val="001000000000" w:firstRow="0" w:lastRow="0" w:firstColumn="1" w:lastColumn="0" w:oddVBand="0" w:evenVBand="0" w:oddHBand="0" w:evenHBand="0" w:firstRowFirstColumn="0" w:firstRowLastColumn="0" w:lastRowFirstColumn="0" w:lastRowLastColumn="0"/>
            <w:tcW w:w="1273" w:type="dxa"/>
            <w:noWrap/>
            <w:hideMark/>
          </w:tcPr>
          <w:p w14:paraId="42520AD4"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Glycoprotein-Acetyls</w:t>
            </w:r>
          </w:p>
        </w:tc>
        <w:tc>
          <w:tcPr>
            <w:tcW w:w="707" w:type="dxa"/>
            <w:noWrap/>
            <w:hideMark/>
          </w:tcPr>
          <w:p w14:paraId="6076347D"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82</w:t>
            </w:r>
          </w:p>
        </w:tc>
        <w:tc>
          <w:tcPr>
            <w:tcW w:w="992" w:type="dxa"/>
            <w:noWrap/>
            <w:hideMark/>
          </w:tcPr>
          <w:p w14:paraId="31C89892"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80</w:t>
            </w:r>
          </w:p>
        </w:tc>
        <w:tc>
          <w:tcPr>
            <w:tcW w:w="992" w:type="dxa"/>
            <w:noWrap/>
            <w:hideMark/>
          </w:tcPr>
          <w:p w14:paraId="7791E7DC"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110.9</w:t>
            </w:r>
          </w:p>
        </w:tc>
        <w:tc>
          <w:tcPr>
            <w:tcW w:w="1134" w:type="dxa"/>
            <w:noWrap/>
            <w:hideMark/>
          </w:tcPr>
          <w:p w14:paraId="3378E66C"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402C8EAF"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109.2</w:t>
            </w:r>
          </w:p>
        </w:tc>
        <w:tc>
          <w:tcPr>
            <w:tcW w:w="1134" w:type="dxa"/>
            <w:noWrap/>
            <w:hideMark/>
          </w:tcPr>
          <w:p w14:paraId="086A9410"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78</w:t>
            </w:r>
          </w:p>
        </w:tc>
        <w:tc>
          <w:tcPr>
            <w:tcW w:w="1276" w:type="dxa"/>
            <w:noWrap/>
            <w:hideMark/>
          </w:tcPr>
          <w:p w14:paraId="7BBEDE09"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1.13E-02</w:t>
            </w:r>
          </w:p>
        </w:tc>
      </w:tr>
      <w:tr w:rsidR="003617D8" w:rsidRPr="002256C6" w14:paraId="1BEAC641"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430610E2"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Lactate</w:t>
            </w:r>
          </w:p>
        </w:tc>
        <w:tc>
          <w:tcPr>
            <w:tcW w:w="707" w:type="dxa"/>
            <w:noWrap/>
            <w:hideMark/>
          </w:tcPr>
          <w:p w14:paraId="5AC28012"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21</w:t>
            </w:r>
          </w:p>
        </w:tc>
        <w:tc>
          <w:tcPr>
            <w:tcW w:w="992" w:type="dxa"/>
            <w:noWrap/>
            <w:hideMark/>
          </w:tcPr>
          <w:p w14:paraId="72B827CD"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21</w:t>
            </w:r>
          </w:p>
        </w:tc>
        <w:tc>
          <w:tcPr>
            <w:tcW w:w="992" w:type="dxa"/>
            <w:noWrap/>
            <w:hideMark/>
          </w:tcPr>
          <w:p w14:paraId="1DDBC794"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51.8</w:t>
            </w:r>
          </w:p>
        </w:tc>
        <w:tc>
          <w:tcPr>
            <w:tcW w:w="1134" w:type="dxa"/>
            <w:noWrap/>
            <w:hideMark/>
          </w:tcPr>
          <w:p w14:paraId="13844605"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547EEBB5"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23.8</w:t>
            </w:r>
          </w:p>
        </w:tc>
        <w:tc>
          <w:tcPr>
            <w:tcW w:w="1134" w:type="dxa"/>
            <w:noWrap/>
            <w:hideMark/>
          </w:tcPr>
          <w:p w14:paraId="242559F2"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19</w:t>
            </w:r>
          </w:p>
        </w:tc>
        <w:tc>
          <w:tcPr>
            <w:tcW w:w="1276" w:type="dxa"/>
            <w:noWrap/>
            <w:hideMark/>
          </w:tcPr>
          <w:p w14:paraId="47F84E90"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2.03E-01</w:t>
            </w:r>
          </w:p>
        </w:tc>
      </w:tr>
      <w:tr w:rsidR="003617D8" w:rsidRPr="002256C6" w14:paraId="5A2EA107"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18C45A39"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Total-Triglycerides</w:t>
            </w:r>
          </w:p>
        </w:tc>
        <w:tc>
          <w:tcPr>
            <w:tcW w:w="707" w:type="dxa"/>
            <w:noWrap/>
            <w:hideMark/>
          </w:tcPr>
          <w:p w14:paraId="3FC5EF6F"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123</w:t>
            </w:r>
          </w:p>
        </w:tc>
        <w:tc>
          <w:tcPr>
            <w:tcW w:w="992" w:type="dxa"/>
            <w:noWrap/>
            <w:hideMark/>
          </w:tcPr>
          <w:p w14:paraId="277F4E0B"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123</w:t>
            </w:r>
          </w:p>
        </w:tc>
        <w:tc>
          <w:tcPr>
            <w:tcW w:w="992" w:type="dxa"/>
            <w:noWrap/>
            <w:hideMark/>
          </w:tcPr>
          <w:p w14:paraId="59E1B1DE"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72.6</w:t>
            </w:r>
          </w:p>
        </w:tc>
        <w:tc>
          <w:tcPr>
            <w:tcW w:w="1134" w:type="dxa"/>
            <w:noWrap/>
            <w:hideMark/>
          </w:tcPr>
          <w:p w14:paraId="4271827E"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17A7E462"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186.0</w:t>
            </w:r>
          </w:p>
        </w:tc>
        <w:tc>
          <w:tcPr>
            <w:tcW w:w="1134" w:type="dxa"/>
            <w:noWrap/>
            <w:hideMark/>
          </w:tcPr>
          <w:p w14:paraId="1EF13774"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121</w:t>
            </w:r>
          </w:p>
        </w:tc>
        <w:tc>
          <w:tcPr>
            <w:tcW w:w="1276" w:type="dxa"/>
            <w:noWrap/>
            <w:hideMark/>
          </w:tcPr>
          <w:p w14:paraId="26E92B4B"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1.35E-04</w:t>
            </w:r>
          </w:p>
        </w:tc>
      </w:tr>
      <w:tr w:rsidR="003617D8" w:rsidRPr="002256C6" w14:paraId="603BBBB2"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49E48001"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meanPlatelet-volume</w:t>
            </w:r>
          </w:p>
        </w:tc>
        <w:tc>
          <w:tcPr>
            <w:tcW w:w="707" w:type="dxa"/>
            <w:noWrap/>
            <w:hideMark/>
          </w:tcPr>
          <w:p w14:paraId="5E0F86DF"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608</w:t>
            </w:r>
          </w:p>
        </w:tc>
        <w:tc>
          <w:tcPr>
            <w:tcW w:w="992" w:type="dxa"/>
            <w:noWrap/>
            <w:hideMark/>
          </w:tcPr>
          <w:p w14:paraId="14B5F10E"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608</w:t>
            </w:r>
          </w:p>
        </w:tc>
        <w:tc>
          <w:tcPr>
            <w:tcW w:w="992" w:type="dxa"/>
            <w:noWrap/>
            <w:hideMark/>
          </w:tcPr>
          <w:p w14:paraId="22ED69F9"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93.5</w:t>
            </w:r>
          </w:p>
        </w:tc>
        <w:tc>
          <w:tcPr>
            <w:tcW w:w="1134" w:type="dxa"/>
            <w:noWrap/>
            <w:hideMark/>
          </w:tcPr>
          <w:p w14:paraId="09073EAA"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75FBC4FD"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779.2</w:t>
            </w:r>
          </w:p>
        </w:tc>
        <w:tc>
          <w:tcPr>
            <w:tcW w:w="1134" w:type="dxa"/>
            <w:noWrap/>
            <w:hideMark/>
          </w:tcPr>
          <w:p w14:paraId="56C117D1"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606</w:t>
            </w:r>
          </w:p>
        </w:tc>
        <w:tc>
          <w:tcPr>
            <w:tcW w:w="1276" w:type="dxa"/>
            <w:noWrap/>
            <w:hideMark/>
          </w:tcPr>
          <w:p w14:paraId="48BB9B25"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2.27E-06</w:t>
            </w:r>
          </w:p>
        </w:tc>
      </w:tr>
      <w:tr w:rsidR="003617D8" w:rsidRPr="002256C6" w14:paraId="79682EE5"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6E9C9306"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mono</w:t>
            </w:r>
            <w:r>
              <w:rPr>
                <w:rFonts w:ascii="Calibri" w:eastAsia="Times New Roman" w:hAnsi="Calibri" w:cs="Calibri"/>
                <w:color w:val="000000"/>
                <w:sz w:val="20"/>
                <w:szCs w:val="20"/>
              </w:rPr>
              <w:t>cytes</w:t>
            </w:r>
          </w:p>
        </w:tc>
        <w:tc>
          <w:tcPr>
            <w:tcW w:w="707" w:type="dxa"/>
            <w:noWrap/>
            <w:hideMark/>
          </w:tcPr>
          <w:p w14:paraId="07C13496"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628</w:t>
            </w:r>
          </w:p>
        </w:tc>
        <w:tc>
          <w:tcPr>
            <w:tcW w:w="992" w:type="dxa"/>
            <w:noWrap/>
            <w:hideMark/>
          </w:tcPr>
          <w:p w14:paraId="1A0B0515"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628</w:t>
            </w:r>
          </w:p>
        </w:tc>
        <w:tc>
          <w:tcPr>
            <w:tcW w:w="992" w:type="dxa"/>
            <w:noWrap/>
            <w:hideMark/>
          </w:tcPr>
          <w:p w14:paraId="33CEBF03"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85.2</w:t>
            </w:r>
          </w:p>
        </w:tc>
        <w:tc>
          <w:tcPr>
            <w:tcW w:w="1134" w:type="dxa"/>
            <w:noWrap/>
            <w:hideMark/>
          </w:tcPr>
          <w:p w14:paraId="1D829B67"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36907292"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844.3</w:t>
            </w:r>
          </w:p>
        </w:tc>
        <w:tc>
          <w:tcPr>
            <w:tcW w:w="1134" w:type="dxa"/>
            <w:noWrap/>
            <w:hideMark/>
          </w:tcPr>
          <w:p w14:paraId="5E880EB3"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626</w:t>
            </w:r>
          </w:p>
        </w:tc>
        <w:tc>
          <w:tcPr>
            <w:tcW w:w="1276" w:type="dxa"/>
            <w:noWrap/>
            <w:hideMark/>
          </w:tcPr>
          <w:p w14:paraId="24A8C3B1"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1.14E-08</w:t>
            </w:r>
          </w:p>
        </w:tc>
      </w:tr>
      <w:tr w:rsidR="003617D8" w:rsidRPr="002256C6" w14:paraId="2BD8C4F6" w14:textId="77777777" w:rsidTr="00E97BFE">
        <w:trPr>
          <w:trHeight w:val="258"/>
        </w:trPr>
        <w:tc>
          <w:tcPr>
            <w:cnfStyle w:val="001000000000" w:firstRow="0" w:lastRow="0" w:firstColumn="1" w:lastColumn="0" w:oddVBand="0" w:evenVBand="0" w:oddHBand="0" w:evenHBand="0" w:firstRowFirstColumn="0" w:firstRowLastColumn="0" w:lastRowFirstColumn="0" w:lastRowLastColumn="0"/>
            <w:tcW w:w="1273" w:type="dxa"/>
            <w:noWrap/>
            <w:hideMark/>
          </w:tcPr>
          <w:p w14:paraId="2CDBFFFA" w14:textId="77777777" w:rsidR="003617D8" w:rsidRPr="002256C6" w:rsidRDefault="003617D8" w:rsidP="00E97BFE">
            <w:pPr>
              <w:rPr>
                <w:rFonts w:ascii="Calibri" w:eastAsia="Times New Roman" w:hAnsi="Calibri" w:cs="Calibri"/>
                <w:color w:val="000000"/>
                <w:sz w:val="20"/>
                <w:szCs w:val="20"/>
              </w:rPr>
            </w:pPr>
            <w:r w:rsidRPr="002256C6">
              <w:rPr>
                <w:rFonts w:ascii="Calibri" w:eastAsia="Times New Roman" w:hAnsi="Calibri" w:cs="Calibri"/>
                <w:color w:val="000000"/>
                <w:sz w:val="20"/>
                <w:szCs w:val="20"/>
              </w:rPr>
              <w:t>VWF</w:t>
            </w:r>
          </w:p>
        </w:tc>
        <w:tc>
          <w:tcPr>
            <w:tcW w:w="707" w:type="dxa"/>
            <w:noWrap/>
            <w:hideMark/>
          </w:tcPr>
          <w:p w14:paraId="0EF7EC2B"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7</w:t>
            </w:r>
          </w:p>
        </w:tc>
        <w:tc>
          <w:tcPr>
            <w:tcW w:w="992" w:type="dxa"/>
            <w:noWrap/>
            <w:hideMark/>
          </w:tcPr>
          <w:p w14:paraId="582BF8FF"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7</w:t>
            </w:r>
          </w:p>
        </w:tc>
        <w:tc>
          <w:tcPr>
            <w:tcW w:w="992" w:type="dxa"/>
            <w:noWrap/>
            <w:hideMark/>
          </w:tcPr>
          <w:p w14:paraId="29FC4480"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75.8</w:t>
            </w:r>
          </w:p>
        </w:tc>
        <w:tc>
          <w:tcPr>
            <w:tcW w:w="1134" w:type="dxa"/>
            <w:noWrap/>
            <w:hideMark/>
          </w:tcPr>
          <w:p w14:paraId="4DDCB1A0"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TRUE</w:t>
            </w:r>
          </w:p>
        </w:tc>
        <w:tc>
          <w:tcPr>
            <w:tcW w:w="851" w:type="dxa"/>
            <w:noWrap/>
            <w:hideMark/>
          </w:tcPr>
          <w:p w14:paraId="269719C6"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4.8</w:t>
            </w:r>
          </w:p>
        </w:tc>
        <w:tc>
          <w:tcPr>
            <w:tcW w:w="1134" w:type="dxa"/>
            <w:noWrap/>
            <w:hideMark/>
          </w:tcPr>
          <w:p w14:paraId="0DC481D2"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5</w:t>
            </w:r>
          </w:p>
        </w:tc>
        <w:tc>
          <w:tcPr>
            <w:tcW w:w="1276" w:type="dxa"/>
            <w:noWrap/>
            <w:hideMark/>
          </w:tcPr>
          <w:p w14:paraId="46B5144E" w14:textId="77777777" w:rsidR="003617D8" w:rsidRPr="002256C6" w:rsidRDefault="003617D8" w:rsidP="00E97BF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2256C6">
              <w:rPr>
                <w:rFonts w:ascii="Calibri" w:eastAsia="Times New Roman" w:hAnsi="Calibri" w:cs="Calibri"/>
                <w:color w:val="000000"/>
                <w:sz w:val="20"/>
                <w:szCs w:val="20"/>
              </w:rPr>
              <w:t>4.46E-01</w:t>
            </w:r>
          </w:p>
        </w:tc>
      </w:tr>
    </w:tbl>
    <w:p w14:paraId="3608D5ED" w14:textId="77777777" w:rsidR="003617D8" w:rsidRDefault="003617D8" w:rsidP="003617D8"/>
    <w:p w14:paraId="0C03C6A8" w14:textId="77777777" w:rsidR="003617D8" w:rsidRDefault="003617D8" w:rsidP="003617D8">
      <w:r w:rsidRPr="007526D1">
        <w:rPr>
          <w:b/>
          <w:bCs/>
        </w:rPr>
        <w:t>Online Methods Table 2</w:t>
      </w:r>
      <w:r w:rsidRPr="007526D1">
        <w:t>. Mendelian randomization (MR) instrument characteristics and quality-control summary for biomarker exposures. Shown are the number of genome-wide significant SNP instruments retained for analysis, mean F-statistic of retained instruments, Steiger directionality test results, and Cochran’s Q heterogeneity statistics. Full harmonisation/QC output—including SNP-level instrument lists, identified radial MR outliers, heterogeneity estimates after outlier exclusion, and the corresponding outlier-excluded sensitivity MR results—is available via Zenodo</w:t>
      </w:r>
      <w:r>
        <w:t xml:space="preserve">: </w:t>
      </w:r>
      <w:hyperlink r:id="rId13" w:history="1">
        <w:r w:rsidRPr="00762736">
          <w:rPr>
            <w:rStyle w:val="Hyperlink"/>
            <w:rFonts w:ascii="Arial" w:hAnsi="Arial" w:cs="Arial"/>
            <w:sz w:val="20"/>
            <w:szCs w:val="20"/>
          </w:rPr>
          <w:t>https://doi.org/10.5281/zenodo.18198370</w:t>
        </w:r>
      </w:hyperlink>
      <w:r>
        <w:rPr>
          <w:rFonts w:ascii="Arial" w:hAnsi="Arial" w:cs="Arial"/>
          <w:sz w:val="20"/>
          <w:szCs w:val="20"/>
        </w:rPr>
        <w:t xml:space="preserve"> </w:t>
      </w:r>
    </w:p>
    <w:p w14:paraId="07E8E18B" w14:textId="77777777" w:rsidR="003617D8" w:rsidRDefault="003617D8" w:rsidP="003617D8"/>
    <w:p w14:paraId="0C21420E" w14:textId="77777777" w:rsidR="003617D8" w:rsidRPr="00802B22" w:rsidRDefault="003617D8" w:rsidP="003617D8">
      <w:pPr>
        <w:pBdr>
          <w:top w:val="nil"/>
          <w:left w:val="nil"/>
          <w:bottom w:val="nil"/>
          <w:right w:val="nil"/>
          <w:between w:val="nil"/>
        </w:pBdr>
        <w:contextualSpacing/>
        <w:rPr>
          <w:rFonts w:ascii="Arial" w:hAnsi="Arial" w:cs="Arial"/>
          <w:color w:val="000000"/>
          <w:sz w:val="20"/>
          <w:szCs w:val="20"/>
        </w:rPr>
      </w:pPr>
    </w:p>
    <w:p w14:paraId="7C301571" w14:textId="77777777" w:rsidR="00F553FF" w:rsidRDefault="00F553FF"/>
    <w:sectPr w:rsidR="00F553FF" w:rsidSect="003617D8">
      <w:pgSz w:w="12240" w:h="15840"/>
      <w:pgMar w:top="1440" w:right="1800" w:bottom="1440" w:left="1800"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7D8"/>
    <w:rsid w:val="003617D8"/>
    <w:rsid w:val="003C2EF4"/>
    <w:rsid w:val="00446799"/>
    <w:rsid w:val="005E65AC"/>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2A2EB"/>
  <w15:chartTrackingRefBased/>
  <w15:docId w15:val="{C61A19FB-93D4-451A-A67E-EA73E4B35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7D8"/>
    <w:pPr>
      <w:spacing w:after="200" w:line="240" w:lineRule="auto"/>
    </w:pPr>
    <w:rPr>
      <w:kern w:val="0"/>
      <w:sz w:val="22"/>
      <w:szCs w:val="22"/>
      <w14:ligatures w14:val="none"/>
    </w:rPr>
  </w:style>
  <w:style w:type="paragraph" w:styleId="Heading1">
    <w:name w:val="heading 1"/>
    <w:basedOn w:val="Normal"/>
    <w:next w:val="Normal"/>
    <w:link w:val="Heading1Char"/>
    <w:uiPriority w:val="9"/>
    <w:qFormat/>
    <w:rsid w:val="003617D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617D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617D8"/>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617D8"/>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617D8"/>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617D8"/>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617D8"/>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617D8"/>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617D8"/>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17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17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7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7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7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7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7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7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7D8"/>
    <w:rPr>
      <w:rFonts w:eastAsiaTheme="majorEastAsia" w:cstheme="majorBidi"/>
      <w:color w:val="272727" w:themeColor="text1" w:themeTint="D8"/>
    </w:rPr>
  </w:style>
  <w:style w:type="paragraph" w:styleId="Title">
    <w:name w:val="Title"/>
    <w:basedOn w:val="Normal"/>
    <w:next w:val="Normal"/>
    <w:link w:val="TitleChar"/>
    <w:uiPriority w:val="10"/>
    <w:qFormat/>
    <w:rsid w:val="003617D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617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7D8"/>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617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7D8"/>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617D8"/>
    <w:rPr>
      <w:i/>
      <w:iCs/>
      <w:color w:val="404040" w:themeColor="text1" w:themeTint="BF"/>
    </w:rPr>
  </w:style>
  <w:style w:type="paragraph" w:styleId="ListParagraph">
    <w:name w:val="List Paragraph"/>
    <w:basedOn w:val="Normal"/>
    <w:uiPriority w:val="34"/>
    <w:qFormat/>
    <w:rsid w:val="003617D8"/>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3617D8"/>
    <w:rPr>
      <w:i/>
      <w:iCs/>
      <w:color w:val="0F4761" w:themeColor="accent1" w:themeShade="BF"/>
    </w:rPr>
  </w:style>
  <w:style w:type="paragraph" w:styleId="IntenseQuote">
    <w:name w:val="Intense Quote"/>
    <w:basedOn w:val="Normal"/>
    <w:next w:val="Normal"/>
    <w:link w:val="IntenseQuoteChar"/>
    <w:uiPriority w:val="30"/>
    <w:qFormat/>
    <w:rsid w:val="003617D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617D8"/>
    <w:rPr>
      <w:i/>
      <w:iCs/>
      <w:color w:val="0F4761" w:themeColor="accent1" w:themeShade="BF"/>
    </w:rPr>
  </w:style>
  <w:style w:type="character" w:styleId="IntenseReference">
    <w:name w:val="Intense Reference"/>
    <w:basedOn w:val="DefaultParagraphFont"/>
    <w:uiPriority w:val="32"/>
    <w:qFormat/>
    <w:rsid w:val="003617D8"/>
    <w:rPr>
      <w:b/>
      <w:bCs/>
      <w:smallCaps/>
      <w:color w:val="0F4761" w:themeColor="accent1" w:themeShade="BF"/>
      <w:spacing w:val="5"/>
    </w:rPr>
  </w:style>
  <w:style w:type="character" w:styleId="Hyperlink">
    <w:name w:val="Hyperlink"/>
    <w:basedOn w:val="DefaultParagraphFont"/>
    <w:uiPriority w:val="99"/>
    <w:unhideWhenUsed/>
    <w:rsid w:val="003617D8"/>
    <w:rPr>
      <w:color w:val="467886" w:themeColor="hyperlink"/>
      <w:u w:val="single"/>
    </w:rPr>
  </w:style>
  <w:style w:type="table" w:styleId="GridTable1Light">
    <w:name w:val="Grid Table 1 Light"/>
    <w:basedOn w:val="TableNormal"/>
    <w:uiPriority w:val="46"/>
    <w:rsid w:val="003617D8"/>
    <w:pPr>
      <w:spacing w:after="0" w:line="240" w:lineRule="auto"/>
    </w:pPr>
    <w:rPr>
      <w:rFonts w:eastAsiaTheme="minorEastAsia"/>
      <w:lang w:eastAsia="zh-C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3617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281/zenodo.18198370" TargetMode="External"/><Relationship Id="rId13" Type="http://schemas.openxmlformats.org/officeDocument/2006/relationships/hyperlink" Target="https://doi.org/10.5281/zenodo.18198370" TargetMode="External"/><Relationship Id="rId3" Type="http://schemas.openxmlformats.org/officeDocument/2006/relationships/webSettings" Target="webSettings.xml"/><Relationship Id="rId7" Type="http://schemas.openxmlformats.org/officeDocument/2006/relationships/hyperlink" Target="https://github.com/cran/pleioh2g" TargetMode="External"/><Relationship Id="rId12" Type="http://schemas.openxmlformats.org/officeDocument/2006/relationships/hyperlink" Target="https://github.com/Mwielscher/Shiftwork_PR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01/2025.06.10.25329261" TargetMode="External"/><Relationship Id="rId11" Type="http://schemas.openxmlformats.org/officeDocument/2006/relationships/hyperlink" Target="https://doi.org/10.21203/rs.3.rs-7528705/v1" TargetMode="External"/><Relationship Id="rId5" Type="http://schemas.openxmlformats.org/officeDocument/2006/relationships/hyperlink" Target="https://doi.org/10.21203/rs.3.rs-7528705/v1" TargetMode="External"/><Relationship Id="rId15" Type="http://schemas.openxmlformats.org/officeDocument/2006/relationships/theme" Target="theme/theme1.xml"/><Relationship Id="rId10" Type="http://schemas.openxmlformats.org/officeDocument/2006/relationships/hyperlink" Target="https://github.com/Mwielscher/pleioh2g_MECFS" TargetMode="External"/><Relationship Id="rId4" Type="http://schemas.openxmlformats.org/officeDocument/2006/relationships/hyperlink" Target="https://doi.org/10.5281/zenodo.18198370" TargetMode="External"/><Relationship Id="rId9" Type="http://schemas.openxmlformats.org/officeDocument/2006/relationships/hyperlink" Target="https://hub.docker.com/r/mwielsch/pleioh2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1034</Words>
  <Characters>7002</Characters>
  <Application>Microsoft Office Word</Application>
  <DocSecurity>0</DocSecurity>
  <Lines>184</Lines>
  <Paragraphs>89</Paragraphs>
  <ScaleCrop>false</ScaleCrop>
  <Company>Springer Nature</Company>
  <LinksUpToDate>false</LinksUpToDate>
  <CharactersWithSpaces>7947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2026-04-10T04:00:00Z</dcterms:created>
  <dcterms:modified xsi:type="dcterms:W3CDTF">2026-04-10T04:00:00Z</dcterms:modified>
</cp:coreProperties>
</file>