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widowControl w:val="0"/>
        <w:spacing w:before="120" w:line="360" w:lineRule="auto"/>
        <w:rPr>
          <w:rFonts w:ascii="Times New Roman" w:cs="Times New Roman" w:eastAsia="Times New Roman" w:hAnsi="Times New Roman"/>
          <w:b w:val="1"/>
          <w:bCs w:val="1"/>
          <w:color w:val="1f1f1f"/>
          <w:sz w:val="40"/>
          <w:szCs w:val="40"/>
        </w:rPr>
      </w:pPr>
      <w:r w:rsidDel="00000000" w:rsidR="00000000" w:rsidRPr="00000000">
        <w:rPr>
          <w:rFonts w:ascii="Times New Roman" w:cs="Times New Roman" w:eastAsia="Times New Roman" w:hAnsi="Times New Roman"/>
          <w:b w:val="1"/>
          <w:bCs w:val="1"/>
          <w:color w:val="1f1f1f"/>
          <w:sz w:val="40"/>
          <w:szCs w:val="40"/>
          <w:rtl w:val="0"/>
        </w:rPr>
        <w:t xml:space="preserve">Supplemental material</w:t>
      </w:r>
    </w:p>
    <w:p w:rsidR="00000000" w:rsidDel="00000000" w:rsidP="00000000" w:rsidRDefault="00000000" w:rsidRPr="00000000" w14:paraId="00000002">
      <w:pPr>
        <w:pStyle w:val="Heading2"/>
        <w:keepNext w:val="0"/>
        <w:keepLines w:val="0"/>
        <w:widowControl w:val="0"/>
        <w:spacing w:before="120" w:line="360" w:lineRule="auto"/>
        <w:rPr>
          <w:rFonts w:ascii="Times New Roman" w:cs="Times New Roman" w:eastAsia="Times New Roman" w:hAnsi="Times New Roman"/>
          <w:b w:val="1"/>
          <w:bCs w:val="1"/>
          <w:color w:val="1f1f1f"/>
          <w:sz w:val="40"/>
          <w:szCs w:val="40"/>
        </w:rPr>
      </w:pPr>
      <w:r w:rsidDel="00000000" w:rsidR="00000000" w:rsidRPr="00000000">
        <w:rPr>
          <w:rtl w:val="0"/>
        </w:rPr>
      </w:r>
    </w:p>
    <w:p w:rsidR="00000000" w:rsidDel="00000000" w:rsidP="00000000" w:rsidRDefault="00000000" w:rsidRPr="00000000" w14:paraId="00000003">
      <w:pPr>
        <w:pStyle w:val="Heading2"/>
        <w:keepNext w:val="0"/>
        <w:keepLines w:val="0"/>
        <w:widowControl w:val="0"/>
        <w:spacing w:before="120" w:line="360" w:lineRule="auto"/>
        <w:rPr>
          <w:rFonts w:ascii="Times New Roman" w:cs="Times New Roman" w:eastAsia="Times New Roman" w:hAnsi="Times New Roman"/>
          <w:b w:val="1"/>
          <w:bCs w:val="1"/>
          <w:color w:val="1f1f1f"/>
          <w:sz w:val="34"/>
          <w:szCs w:val="34"/>
        </w:rPr>
      </w:pPr>
      <w:r w:rsidDel="00000000" w:rsidR="00000000" w:rsidRPr="00000000">
        <w:rPr>
          <w:rFonts w:ascii="Times New Roman" w:cs="Times New Roman" w:eastAsia="Times New Roman" w:hAnsi="Times New Roman"/>
          <w:b w:val="1"/>
          <w:bCs w:val="1"/>
          <w:color w:val="1f1f1f"/>
          <w:sz w:val="34"/>
          <w:szCs w:val="34"/>
          <w:rtl w:val="0"/>
        </w:rPr>
        <w:t xml:space="preserve">1.  Search Strategy</w:t>
      </w:r>
    </w:p>
    <w:p w:rsidR="00000000" w:rsidDel="00000000" w:rsidP="00000000" w:rsidRDefault="00000000" w:rsidRPr="00000000" w14:paraId="00000004">
      <w:pPr>
        <w:widowControl w:val="0"/>
        <w:spacing w:after="240" w:line="360" w:lineRule="auto"/>
        <w:rPr>
          <w:rFonts w:ascii="Times New Roman" w:cs="Times New Roman" w:eastAsia="Times New Roman" w:hAnsi="Times New Roman"/>
          <w:b w:val="1"/>
          <w:bCs w:val="1"/>
          <w:color w:val="1f1f1f"/>
          <w:sz w:val="26"/>
          <w:szCs w:val="26"/>
        </w:rPr>
      </w:pPr>
      <w:r w:rsidDel="00000000" w:rsidR="00000000" w:rsidRPr="00000000">
        <w:rPr>
          <w:rFonts w:ascii="Times New Roman" w:cs="Times New Roman" w:eastAsia="Times New Roman" w:hAnsi="Times New Roman"/>
          <w:b w:val="1"/>
          <w:bCs w:val="1"/>
          <w:color w:val="1f1f1f"/>
          <w:sz w:val="26"/>
          <w:szCs w:val="26"/>
          <w:rtl w:val="0"/>
        </w:rPr>
        <w:t xml:space="preserve">MEDLINE (via PubMed) Search String:</w:t>
      </w:r>
    </w:p>
    <w:p w:rsidR="00000000" w:rsidDel="00000000" w:rsidP="00000000" w:rsidRDefault="00000000" w:rsidRPr="00000000" w14:paraId="00000005">
      <w:pPr>
        <w:widowControl w:val="0"/>
        <w:spacing w:after="240" w:line="360" w:lineRule="auto"/>
        <w:rPr>
          <w:rFonts w:ascii="Times New Roman" w:cs="Times New Roman" w:eastAsia="Times New Roman" w:hAnsi="Times New Roman"/>
          <w:color w:val="1f1f1f"/>
          <w:sz w:val="26"/>
          <w:szCs w:val="26"/>
        </w:rPr>
      </w:pPr>
      <w:r w:rsidDel="00000000" w:rsidR="00000000" w:rsidRPr="00000000">
        <w:rPr>
          <w:rFonts w:ascii="Times New Roman" w:cs="Times New Roman" w:eastAsia="Times New Roman" w:hAnsi="Times New Roman"/>
          <w:color w:val="1f1f1f"/>
          <w:sz w:val="26"/>
          <w:szCs w:val="26"/>
          <w:rtl w:val="0"/>
        </w:rPr>
        <w:t xml:space="preserve">(("Ulcerative Colitis" OR "Colitis, Ulcerative" OR "Acute Severe Ulcerative Colitis" OR "ASUC" OR "Fulminant Colitis" OR "Steroid-Refractory" OR "Corticosteroid-Resistant" OR "Steroid-Dependent") AND ("Infliximab" OR "Cyclosporine" OR "Tacrolimus" OR "Calcineurin Inhibitors" OR "Tofacitinib" OR "Upadacitinib" OR "Ustekinumab" OR "Vedolizumab" OR "Rescue Therapy" OR "Salvage Therapy" OR "Sequential Therapy" OR "Accelerated Dosing" OR "Intensified Dosing") AND ("Systematic Review" OR "Meta-Analysis" OR "Network Meta-Analysis"))</w:t>
      </w:r>
    </w:p>
    <w:p w:rsidR="00000000" w:rsidDel="00000000" w:rsidP="00000000" w:rsidRDefault="00000000" w:rsidRPr="00000000" w14:paraId="00000006">
      <w:pPr>
        <w:widowControl w:val="0"/>
        <w:spacing w:after="240" w:line="360" w:lineRule="auto"/>
        <w:rPr>
          <w:rFonts w:ascii="Times New Roman" w:cs="Times New Roman" w:eastAsia="Times New Roman" w:hAnsi="Times New Roman"/>
          <w:b w:val="1"/>
          <w:bCs w:val="1"/>
          <w:color w:val="1f1f1f"/>
          <w:sz w:val="26"/>
          <w:szCs w:val="26"/>
        </w:rPr>
      </w:pPr>
      <w:r w:rsidDel="00000000" w:rsidR="00000000" w:rsidRPr="00000000">
        <w:rPr>
          <w:rFonts w:ascii="Times New Roman" w:cs="Times New Roman" w:eastAsia="Times New Roman" w:hAnsi="Times New Roman"/>
          <w:b w:val="1"/>
          <w:bCs w:val="1"/>
          <w:color w:val="1f1f1f"/>
          <w:sz w:val="26"/>
          <w:szCs w:val="26"/>
          <w:rtl w:val="0"/>
        </w:rPr>
        <w:t xml:space="preserve">EMBASE (via Ovid) Search String:</w:t>
      </w:r>
    </w:p>
    <w:p w:rsidR="00000000" w:rsidDel="00000000" w:rsidP="00000000" w:rsidRDefault="00000000" w:rsidRPr="00000000" w14:paraId="00000007">
      <w:pPr>
        <w:widowControl w:val="0"/>
        <w:spacing w:after="240" w:line="360" w:lineRule="auto"/>
        <w:rPr>
          <w:rFonts w:ascii="Times New Roman" w:cs="Times New Roman" w:eastAsia="Times New Roman" w:hAnsi="Times New Roman"/>
          <w:color w:val="1f1f1f"/>
          <w:sz w:val="26"/>
          <w:szCs w:val="26"/>
        </w:rPr>
      </w:pPr>
      <w:r w:rsidDel="00000000" w:rsidR="00000000" w:rsidRPr="00000000">
        <w:rPr>
          <w:rFonts w:ascii="Times New Roman" w:cs="Times New Roman" w:eastAsia="Times New Roman" w:hAnsi="Times New Roman"/>
          <w:color w:val="1f1f1f"/>
          <w:sz w:val="26"/>
          <w:szCs w:val="26"/>
          <w:rtl w:val="0"/>
        </w:rPr>
        <w:t xml:space="preserve">('ulcerative colitis'/exp OR 'ulcerative colitis' OR 'acute severe ulcerative colitis':ti,ab OR 'asuc':ti,ab OR 'fulminant colitis':ti,ab OR 'steroid refractory':ti,ab OR 'corticosteroid resistant':ti,ab OR 'steroid dependent':ti,ab) AND ('infliximab'/exp OR 'infliximab' OR 'cyclosporine'/exp OR 'cyclosporine' OR 'ciclosporin' OR 'tacrolimus'/exp OR 'tacrolimus' OR 'calcineurin inhibitor'/exp OR 'calcineurin inhibitor' OR 'tofacitinib'/exp OR 'tofacitinib' OR 'upadacitinib' OR 'ustekinumab' OR 'vedolizumab' OR 'rescue therapy':ti,ab OR 'salvage therapy':ti,ab OR 'sequential therapy':ti,ab OR 'accelerated dosing':ti,ab OR 'intensified dosing':ti,ab) AND ('systematic review'/exp OR 'meta analysis'/exp OR 'network meta analysis')</w:t>
      </w:r>
    </w:p>
    <w:p w:rsidR="00000000" w:rsidDel="00000000" w:rsidP="00000000" w:rsidRDefault="00000000" w:rsidRPr="00000000" w14:paraId="00000008">
      <w:pPr>
        <w:widowControl w:val="0"/>
        <w:spacing w:after="240" w:line="360" w:lineRule="auto"/>
        <w:rPr>
          <w:rFonts w:ascii="Times New Roman" w:cs="Times New Roman" w:eastAsia="Times New Roman" w:hAnsi="Times New Roman"/>
          <w:b w:val="1"/>
          <w:bCs w:val="1"/>
          <w:color w:val="1f1f1f"/>
          <w:sz w:val="26"/>
          <w:szCs w:val="26"/>
        </w:rPr>
      </w:pPr>
      <w:r w:rsidDel="00000000" w:rsidR="00000000" w:rsidRPr="00000000">
        <w:rPr>
          <w:rFonts w:ascii="Times New Roman" w:cs="Times New Roman" w:eastAsia="Times New Roman" w:hAnsi="Times New Roman"/>
          <w:b w:val="1"/>
          <w:bCs w:val="1"/>
          <w:color w:val="1f1f1f"/>
          <w:sz w:val="26"/>
          <w:szCs w:val="26"/>
          <w:rtl w:val="0"/>
        </w:rPr>
        <w:t xml:space="preserve">Cochrane Library Search String:</w:t>
      </w:r>
    </w:p>
    <w:p w:rsidR="00000000" w:rsidDel="00000000" w:rsidP="00000000" w:rsidRDefault="00000000" w:rsidRPr="00000000" w14:paraId="00000009">
      <w:pPr>
        <w:pStyle w:val="Heading2"/>
        <w:keepNext w:val="0"/>
        <w:keepLines w:val="0"/>
        <w:widowControl w:val="0"/>
        <w:spacing w:before="120" w:line="360" w:lineRule="auto"/>
        <w:rPr>
          <w:rFonts w:ascii="Times New Roman" w:cs="Times New Roman" w:eastAsia="Times New Roman" w:hAnsi="Times New Roman"/>
          <w:color w:val="1f1f1f"/>
          <w:sz w:val="40"/>
          <w:szCs w:val="40"/>
        </w:rPr>
      </w:pPr>
      <w:r w:rsidDel="00000000" w:rsidR="00000000" w:rsidRPr="00000000">
        <w:rPr>
          <w:rFonts w:ascii="Times New Roman" w:cs="Times New Roman" w:eastAsia="Times New Roman" w:hAnsi="Times New Roman"/>
          <w:color w:val="1f1f1f"/>
          <w:sz w:val="26"/>
          <w:szCs w:val="26"/>
          <w:rtl w:val="0"/>
        </w:rPr>
        <w:t xml:space="preserve">("ulcerative colitis":ti,ab OR "acute severe ulcerative colitis":ti,ab OR "ASUC":ti,ab OR "fulminant colitis":ti,ab OR "steroid-refractory":ti,ab OR "corticosteroid-resistant":ti,ab) AND ("infliximab":ti,ab OR "cyclosporine":ti,ab OR "tofacitinib":ti,ab OR "rescue therapy":ti,ab OR "salvage therapy":ti,ab) AND ("systematic review":ti,ab OR "meta-analysis":ti,ab)</w:t>
      </w:r>
      <w:r w:rsidDel="00000000" w:rsidR="00000000" w:rsidRPr="00000000">
        <w:rPr>
          <w:rtl w:val="0"/>
        </w:rPr>
      </w:r>
    </w:p>
    <w:p w:rsidR="00000000" w:rsidDel="00000000" w:rsidP="00000000" w:rsidRDefault="00000000" w:rsidRPr="00000000" w14:paraId="0000000A">
      <w:pPr>
        <w:widowControl w:val="0"/>
        <w:spacing w:line="360" w:lineRule="auto"/>
        <w:rPr>
          <w:rFonts w:ascii="Times New Roman" w:cs="Times New Roman" w:eastAsia="Times New Roman" w:hAnsi="Times New Roman"/>
          <w:sz w:val="28"/>
          <w:szCs w:val="28"/>
          <w:u w:val="single"/>
        </w:rPr>
      </w:pPr>
      <w:r w:rsidDel="00000000" w:rsidR="00000000" w:rsidRPr="00000000">
        <w:rPr>
          <w:rtl w:val="0"/>
        </w:rPr>
      </w:r>
    </w:p>
    <w:p w:rsidR="00000000" w:rsidDel="00000000" w:rsidP="00000000" w:rsidRDefault="00000000" w:rsidRPr="00000000" w14:paraId="0000000B">
      <w:pPr>
        <w:widowControl w:val="0"/>
        <w:spacing w:line="360" w:lineRule="auto"/>
        <w:rPr>
          <w:rFonts w:ascii="Times New Roman" w:cs="Times New Roman" w:eastAsia="Times New Roman" w:hAnsi="Times New Roman"/>
          <w:b w:val="1"/>
          <w:bCs w:val="1"/>
          <w:sz w:val="34"/>
          <w:szCs w:val="34"/>
        </w:rPr>
      </w:pPr>
      <w:r w:rsidDel="00000000" w:rsidR="00000000" w:rsidRPr="00000000">
        <w:rPr>
          <w:rFonts w:ascii="Times New Roman" w:cs="Times New Roman" w:eastAsia="Times New Roman" w:hAnsi="Times New Roman"/>
          <w:b w:val="1"/>
          <w:bCs w:val="1"/>
          <w:sz w:val="34"/>
          <w:szCs w:val="34"/>
          <w:rtl w:val="0"/>
        </w:rPr>
        <w:t xml:space="preserve">2. Corrected Covered Area</w:t>
      </w:r>
    </w:p>
    <w:p w:rsidR="00000000" w:rsidDel="00000000" w:rsidP="00000000" w:rsidRDefault="00000000" w:rsidRPr="00000000" w14:paraId="0000000C">
      <w:pPr>
        <w:widowControl w:val="0"/>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widowControl w:val="0"/>
        <w:spacing w:line="36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8"/>
          <w:szCs w:val="28"/>
          <w:rtl w:val="0"/>
        </w:rPr>
        <w:t xml:space="preserve">Table 1: </w:t>
      </w:r>
      <w:r w:rsidDel="00000000" w:rsidR="00000000" w:rsidRPr="00000000">
        <w:rPr>
          <w:rFonts w:ascii="Times New Roman" w:cs="Times New Roman" w:eastAsia="Times New Roman" w:hAnsi="Times New Roman"/>
          <w:b w:val="1"/>
          <w:bCs w:val="1"/>
          <w:sz w:val="26"/>
          <w:szCs w:val="26"/>
          <w:rtl w:val="0"/>
        </w:rPr>
        <w:t xml:space="preserve">Corrected Covered Area table</w:t>
      </w:r>
    </w:p>
    <w:p w:rsidR="00000000" w:rsidDel="00000000" w:rsidP="00000000" w:rsidRDefault="00000000" w:rsidRPr="00000000" w14:paraId="0000000E">
      <w:pPr>
        <w:widowControl w:val="0"/>
        <w:spacing w:line="360" w:lineRule="auto"/>
        <w:rPr>
          <w:rFonts w:ascii="Times New Roman" w:cs="Times New Roman" w:eastAsia="Times New Roman" w:hAnsi="Times New Roman"/>
          <w:b w:val="1"/>
          <w:bCs w:val="1"/>
          <w:sz w:val="26"/>
          <w:szCs w:val="26"/>
        </w:rPr>
      </w:pPr>
      <w:r w:rsidDel="00000000" w:rsidR="00000000" w:rsidRPr="00000000">
        <w:rPr>
          <w:rtl w:val="0"/>
        </w:rPr>
      </w:r>
    </w:p>
    <w:tbl>
      <w:tblPr>
        <w:tblStyle w:val="Table1"/>
        <w:tblpPr w:leftFromText="180" w:rightFromText="180" w:topFromText="180" w:bottomFromText="180" w:vertAnchor="text" w:horzAnchor="text" w:tblpX="-1095" w:tblpY="0"/>
        <w:tblW w:w="11535.0" w:type="dxa"/>
        <w:jc w:val="left"/>
        <w:tblInd w:w="-11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15"/>
        <w:gridCol w:w="885"/>
        <w:gridCol w:w="690"/>
        <w:gridCol w:w="855"/>
        <w:gridCol w:w="825"/>
        <w:gridCol w:w="1215"/>
        <w:gridCol w:w="1035"/>
        <w:gridCol w:w="870"/>
        <w:gridCol w:w="930"/>
        <w:gridCol w:w="1140"/>
        <w:gridCol w:w="1110"/>
        <w:gridCol w:w="765"/>
        <w:tblGridChange w:id="0">
          <w:tblGrid>
            <w:gridCol w:w="1215"/>
            <w:gridCol w:w="885"/>
            <w:gridCol w:w="690"/>
            <w:gridCol w:w="855"/>
            <w:gridCol w:w="825"/>
            <w:gridCol w:w="1215"/>
            <w:gridCol w:w="1035"/>
            <w:gridCol w:w="870"/>
            <w:gridCol w:w="930"/>
            <w:gridCol w:w="1140"/>
            <w:gridCol w:w="1110"/>
            <w:gridCol w:w="765"/>
          </w:tblGrid>
        </w:tblGridChange>
      </w:tblGrid>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tcPr>
          <w:p w:rsidR="00000000" w:rsidDel="00000000" w:rsidP="00000000" w:rsidRDefault="00000000" w:rsidRPr="00000000" w14:paraId="0000000F">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tcPr>
          <w:p w:rsidR="00000000" w:rsidDel="00000000" w:rsidP="00000000" w:rsidRDefault="00000000" w:rsidRPr="00000000" w14:paraId="00000010">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6"/>
                <w:szCs w:val="26"/>
                <w:rtl w:val="0"/>
              </w:rPr>
              <w:t xml:space="preserve">Huang 2024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tcPr>
          <w:p w:rsidR="00000000" w:rsidDel="00000000" w:rsidP="00000000" w:rsidRDefault="00000000" w:rsidRPr="00000000" w14:paraId="00000011">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6"/>
                <w:szCs w:val="26"/>
                <w:rtl w:val="0"/>
              </w:rPr>
              <w:t xml:space="preserve">Choy 2019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tcPr>
          <w:p w:rsidR="00000000" w:rsidDel="00000000" w:rsidP="00000000" w:rsidRDefault="00000000" w:rsidRPr="00000000" w14:paraId="00000012">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6"/>
                <w:szCs w:val="26"/>
                <w:rtl w:val="0"/>
              </w:rPr>
              <w:t xml:space="preserve">Jangra 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tcPr>
          <w:p w:rsidR="00000000" w:rsidDel="00000000" w:rsidP="00000000" w:rsidRDefault="00000000" w:rsidRPr="00000000" w14:paraId="00000013">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6"/>
                <w:szCs w:val="26"/>
                <w:rtl w:val="0"/>
              </w:rPr>
              <w:t xml:space="preserve">Chang 2013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tcPr>
          <w:p w:rsidR="00000000" w:rsidDel="00000000" w:rsidP="00000000" w:rsidRDefault="00000000" w:rsidRPr="00000000" w14:paraId="00000014">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6"/>
                <w:szCs w:val="26"/>
                <w:rtl w:val="0"/>
              </w:rPr>
              <w:t xml:space="preserve">Narula (Sequential) 2015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tcPr>
          <w:p w:rsidR="00000000" w:rsidDel="00000000" w:rsidP="00000000" w:rsidRDefault="00000000" w:rsidRPr="00000000" w14:paraId="00000015">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6"/>
                <w:szCs w:val="26"/>
                <w:rtl w:val="0"/>
              </w:rPr>
              <w:t xml:space="preserve">Al Hayek 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tcPr>
          <w:p w:rsidR="00000000" w:rsidDel="00000000" w:rsidP="00000000" w:rsidRDefault="00000000" w:rsidRPr="00000000" w14:paraId="00000016">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6"/>
                <w:szCs w:val="26"/>
                <w:rtl w:val="0"/>
              </w:rPr>
              <w:t xml:space="preserve">Narula 2016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tcPr>
          <w:p w:rsidR="00000000" w:rsidDel="00000000" w:rsidP="00000000" w:rsidRDefault="00000000" w:rsidRPr="00000000" w14:paraId="00000017">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6"/>
                <w:szCs w:val="26"/>
                <w:rtl w:val="0"/>
              </w:rPr>
              <w:t xml:space="preserve">Szemes 2020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tcPr>
          <w:p w:rsidR="00000000" w:rsidDel="00000000" w:rsidP="00000000" w:rsidRDefault="00000000" w:rsidRPr="00000000" w14:paraId="00000018">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6"/>
                <w:szCs w:val="26"/>
                <w:rtl w:val="0"/>
              </w:rPr>
              <w:t xml:space="preserve">Sebastian 2019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tcPr>
          <w:p w:rsidR="00000000" w:rsidDel="00000000" w:rsidP="00000000" w:rsidRDefault="00000000" w:rsidRPr="00000000" w14:paraId="00000019">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6"/>
                <w:szCs w:val="26"/>
                <w:rtl w:val="0"/>
              </w:rPr>
              <w:t xml:space="preserve">Nalagatla 2019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tcPr>
          <w:p w:rsidR="00000000" w:rsidDel="00000000" w:rsidP="00000000" w:rsidRDefault="00000000" w:rsidRPr="00000000" w14:paraId="0000001A">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6"/>
                <w:szCs w:val="26"/>
                <w:rtl w:val="0"/>
              </w:rPr>
              <w:t xml:space="preserve">Zhao 2021</w:t>
            </w: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tcPr>
          <w:p w:rsidR="00000000" w:rsidDel="00000000" w:rsidP="00000000" w:rsidRDefault="00000000" w:rsidRPr="00000000" w14:paraId="0000001B">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6"/>
                <w:szCs w:val="26"/>
                <w:rtl w:val="0"/>
              </w:rPr>
              <w:t xml:space="preserve">Included studies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1C">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1D">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1E">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1F">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20">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21">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22">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23">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24">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25">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26">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27">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Khoury 2017</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28">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29">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2A">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2B">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2C">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2D">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2F">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30">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31">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32">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33">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2017</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34">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35">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36">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37">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38">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39">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3A">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3B">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3C">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3D">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3E">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3F">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Aratari 2008</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40">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41">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42">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43">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44">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45">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46">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47">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48">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49">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4A">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4B">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Beswick 2016</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4C">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4D">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4E">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4F">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50">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51">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52">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53">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54">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55">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56">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57">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Bressler 2008</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58">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59">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5A">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5B">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5C">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5D">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5E">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5F">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60">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61">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62">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63">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Chao 2019</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64">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65">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66">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67">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68">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69">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6A">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6B">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6C">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6D">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6E">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6F">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Chaparro 2012</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70">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71">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72">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73">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74">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75">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76">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77">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78">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79">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7A">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7B">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Choy 2018</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7C">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7D">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7E">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7F">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80">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81">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82">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83">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84">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85">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86">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87">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Croft 2013</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88">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89">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8A">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8B">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8C">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8D">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8E">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8F">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90">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91">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92">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93">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Daperno 2004</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94">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95">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96">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97">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98">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99">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9A">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9B">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9C">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9D">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9E">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9F">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Dean 2011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A0">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A1">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A2">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A3">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A4">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A5">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A6">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A7">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A8">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A9">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AA">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AB">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Duijvis 2016</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AC">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AD">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AE">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AF">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B0">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B1">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B2">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B3">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B4">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B5">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B6">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B7">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Endo 2016</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B8">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B9">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BA">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BB">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BC">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BD">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BE">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BF">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C0">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C1">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C2">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C3">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Fehily 2020</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C4">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C5">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C6">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C7">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C8">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C9">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CA">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CB">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CC">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CD">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CE">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CF">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Fellermann 1998</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D0">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D1">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D2">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D3">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D4">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D5">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D6">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D7">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D8">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D9">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DA">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DB">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Fellermann 2002</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DC">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DD">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DE">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DF">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E0">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E1">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E2">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E3">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E4">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E5">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E6">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E7">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Fernandes 2016</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E8">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E9">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EA">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EB">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EC">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ED">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EE">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EF">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F0">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F1">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F2">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F3">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Florhomen 2011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F4">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F5">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F6">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F7">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F8">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F9">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FA">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FB">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FC">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FD">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FE">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FF">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Garcia 2024</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00">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01">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02">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03">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04">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05">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06">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07">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08">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09">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0A">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0B">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Gibson 2015</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0C">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0D">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0E">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0F">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10">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11">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12">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13">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14">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15">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16">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17">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Gibson 2018</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18">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19">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1A">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1B">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1C">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1D">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1E">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1F">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20">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21">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22">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23">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Govani 2016</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24">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25">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26">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27">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28">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29">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2A">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2B">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2C">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2D">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2E">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2F">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Grazie 2021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30">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31">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32">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33">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34">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35">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36">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37">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38">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39">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3A">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3B">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Jarnerot 2005</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3C">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3D">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3E">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3F">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40">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41">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42">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43">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44">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45">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46">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47">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Halpin 2013</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48">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49">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4A">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4B">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4C">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4D">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4E">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4F">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50">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51">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52">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53">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Herrlinger 2010</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54">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55">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56">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57">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58">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59">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5A">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5B">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5C">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5D">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5E">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5F">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Hoffman 2019</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60">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61">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62">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63">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64">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65">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66">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67">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68">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69">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6A">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6B">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Hogebauer 2003</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6C">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6D">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6E">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6F">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70">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71">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72">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73">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74">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75">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76">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77">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Hulkower 2016</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78">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79">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7A">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7B">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7C">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7D">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7E">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7F">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80">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81">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82">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83">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Inaba</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84">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85">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86">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87">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88">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89">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8A">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8B">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8C">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8D">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8E">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8F">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Jaeger 2019</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90">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91">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92">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93">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94">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95">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96">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97">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98">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99">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9A">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9B">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Kaser 2001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9C">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9D">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9E">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9F">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A0">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A1">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A2">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A3">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A4">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A5">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A6">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A7">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Kawakami 2015</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A8">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A9">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AA">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AB">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AC">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AD">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AE">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AF">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B0">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B1">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B2">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B3">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Kim 2015</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B4">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B5">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B6">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B7">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B8">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B9">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BA">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BB">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BC">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BD">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BE">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BF">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Kitayama 2020</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C0">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C1">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C2">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C3">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C4">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C5">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C6">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C7">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C8">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C9">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CA">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CB">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Kohn 2007</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CC">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CD">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CE">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CF">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D0">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D1">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D2">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D3">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D4">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D5">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D6">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D7">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Laharie 2012/15</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D8">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D9">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DA">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DB">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DC">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DD">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DE">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DF">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E0">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E1">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E2">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E3">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Laharie 2017</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E4">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E5">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E6">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E7">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E8">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E9">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EA">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EB">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EC">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ED">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EE">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EF">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Lawranece 2017</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F0">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F1">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F2">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F3">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F4">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F5">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F6">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F7">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F8">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F9">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FA">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FB">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Landy 2013</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FC">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FD">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FE">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FF">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00">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01">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02">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03">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04">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05">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06">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07">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Leblanc 2011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08">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09">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0A">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0B">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0C">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0D">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0E">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0F">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10">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11">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12">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13">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Lees 2007</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14">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15">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16">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17">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18">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19">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1A">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1B">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1C">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1D">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1E">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1F">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Lichtiger 1994</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20">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21">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22">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23">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24">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25">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26">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27">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28">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29">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2A">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2B">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Liu</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2C">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2D">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2E">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2F">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30">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31">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32">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33">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34">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35">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36">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37">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Llao 2016</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38">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39">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3A">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3B">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3C">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3D">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3E">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3F">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40">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41">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42">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43">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Lowenberg 2014</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44">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45">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46">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47">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48">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49">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4A">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4B">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4C">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4D">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4E">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4F">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Lynch 2013</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50">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51">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52">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53">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54">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55">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56">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57">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58">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59">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5A">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5B">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Maser 2008</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5C">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5D">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5E">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5F">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60">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61">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62">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63">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64">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65">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66">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67">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Manosa 2009</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68">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69">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6A">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6B">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6C">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6D">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6E">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6F">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70">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71">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72">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73">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Mastumoto 2017</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74">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75">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76">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77">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78">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79">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7A">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7B">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7C">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7D">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7E">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7F">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Minami 2014</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80">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81">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82">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83">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84">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85">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86">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87">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88">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89">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8A">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8B">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Mocciaro 2012</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8C">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8D">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8E">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8F">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90">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91">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92">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93">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94">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95">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96">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0.0" w:type="dxa"/>
              <w:bottom w:w="40.0" w:type="dxa"/>
              <w:right w:w="0.0" w:type="dxa"/>
            </w:tcMar>
            <w:vAlign w:val="bottom"/>
          </w:tcPr>
          <w:p w:rsidR="00000000" w:rsidDel="00000000" w:rsidP="00000000" w:rsidRDefault="00000000" w:rsidRPr="00000000" w14:paraId="00000297">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Monterubbianesi 2014</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98">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99">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9A">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9B">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9C">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9D">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9E">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9F">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A0">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A1">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A2">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A3">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Mortensen 2011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A4">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A5">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A6">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A7">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A8">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A9">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AA">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AB">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AC">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AD">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AE">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AF">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Nalagatla 2018</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B0">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B1">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B2">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B3">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B4">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B5">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B6">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B7">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B8">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B9">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BA">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BB">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Naves 2014</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BC">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BD">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BE">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BF">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C0">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C1">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C2">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C3">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C4">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C5">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C6">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C7">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Nelson 2014</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C8">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C9">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CA">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CB">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CC">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CD">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CE">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CF">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D0">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D1">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D2">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D3">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Ogata 2012</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D4">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D5">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D6">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D7">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D8">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D9">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DA">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DB">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DC">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DD">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DE">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0.0" w:type="dxa"/>
              <w:bottom w:w="40.0" w:type="dxa"/>
              <w:right w:w="0.0" w:type="dxa"/>
            </w:tcMar>
            <w:vAlign w:val="bottom"/>
          </w:tcPr>
          <w:p w:rsidR="00000000" w:rsidDel="00000000" w:rsidP="00000000" w:rsidRDefault="00000000" w:rsidRPr="00000000" w14:paraId="000002DF">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Olumedo Martin 2017</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E0">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E1">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E2">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E3">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E4">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E5">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E6">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E7">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E8">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E9">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EA">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EB">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Ordas 2017</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EC">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ED">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EE">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EF">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F0">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F1">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F2">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F3">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F4">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F5">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F6">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F7">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Protic 2013</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F8">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F9">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FA">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FB">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FC">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FD">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FE">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FF">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00">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01">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02">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03">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Raojcic 2014</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04">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05">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06">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07">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08">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09">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0A">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0B">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0C">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0D">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0E">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0F">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Regueiro 2006</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10">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11">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12">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13">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14">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15">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16">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17">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18">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19">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1A">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1B">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Ribaldone 2017</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1C">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1D">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1E">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1F">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20">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21">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22">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23">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24">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25">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26">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0.0" w:type="dxa"/>
              <w:bottom w:w="40.0" w:type="dxa"/>
              <w:right w:w="0.0" w:type="dxa"/>
            </w:tcMar>
            <w:vAlign w:val="bottom"/>
          </w:tcPr>
          <w:p w:rsidR="00000000" w:rsidDel="00000000" w:rsidP="00000000" w:rsidRDefault="00000000" w:rsidRPr="00000000" w14:paraId="00000327">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Saifuddin Harris 2018</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28">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29">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2A">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2B">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2C">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2D">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2E">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2F">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30">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31">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32">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33">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Sands 2001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34">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35">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36">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37">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38">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39">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3A">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3B">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3C">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3D">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3E">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3F">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Sciemeca 2012</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40">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41">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42">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43">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44">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45">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46">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47">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48">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49">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4A">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4B">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Seah 2017</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4C">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4D">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4E">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4F">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50">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51">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52">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53">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54">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55">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56">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57">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Sebastian</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58">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59">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5A">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5B">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5C">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5D">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5E">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5F">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60">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61">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62">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63">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Schmidt 2013</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64">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65">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66">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67">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68">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69">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6A">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6B">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6C">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6D">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6E">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6F">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Singh</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70">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71">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72">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73">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74">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75">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76">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77">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78">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79">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7A">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7B">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Shah 2018</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7C">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7D">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7E">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7F">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80">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81">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82">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83">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84">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85">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86">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87">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Shepherd 2014</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88">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89">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8A">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8B">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8C">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8D">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8E">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8F">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90">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91">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92">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93">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Sjoberg 2013</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94">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95">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96">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97">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98">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99">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9A">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9B">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9C">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9D">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9E">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9F">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Sly 2017</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A0">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A1">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A2">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A3">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A4">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A5">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A6">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A7">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A8">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A9">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AA">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AB">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Song 2021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AC">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AD">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AE">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AF">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B0">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B1">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B2">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B3">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B4">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B5">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B6">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B7">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Sood 2014</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B8">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B9">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BA">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BB">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BC">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BD">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BE">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BF">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C0">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C1">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C2">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C3">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Syal 2021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C4">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C5">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C6">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C7">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C8">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C9">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CA">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CB">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CC">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CD">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CE">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CF">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Takeuchi 2013</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D0">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D1">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D2">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D3">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D4">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D5">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D6">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D7">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D8">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D9">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DA">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DB">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Tsukamoto 2013</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DC">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DD">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DE">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DF">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E0">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E1">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E2">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E3">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E4">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E5">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E6">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0.0" w:type="dxa"/>
              <w:bottom w:w="40.0" w:type="dxa"/>
              <w:right w:w="0.0" w:type="dxa"/>
            </w:tcMar>
            <w:vAlign w:val="bottom"/>
          </w:tcPr>
          <w:p w:rsidR="00000000" w:rsidDel="00000000" w:rsidP="00000000" w:rsidRDefault="00000000" w:rsidRPr="00000000" w14:paraId="000003E7">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Van Langenberg 2015</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E8">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E9">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EA">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EB">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EC">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ED">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EE">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EF">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F0">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F1">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F2">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F3">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Williams 2016</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F4">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F5">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F6">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F7">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F8">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F9">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FA">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FB">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FC">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FD">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FE">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0.0" w:type="dxa"/>
              <w:bottom w:w="40.0" w:type="dxa"/>
              <w:right w:w="0.0" w:type="dxa"/>
            </w:tcMar>
            <w:vAlign w:val="bottom"/>
          </w:tcPr>
          <w:p w:rsidR="00000000" w:rsidDel="00000000" w:rsidP="00000000" w:rsidRDefault="00000000" w:rsidRPr="00000000" w14:paraId="000003FF">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Yamamoto-Furusho 2008</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00">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01">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02">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03">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04">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05">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06">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07">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08">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09">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0A">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0B">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Yoshimura 2013</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0C">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0D">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0E">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0F">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10">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11">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12">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13">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14">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15">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16">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17">
      <w:pPr>
        <w:widowControl w:val="0"/>
        <w:spacing w:line="360"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418">
      <w:pPr>
        <w:widowControl w:val="0"/>
        <w:spacing w:line="360" w:lineRule="auto"/>
        <w:rPr>
          <w:rFonts w:ascii="Times New Roman" w:cs="Times New Roman" w:eastAsia="Times New Roman" w:hAnsi="Times New Roman"/>
          <w:sz w:val="28"/>
          <w:szCs w:val="28"/>
          <w:u w:val="single"/>
        </w:rPr>
      </w:pPr>
      <w:r w:rsidDel="00000000" w:rsidR="00000000" w:rsidRPr="00000000">
        <w:rPr>
          <w:rtl w:val="0"/>
        </w:rPr>
      </w:r>
    </w:p>
    <w:p w:rsidR="00000000" w:rsidDel="00000000" w:rsidP="00000000" w:rsidRDefault="00000000" w:rsidRPr="00000000" w14:paraId="00000419">
      <w:pPr>
        <w:ind w:left="-810" w:firstLine="0"/>
        <w:rPr/>
      </w:pPr>
      <w:r w:rsidDel="00000000" w:rsidR="00000000" w:rsidRPr="00000000">
        <w:rPr>
          <w:rtl w:val="0"/>
        </w:rPr>
      </w:r>
    </w:p>
    <w:sectPr>
      <w:pgSz w:h="15840" w:w="12240" w:orient="portrait"/>
      <w:pgMar w:bottom="1440" w:top="1440" w:left="1440" w:right="3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