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6557C4" w14:textId="77777777" w:rsidR="00604D3F" w:rsidRPr="002D220A" w:rsidRDefault="00000000" w:rsidP="002D220A">
      <w:pPr>
        <w:tabs>
          <w:tab w:val="right" w:pos="9025"/>
        </w:tabs>
        <w:spacing w:line="240" w:lineRule="auto"/>
        <w:jc w:val="center"/>
        <w:rPr>
          <w:rFonts w:ascii="Times New Roman" w:eastAsia="Times New Roman" w:hAnsi="Times New Roman" w:cs="Times New Roman"/>
        </w:rPr>
      </w:pPr>
      <w:r w:rsidRPr="002D220A">
        <w:rPr>
          <w:rFonts w:ascii="Times New Roman" w:eastAsia="Times New Roman" w:hAnsi="Times New Roman" w:cs="Times New Roman"/>
          <w:b/>
          <w:bCs/>
        </w:rPr>
        <w:t xml:space="preserve">Table 3. </w:t>
      </w:r>
      <w:r w:rsidRPr="002D220A">
        <w:rPr>
          <w:rFonts w:ascii="Times New Roman" w:eastAsia="Times New Roman" w:hAnsi="Times New Roman" w:cs="Times New Roman"/>
        </w:rPr>
        <w:t>Summary of Meta-Analysis</w:t>
      </w:r>
    </w:p>
    <w:p w14:paraId="52E4D085" w14:textId="77777777" w:rsidR="00604D3F" w:rsidRPr="002D220A" w:rsidRDefault="00604D3F" w:rsidP="002D220A">
      <w:pPr>
        <w:tabs>
          <w:tab w:val="right" w:pos="9025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a"/>
        <w:tblW w:w="12096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024"/>
        <w:gridCol w:w="1296"/>
        <w:gridCol w:w="1296"/>
        <w:gridCol w:w="1296"/>
        <w:gridCol w:w="1296"/>
        <w:gridCol w:w="1296"/>
        <w:gridCol w:w="1296"/>
        <w:gridCol w:w="1296"/>
      </w:tblGrid>
      <w:tr w:rsidR="00604D3F" w:rsidRPr="002D220A" w14:paraId="081EDBB5" w14:textId="77777777">
        <w:trPr>
          <w:trHeight w:val="330"/>
          <w:jc w:val="center"/>
        </w:trPr>
        <w:tc>
          <w:tcPr>
            <w:tcW w:w="3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F2061BF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Subgroup</w:t>
            </w:r>
          </w:p>
        </w:tc>
        <w:tc>
          <w:tcPr>
            <w:tcW w:w="129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852B7A7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Number of studies</w:t>
            </w:r>
          </w:p>
        </w:tc>
        <w:tc>
          <w:tcPr>
            <w:tcW w:w="129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85C3E48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Number of patients</w:t>
            </w:r>
          </w:p>
        </w:tc>
        <w:tc>
          <w:tcPr>
            <w:tcW w:w="129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5CE4E56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Pooled effect</w:t>
            </w:r>
          </w:p>
        </w:tc>
        <w:tc>
          <w:tcPr>
            <w:tcW w:w="129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6A00E96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95% CI</w:t>
            </w:r>
          </w:p>
        </w:tc>
        <w:tc>
          <w:tcPr>
            <w:tcW w:w="129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55C6610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95% PI</w:t>
            </w:r>
          </w:p>
        </w:tc>
        <w:tc>
          <w:tcPr>
            <w:tcW w:w="129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4C437EC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p-value</w:t>
            </w:r>
          </w:p>
        </w:tc>
        <w:tc>
          <w:tcPr>
            <w:tcW w:w="129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6A236D8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I²</w:t>
            </w:r>
          </w:p>
        </w:tc>
      </w:tr>
      <w:tr w:rsidR="00604D3F" w:rsidRPr="002D220A" w14:paraId="6E01EC07" w14:textId="77777777">
        <w:trPr>
          <w:trHeight w:val="180"/>
          <w:jc w:val="center"/>
        </w:trPr>
        <w:tc>
          <w:tcPr>
            <w:tcW w:w="12096" w:type="dxa"/>
            <w:gridSpan w:val="8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DF5D10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Favorable neurological outcome at discharge</w:t>
            </w:r>
          </w:p>
        </w:tc>
      </w:tr>
      <w:tr w:rsidR="00604D3F" w:rsidRPr="002D220A" w14:paraId="11FAE260" w14:textId="77777777">
        <w:trPr>
          <w:trHeight w:val="18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AC8B1BE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Overall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057A0C3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CBF3168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3,384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DD73114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0.72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382C559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0.45-1.13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AD9D58C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0.23-2.26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1E2638F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0.12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51216A1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92.0%</w:t>
            </w:r>
          </w:p>
        </w:tc>
      </w:tr>
      <w:tr w:rsidR="00604D3F" w:rsidRPr="002D220A" w14:paraId="558CB160" w14:textId="77777777">
        <w:trPr>
          <w:trHeight w:val="18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0CB4614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Unmatched studies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14C58DC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8F9E9D5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3,384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68C583C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0.72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121D70F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0.45-1.13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A440515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0.23-2.26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E83DE07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0.12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3E9A5DC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92.0%</w:t>
            </w:r>
          </w:p>
        </w:tc>
      </w:tr>
      <w:tr w:rsidR="00604D3F" w:rsidRPr="002D220A" w14:paraId="63ECE798" w14:textId="77777777">
        <w:trPr>
          <w:trHeight w:val="18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17DA285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Older adults aged 65 and over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BD07859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7A5B25E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2,606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AB8974B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0.65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690D53D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0.39-1.09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D515974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0.19-2.17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4E19E3D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0.08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E8087F7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89.5%</w:t>
            </w:r>
          </w:p>
        </w:tc>
      </w:tr>
      <w:tr w:rsidR="00604D3F" w:rsidRPr="002D220A" w14:paraId="06E574B2" w14:textId="77777777">
        <w:trPr>
          <w:trHeight w:val="18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27D9C65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Older adults aged 70 and over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7E590ED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CF5C3D1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2,186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B65FC2C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0.60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287F641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0.15-2.40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4FF0663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0.04-9.01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6A4D797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0.26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CEF643D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94.0%</w:t>
            </w:r>
          </w:p>
        </w:tc>
      </w:tr>
      <w:tr w:rsidR="00604D3F" w:rsidRPr="002D220A" w14:paraId="460ADA42" w14:textId="77777777">
        <w:trPr>
          <w:trHeight w:val="18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BBA7FF2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Older adults aged 80 and over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CCB31FE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A49B744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1,693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90864F3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0.96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2158F6C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0.84-1.10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02C1792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691271C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0.56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9964CBD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604D3F" w:rsidRPr="002D220A" w14:paraId="4771A220" w14:textId="77777777">
        <w:trPr>
          <w:trHeight w:val="18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963E986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Older adults with SDH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9028175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02D6627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493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8B4E1BA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0.46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E446446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0.00-44.59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0C7CB1D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0.00-783.89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BC7F0C7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0.28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06CC294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82.1%</w:t>
            </w:r>
          </w:p>
        </w:tc>
      </w:tr>
      <w:tr w:rsidR="00604D3F" w:rsidRPr="002D220A" w14:paraId="041D0BD9" w14:textId="77777777">
        <w:trPr>
          <w:trHeight w:val="18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D6570DA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Older adults with isolated TBI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7A7431E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6C6D3B5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1,875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4B47941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0.94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A9C9CC9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0.48-1.84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537B39E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0.43-2.02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4F2A41E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0.44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B8EE613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0.0%</w:t>
            </w:r>
          </w:p>
        </w:tc>
      </w:tr>
      <w:tr w:rsidR="00604D3F" w:rsidRPr="002D220A" w14:paraId="55FB911F" w14:textId="77777777">
        <w:trPr>
          <w:trHeight w:val="18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95C25FF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Older adults with mild TBI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F2AA140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178C028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82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070A94E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0.48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D1BE908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0.32-0.73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2C7AD9F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15CA52B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D220A">
              <w:rPr>
                <w:rFonts w:ascii="Times New Roman" w:eastAsia="Times New Roman" w:hAnsi="Times New Roman" w:cs="Times New Roman"/>
                <w:b/>
                <w:bCs/>
              </w:rPr>
              <w:t>&lt;0.001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A395EEE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604D3F" w:rsidRPr="002D220A" w14:paraId="36B0D489" w14:textId="77777777">
        <w:trPr>
          <w:trHeight w:val="18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EFB4919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Older adults with moderate TBI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9302111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67172F9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954A695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3.00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F8759BB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0.45-20.15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68A05DE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80FF290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0.26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6D93AC7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604D3F" w:rsidRPr="002D220A" w14:paraId="0BFD2D6E" w14:textId="77777777">
        <w:trPr>
          <w:trHeight w:val="18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8D6695B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Older adults with severe TBI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4949CE1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4532EE5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86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63AC1CA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0.72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7291782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0.10-5.12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E77A7C0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F6B3C35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0.74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FF16D5C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604D3F" w:rsidRPr="002D220A" w14:paraId="2FAD6E21" w14:textId="77777777">
        <w:trPr>
          <w:trHeight w:val="220"/>
          <w:jc w:val="center"/>
        </w:trPr>
        <w:tc>
          <w:tcPr>
            <w:tcW w:w="12096" w:type="dxa"/>
            <w:gridSpan w:val="8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AC4819F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Favorable neurological outcome at 3 months</w:t>
            </w:r>
          </w:p>
        </w:tc>
      </w:tr>
      <w:tr w:rsidR="00604D3F" w:rsidRPr="002D220A" w14:paraId="7800ED36" w14:textId="77777777">
        <w:trPr>
          <w:trHeight w:val="18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B66B8C3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Overall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ECAE357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880338E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946BC35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0.64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9AF0D21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0.26-1.55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B977697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CAD6342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0.32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2C5C41B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604D3F" w:rsidRPr="002D220A" w14:paraId="4E600C0D" w14:textId="77777777">
        <w:trPr>
          <w:trHeight w:val="220"/>
          <w:jc w:val="center"/>
        </w:trPr>
        <w:tc>
          <w:tcPr>
            <w:tcW w:w="12096" w:type="dxa"/>
            <w:gridSpan w:val="8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69933AB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Favorable neurological outcome at 6 months</w:t>
            </w:r>
          </w:p>
        </w:tc>
      </w:tr>
      <w:tr w:rsidR="00604D3F" w:rsidRPr="002D220A" w14:paraId="37B51328" w14:textId="77777777">
        <w:trPr>
          <w:trHeight w:val="22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5BB1BE6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Overall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62A23D8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9ADCE6B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2,313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BD49425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1.30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5442EE6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0.55-3.08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3C81722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0.15-11.04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E2C2435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0.48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E75C936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90.5%</w:t>
            </w:r>
          </w:p>
        </w:tc>
      </w:tr>
      <w:tr w:rsidR="00604D3F" w:rsidRPr="002D220A" w14:paraId="02B4AD6B" w14:textId="77777777">
        <w:trPr>
          <w:trHeight w:val="24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8ACA6CB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Matched studies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2879B9A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7694554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166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C956DF2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1.01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BA7D339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0.11-9.47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05F2AA5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0.09-11.18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DF3B602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0.98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99A622A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0.0%</w:t>
            </w:r>
          </w:p>
        </w:tc>
      </w:tr>
      <w:tr w:rsidR="00604D3F" w:rsidRPr="002D220A" w14:paraId="76EE4AF9" w14:textId="77777777">
        <w:trPr>
          <w:trHeight w:val="22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86D9246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Unmatched studies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916E4F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C41A63D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2,147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D934E53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1.45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73089A9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0.34-6.10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C1E0B7B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0.06-36.69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7AB6DE3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0.51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6A36F35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93.6%</w:t>
            </w:r>
          </w:p>
        </w:tc>
      </w:tr>
      <w:tr w:rsidR="00604D3F" w:rsidRPr="002D220A" w14:paraId="4B2AB57F" w14:textId="77777777">
        <w:trPr>
          <w:trHeight w:val="22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EBF2313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Older adults aged 65 and over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5B16A0A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23DEF2E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1,555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D0D80C5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1.58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A11BCDD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0.38-6.59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5874612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0.06-39.85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1980DEF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0.42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15B6B29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93.6%</w:t>
            </w:r>
          </w:p>
        </w:tc>
      </w:tr>
      <w:tr w:rsidR="00604D3F" w:rsidRPr="002D220A" w14:paraId="5E6C7536" w14:textId="77777777">
        <w:trPr>
          <w:trHeight w:val="22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081AC6B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Older adults aged 70 and over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9C05232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21E3362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493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BA63409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0.67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226F372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0.00-1302.84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B561C68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0.00-272396.40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18C79E8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0.62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52D85A3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95.4%</w:t>
            </w:r>
          </w:p>
        </w:tc>
      </w:tr>
      <w:tr w:rsidR="00604D3F" w:rsidRPr="002D220A" w14:paraId="75FE989F" w14:textId="77777777">
        <w:trPr>
          <w:trHeight w:val="22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1D97EE6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Older adults with SDH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FE5EEB6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3037598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1,381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6C2F88C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1.05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0C5F2C4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0.09-12.32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4FF4D39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0.01-133.73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1428603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0.94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01BCFC4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96.1%</w:t>
            </w:r>
          </w:p>
        </w:tc>
      </w:tr>
      <w:tr w:rsidR="00604D3F" w:rsidRPr="002D220A" w14:paraId="3A00F7AB" w14:textId="77777777">
        <w:trPr>
          <w:trHeight w:val="768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3321242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Older adults with isolated TBI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2F3499C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A5BEB7E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216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3662A80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2.75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1792F5D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0.00-9411742.91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11AEBD5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0.00-259901619800.21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0D63DB2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0.55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6099E0C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90.5%</w:t>
            </w:r>
          </w:p>
        </w:tc>
      </w:tr>
      <w:tr w:rsidR="00604D3F" w:rsidRPr="002D220A" w14:paraId="385871E0" w14:textId="77777777">
        <w:trPr>
          <w:trHeight w:val="220"/>
          <w:jc w:val="center"/>
        </w:trPr>
        <w:tc>
          <w:tcPr>
            <w:tcW w:w="12096" w:type="dxa"/>
            <w:gridSpan w:val="8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22A35A2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Favorable neurological outcome at 12 months</w:t>
            </w:r>
          </w:p>
        </w:tc>
      </w:tr>
      <w:tr w:rsidR="00604D3F" w:rsidRPr="002D220A" w14:paraId="53AF4732" w14:textId="77777777">
        <w:trPr>
          <w:trHeight w:val="22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415790A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Overall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6D1463B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58017DC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E1FFEE7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1.86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C82D5A8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0.86-4.02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4B840C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615770F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0.12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08544DA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604D3F" w:rsidRPr="002D220A" w14:paraId="0C372747" w14:textId="77777777">
        <w:trPr>
          <w:trHeight w:val="220"/>
          <w:jc w:val="center"/>
        </w:trPr>
        <w:tc>
          <w:tcPr>
            <w:tcW w:w="12096" w:type="dxa"/>
            <w:gridSpan w:val="8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64B2781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Hospital length of stay</w:t>
            </w:r>
          </w:p>
        </w:tc>
      </w:tr>
      <w:tr w:rsidR="00604D3F" w:rsidRPr="002D220A" w14:paraId="734F759D" w14:textId="77777777">
        <w:trPr>
          <w:trHeight w:val="22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AEA9719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Overall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4B37EC9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513C3A8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127,888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245C751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MD = 6.35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9FC4C9D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2.55 to 10.14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F13E2E0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-1.57 to 14.27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8F37BEC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D220A">
              <w:rPr>
                <w:rFonts w:ascii="Times New Roman" w:eastAsia="Times New Roman" w:hAnsi="Times New Roman" w:cs="Times New Roman"/>
                <w:b/>
                <w:bCs/>
              </w:rPr>
              <w:t>&lt;0.01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FE5F0B0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87.4%</w:t>
            </w:r>
          </w:p>
        </w:tc>
      </w:tr>
      <w:tr w:rsidR="00604D3F" w:rsidRPr="002D220A" w14:paraId="742E15B2" w14:textId="77777777">
        <w:trPr>
          <w:trHeight w:val="22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A5FF488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Unmatched studies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E34DFD8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D7C4487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127,888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35DA778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MD = 6.35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AEE5175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2.55 to 10.14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3B7A515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-1.57 to 14.27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744FD94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D220A">
              <w:rPr>
                <w:rFonts w:ascii="Times New Roman" w:eastAsia="Times New Roman" w:hAnsi="Times New Roman" w:cs="Times New Roman"/>
                <w:b/>
                <w:bCs/>
              </w:rPr>
              <w:t>&lt;0.01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CC106C8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87.4%</w:t>
            </w:r>
          </w:p>
        </w:tc>
      </w:tr>
      <w:tr w:rsidR="00604D3F" w:rsidRPr="002D220A" w14:paraId="5A3E125F" w14:textId="77777777">
        <w:trPr>
          <w:trHeight w:val="22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7035536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lastRenderedPageBreak/>
              <w:t>Older adults aged 65 and over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5E8C2B9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D82FF56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127,888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58A4EB2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MD = 6.35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5F9F54E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2.55 to 10.14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14487E0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-1.57 to 14.27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D1D94B5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D220A">
              <w:rPr>
                <w:rFonts w:ascii="Times New Roman" w:eastAsia="Times New Roman" w:hAnsi="Times New Roman" w:cs="Times New Roman"/>
                <w:b/>
                <w:bCs/>
              </w:rPr>
              <w:t>&lt;0.01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DED92B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87.4%</w:t>
            </w:r>
          </w:p>
        </w:tc>
      </w:tr>
      <w:tr w:rsidR="00604D3F" w:rsidRPr="002D220A" w14:paraId="5685CC28" w14:textId="77777777">
        <w:trPr>
          <w:trHeight w:val="22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A53B8DB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Older adults aged 70 and over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8E76415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FF727C8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127,739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7BE1FAA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MD = 6.13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3D187E9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0.92 to 11.33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857D699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-3.81 to 16.06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CD0AD6E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D220A">
              <w:rPr>
                <w:rFonts w:ascii="Times New Roman" w:eastAsia="Times New Roman" w:hAnsi="Times New Roman" w:cs="Times New Roman"/>
                <w:b/>
                <w:bCs/>
              </w:rPr>
              <w:t>0.03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C9A4CEC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90.5%</w:t>
            </w:r>
          </w:p>
        </w:tc>
      </w:tr>
      <w:tr w:rsidR="00604D3F" w:rsidRPr="002D220A" w14:paraId="05A6D864" w14:textId="77777777">
        <w:trPr>
          <w:trHeight w:val="22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5F5ECE0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Older adults aged 80 and over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68D3F1E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3BB3166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127,246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F62E52F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MD = 5.12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FFEE85B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-19.65 to 29.88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124D24F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-37.28 to 47.51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CA50615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0.23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1E6FDE4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96.4%</w:t>
            </w:r>
          </w:p>
        </w:tc>
      </w:tr>
      <w:tr w:rsidR="00604D3F" w:rsidRPr="002D220A" w14:paraId="4A94D24F" w14:textId="77777777">
        <w:trPr>
          <w:trHeight w:val="22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CC82F85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Older adults with SDH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6D3EE30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B657E6F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759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FB01762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MD = 6.34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17DC0C6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0.35 to 12.32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0595249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-5.53 to 18.20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DB672A4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D220A">
              <w:rPr>
                <w:rFonts w:ascii="Times New Roman" w:eastAsia="Times New Roman" w:hAnsi="Times New Roman" w:cs="Times New Roman"/>
                <w:b/>
                <w:bCs/>
              </w:rPr>
              <w:t>0.04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B58D94A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72.5%</w:t>
            </w:r>
          </w:p>
        </w:tc>
      </w:tr>
      <w:tr w:rsidR="00604D3F" w:rsidRPr="002D220A" w14:paraId="3ADCBDA1" w14:textId="77777777">
        <w:trPr>
          <w:trHeight w:val="220"/>
          <w:jc w:val="center"/>
        </w:trPr>
        <w:tc>
          <w:tcPr>
            <w:tcW w:w="12096" w:type="dxa"/>
            <w:gridSpan w:val="8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A55063A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In-hospital mortality</w:t>
            </w:r>
          </w:p>
        </w:tc>
      </w:tr>
      <w:tr w:rsidR="00604D3F" w:rsidRPr="002D220A" w14:paraId="4E894865" w14:textId="77777777">
        <w:trPr>
          <w:trHeight w:val="22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163AC2B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Overall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7D0CFEE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0C59CEE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130,552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822042C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1.33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C06B7D2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0.75-2.36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8C6B0BB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0.38-4.69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976CDAE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0.28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DBD3439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97.6%</w:t>
            </w:r>
          </w:p>
        </w:tc>
      </w:tr>
      <w:tr w:rsidR="00604D3F" w:rsidRPr="002D220A" w14:paraId="7C271F73" w14:textId="77777777">
        <w:trPr>
          <w:trHeight w:val="22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3AB34CB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Unmatched studies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A150B03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45465ED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130,552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4D72E41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1.33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E1668E1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0.75-2.36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CC23D7B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0.38-4.69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2BD64F0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0.28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6D60915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97.6%</w:t>
            </w:r>
          </w:p>
        </w:tc>
      </w:tr>
      <w:tr w:rsidR="00604D3F" w:rsidRPr="002D220A" w14:paraId="6E08601E" w14:textId="77777777">
        <w:trPr>
          <w:trHeight w:val="22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3EE8128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Older adults aged 65 and over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FDD911A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148DC8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129,774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98FE489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1.47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03F1C0E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0.83-2.60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0243F72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0.45-4.80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9A2C3B7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0.28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43B3261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97.8%</w:t>
            </w:r>
          </w:p>
        </w:tc>
      </w:tr>
      <w:tr w:rsidR="00604D3F" w:rsidRPr="002D220A" w14:paraId="59E3340A" w14:textId="77777777">
        <w:trPr>
          <w:trHeight w:val="22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25C5788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Older adults aged 70 and over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B96E754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7356313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129,536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6269669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1.50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1651110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0.73-3.07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D4C6144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0.37-6.04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63C27FF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0.21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CD7479E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98.2%</w:t>
            </w:r>
          </w:p>
        </w:tc>
      </w:tr>
      <w:tr w:rsidR="00604D3F" w:rsidRPr="002D220A" w14:paraId="5977512E" w14:textId="77777777">
        <w:trPr>
          <w:trHeight w:val="22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C5053F2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Older adults aged 80 and over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0B175D5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3023D3B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129,043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7F3B389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1.76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B3B63F6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0.34-8.99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076C25D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0.10-32.52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70B3624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0.35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428BA13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98.9%</w:t>
            </w:r>
          </w:p>
        </w:tc>
      </w:tr>
      <w:tr w:rsidR="00604D3F" w:rsidRPr="002D220A" w14:paraId="57B93250" w14:textId="77777777">
        <w:trPr>
          <w:trHeight w:val="22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172294D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Older adults with SDH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3A755C7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5926EDC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714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DB3D746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1.49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7565ABE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0.42-5.36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6E3FB5A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0.26-8.45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32E5461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0.39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367FF47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68.6%</w:t>
            </w:r>
          </w:p>
        </w:tc>
      </w:tr>
      <w:tr w:rsidR="00604D3F" w:rsidRPr="002D220A" w14:paraId="6E5B0454" w14:textId="77777777">
        <w:trPr>
          <w:trHeight w:val="22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6CC1A00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Older adults with isolated TBI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F0E6445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6295EB1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1,693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C228BE8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0.91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45E3ACC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0.81-1.01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E024CCC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948F9CA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0.08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FA37F64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604D3F" w:rsidRPr="002D220A" w14:paraId="66923681" w14:textId="77777777">
        <w:trPr>
          <w:trHeight w:val="22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4C20506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Older adults with mild TBI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247906C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E7C3F85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272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F9DCBAC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1.78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39B7713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0.00-32148.02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E33FBD4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0.00-6686374.03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B50CB61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0.59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5974080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69.2%</w:t>
            </w:r>
          </w:p>
        </w:tc>
      </w:tr>
      <w:tr w:rsidR="00604D3F" w:rsidRPr="002D220A" w14:paraId="04243603" w14:textId="77777777">
        <w:trPr>
          <w:trHeight w:val="22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241E20F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Older adults with moderate TBI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48A2235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24F0D0B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83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DB424E7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0.45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2F89DD1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0.09-2.34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6CB23FC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0.01-26.94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A3031D8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0.10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5F50741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0.0%</w:t>
            </w:r>
          </w:p>
        </w:tc>
      </w:tr>
      <w:tr w:rsidR="00604D3F" w:rsidRPr="002D220A" w14:paraId="5374FFB5" w14:textId="77777777">
        <w:trPr>
          <w:trHeight w:val="22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C38CC0E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Older adults with severe TBI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9F9336B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8364CF0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130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6326E73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0.67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7C414C2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0.16-2.82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85D2E4B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0.08-5.64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9C5C897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3AD1E6C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0.0%</w:t>
            </w:r>
          </w:p>
        </w:tc>
      </w:tr>
      <w:tr w:rsidR="00604D3F" w:rsidRPr="002D220A" w14:paraId="1064FD65" w14:textId="77777777">
        <w:trPr>
          <w:trHeight w:val="220"/>
          <w:jc w:val="center"/>
        </w:trPr>
        <w:tc>
          <w:tcPr>
            <w:tcW w:w="12096" w:type="dxa"/>
            <w:gridSpan w:val="8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A82A0F0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30-day mortality</w:t>
            </w:r>
          </w:p>
        </w:tc>
      </w:tr>
      <w:tr w:rsidR="00604D3F" w:rsidRPr="002D220A" w14:paraId="4748CB51" w14:textId="77777777">
        <w:trPr>
          <w:trHeight w:val="22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D59B5E1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Overall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5A33654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1681A32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315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1C1B64C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0.67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F7B5C0C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0.31-1.46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A871B6A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0.21-2.16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C339071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0.16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1391E36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23.3%</w:t>
            </w:r>
          </w:p>
        </w:tc>
      </w:tr>
      <w:tr w:rsidR="00604D3F" w:rsidRPr="002D220A" w14:paraId="724C9BC9" w14:textId="77777777">
        <w:trPr>
          <w:trHeight w:val="22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ACCA20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Matched studies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5D31673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E11180A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0D3FE71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0.45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FD5017B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0.24-0.83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9A689A7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4FB8776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D220A">
              <w:rPr>
                <w:rFonts w:ascii="Times New Roman" w:eastAsia="Times New Roman" w:hAnsi="Times New Roman" w:cs="Times New Roman"/>
                <w:b/>
                <w:bCs/>
              </w:rPr>
              <w:t>0.01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08891C2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604D3F" w:rsidRPr="002D220A" w14:paraId="2CA100A3" w14:textId="77777777">
        <w:trPr>
          <w:trHeight w:val="22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0165D6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Unmatched studies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0AC60F0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0FB8C0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253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62F4BC1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0.79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F7A1930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0.52-1.21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A25011B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0.09-6.95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8A84B43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0.09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B5C3D1B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0.0%</w:t>
            </w:r>
          </w:p>
        </w:tc>
      </w:tr>
      <w:tr w:rsidR="00604D3F" w:rsidRPr="002D220A" w14:paraId="7B88AED3" w14:textId="77777777">
        <w:trPr>
          <w:trHeight w:val="22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7A24029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Older adults aged 65 and over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68441A7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AD79EEC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315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CF8BC38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0.67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D598D2E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0.31-1.46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F89F992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0.21-2.16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B384A67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0.16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98B2EA1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23.3%</w:t>
            </w:r>
          </w:p>
        </w:tc>
      </w:tr>
      <w:tr w:rsidR="00604D3F" w:rsidRPr="002D220A" w14:paraId="781DAE1A" w14:textId="77777777">
        <w:trPr>
          <w:trHeight w:val="22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5A7DAC6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Older adults aged 80 and over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380BD2A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CE5C8EE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104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65A0FAD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0.81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818490C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0.56-1.17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6B72C19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C2393A5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0.25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BE4159A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604D3F" w:rsidRPr="002D220A" w14:paraId="52A076AB" w14:textId="77777777">
        <w:trPr>
          <w:trHeight w:val="22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5AD10B6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Older adults with SDH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B66D3EE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2DD4C0B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253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EBB2220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0.79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C19278E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0.52-1.21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C0F24DE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0.09-6.95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C06078E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0.09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5CA12F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0.0%</w:t>
            </w:r>
          </w:p>
        </w:tc>
      </w:tr>
      <w:tr w:rsidR="00604D3F" w:rsidRPr="002D220A" w14:paraId="0FD1C351" w14:textId="77777777">
        <w:trPr>
          <w:trHeight w:val="220"/>
          <w:jc w:val="center"/>
        </w:trPr>
        <w:tc>
          <w:tcPr>
            <w:tcW w:w="12096" w:type="dxa"/>
            <w:gridSpan w:val="8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0F55BDB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3-month mortality</w:t>
            </w:r>
          </w:p>
        </w:tc>
      </w:tr>
      <w:tr w:rsidR="00604D3F" w:rsidRPr="002D220A" w14:paraId="0D8A83DE" w14:textId="77777777">
        <w:trPr>
          <w:trHeight w:val="22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D3EBD7C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Overall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AF82DB0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DFDABA7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104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7AF031B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0.88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016E9B1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0.63-1.22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A0FFEB1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2AAD2DF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0.44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E68978A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604D3F" w:rsidRPr="002D220A" w14:paraId="721A6D1E" w14:textId="77777777">
        <w:trPr>
          <w:trHeight w:val="220"/>
          <w:jc w:val="center"/>
        </w:trPr>
        <w:tc>
          <w:tcPr>
            <w:tcW w:w="12096" w:type="dxa"/>
            <w:gridSpan w:val="8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5F1A382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6-month mortality</w:t>
            </w:r>
          </w:p>
        </w:tc>
      </w:tr>
      <w:tr w:rsidR="00604D3F" w:rsidRPr="002D220A" w14:paraId="37ABA09E" w14:textId="77777777">
        <w:trPr>
          <w:trHeight w:val="22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AD90F42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Overall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42B3E73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A07BC23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1,912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5C95604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0.68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7F5C659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0.51-0.92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AC71794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0.33-1.43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2E05B09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D220A">
              <w:rPr>
                <w:rFonts w:ascii="Times New Roman" w:eastAsia="Times New Roman" w:hAnsi="Times New Roman" w:cs="Times New Roman"/>
                <w:b/>
                <w:bCs/>
              </w:rPr>
              <w:t>0.02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411530B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67.2%</w:t>
            </w:r>
          </w:p>
        </w:tc>
      </w:tr>
      <w:tr w:rsidR="00604D3F" w:rsidRPr="002D220A" w14:paraId="196C8FB6" w14:textId="77777777">
        <w:trPr>
          <w:trHeight w:val="22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3D9C26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Matched studies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C9C33F9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F82ACF2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166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331C9C8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0.70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816DFE3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0.00-337.17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097E653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0.00-15312.20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E6BD658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0.60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A0ABFCA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80.8%</w:t>
            </w:r>
          </w:p>
        </w:tc>
      </w:tr>
      <w:tr w:rsidR="00604D3F" w:rsidRPr="002D220A" w14:paraId="2E915842" w14:textId="77777777">
        <w:trPr>
          <w:trHeight w:val="22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4D1FF19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Unmatched studies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73454F3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DABB349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1,746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F09DC85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0.68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85DD4D2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0.49-0.94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2BA7BE4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0.32-1.46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72FC07A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D220A">
              <w:rPr>
                <w:rFonts w:ascii="Times New Roman" w:eastAsia="Times New Roman" w:hAnsi="Times New Roman" w:cs="Times New Roman"/>
                <w:b/>
                <w:bCs/>
              </w:rPr>
              <w:t>0.03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DF802D3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68.9%</w:t>
            </w:r>
          </w:p>
        </w:tc>
      </w:tr>
      <w:tr w:rsidR="00604D3F" w:rsidRPr="002D220A" w14:paraId="5B95DB91" w14:textId="77777777">
        <w:trPr>
          <w:trHeight w:val="22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8F39C58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Older adults aged 65 and over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4C19091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0D3F826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1,808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EE38BBD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0.65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A74CBDD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0.48-0.88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DBDE760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0.31-1.35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9624516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D220A">
              <w:rPr>
                <w:rFonts w:ascii="Times New Roman" w:eastAsia="Times New Roman" w:hAnsi="Times New Roman" w:cs="Times New Roman"/>
                <w:b/>
                <w:bCs/>
              </w:rPr>
              <w:t>0.01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A013688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68.9%</w:t>
            </w:r>
          </w:p>
        </w:tc>
      </w:tr>
      <w:tr w:rsidR="00604D3F" w:rsidRPr="002D220A" w14:paraId="02D9932E" w14:textId="77777777">
        <w:trPr>
          <w:trHeight w:val="22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F15338D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lastRenderedPageBreak/>
              <w:t>Older adults aged 70 and over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B6774F4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AFE681E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597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CED1892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0.80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ED4726E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0.70-0.92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736B42F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0.50-1.28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8AB6130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D220A">
              <w:rPr>
                <w:rFonts w:ascii="Times New Roman" w:eastAsia="Times New Roman" w:hAnsi="Times New Roman" w:cs="Times New Roman"/>
                <w:b/>
                <w:bCs/>
              </w:rPr>
              <w:t>0.02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1BC60C8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0.0%</w:t>
            </w:r>
          </w:p>
        </w:tc>
      </w:tr>
      <w:tr w:rsidR="00604D3F" w:rsidRPr="002D220A" w14:paraId="0FA6492B" w14:textId="77777777">
        <w:trPr>
          <w:trHeight w:val="22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FEFF9DD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Older adults aged 80and over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4518F4B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7F31254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104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312F170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0.84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8C5361E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0.60-1.17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0BA1456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DAAEF66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0.30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1AEF2D2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604D3F" w:rsidRPr="002D220A" w14:paraId="6AEE53DE" w14:textId="77777777">
        <w:trPr>
          <w:trHeight w:val="22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951B927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Older adults with SDH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F3918C2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C77B399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1,738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731EEB6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0.78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19FBF2B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0.73-0.83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875A29E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0.70-0.86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3EC8AF9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D220A">
              <w:rPr>
                <w:rFonts w:ascii="Times New Roman" w:eastAsia="Times New Roman" w:hAnsi="Times New Roman" w:cs="Times New Roman"/>
                <w:b/>
                <w:bCs/>
              </w:rPr>
              <w:t>&lt;0.001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49C4ACC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0.0%</w:t>
            </w:r>
          </w:p>
        </w:tc>
      </w:tr>
      <w:tr w:rsidR="00604D3F" w:rsidRPr="002D220A" w14:paraId="295772D0" w14:textId="77777777">
        <w:trPr>
          <w:trHeight w:val="22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4144ABB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Older adults with isolated TBI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983D51B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193393C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216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8079720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0.63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63D88C7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0.00-734.28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1B5388C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0.00-86671.93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472F2D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0.56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5E97C6E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90.3%</w:t>
            </w:r>
          </w:p>
        </w:tc>
      </w:tr>
      <w:tr w:rsidR="00604D3F" w:rsidRPr="002D220A" w14:paraId="05B44317" w14:textId="77777777">
        <w:trPr>
          <w:trHeight w:val="22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ADC582D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Older adults with mild TBI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22F7C2F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2BBD5A4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190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AFFC1C1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0.57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B8E667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0.34-0.97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06BB65D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F3FE96C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D220A">
              <w:rPr>
                <w:rFonts w:ascii="Times New Roman" w:eastAsia="Times New Roman" w:hAnsi="Times New Roman" w:cs="Times New Roman"/>
                <w:b/>
                <w:bCs/>
              </w:rPr>
              <w:t>0.04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1EABF28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604D3F" w:rsidRPr="002D220A" w14:paraId="33B1FDF9" w14:textId="77777777">
        <w:trPr>
          <w:trHeight w:val="22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F7E8FDC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Older adults with moderate TBI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561E833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815E156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86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A72A742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0.85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B879B78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0.00-17687.35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C641440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0.00-11086921.16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669A3EE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0.87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DC2C2A4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85.3%</w:t>
            </w:r>
          </w:p>
        </w:tc>
      </w:tr>
      <w:tr w:rsidR="00604D3F" w:rsidRPr="002D220A" w14:paraId="683BFAAC" w14:textId="77777777">
        <w:trPr>
          <w:trHeight w:val="22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68FE9E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Older adults with severe TBI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CFCBFFA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75DA5B8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79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EAB841F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0.83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4F871E6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0.38-1.82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A36802F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0.19-3.62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7E08031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0.20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AA287AF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0.0%</w:t>
            </w:r>
          </w:p>
        </w:tc>
      </w:tr>
      <w:tr w:rsidR="00604D3F" w:rsidRPr="002D220A" w14:paraId="595F6241" w14:textId="77777777">
        <w:trPr>
          <w:trHeight w:val="220"/>
          <w:jc w:val="center"/>
        </w:trPr>
        <w:tc>
          <w:tcPr>
            <w:tcW w:w="12096" w:type="dxa"/>
            <w:gridSpan w:val="8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00C77DE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12-month mortality</w:t>
            </w:r>
          </w:p>
        </w:tc>
      </w:tr>
      <w:tr w:rsidR="00604D3F" w:rsidRPr="002D220A" w14:paraId="1044F8B2" w14:textId="77777777">
        <w:trPr>
          <w:trHeight w:val="22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B4932F4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Overall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2347E3B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2DB4AC4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166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1D016ED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0.69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70C44C9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0.02-24.31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CB79FD2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0.00-175.80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B7B1C18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0.41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CF1B8A1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69.5%</w:t>
            </w:r>
          </w:p>
        </w:tc>
      </w:tr>
      <w:tr w:rsidR="00604D3F" w:rsidRPr="002D220A" w14:paraId="492CC0E6" w14:textId="77777777">
        <w:trPr>
          <w:trHeight w:val="22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105700C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Matched studies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8A85CB9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DF9C8F3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29EDE68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0.50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3C7043D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0.30-0.85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4FA6470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4EBF315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D220A">
              <w:rPr>
                <w:rFonts w:ascii="Times New Roman" w:eastAsia="Times New Roman" w:hAnsi="Times New Roman" w:cs="Times New Roman"/>
                <w:b/>
                <w:bCs/>
              </w:rPr>
              <w:t>0.01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AD930AB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604D3F" w:rsidRPr="002D220A" w14:paraId="1D86ED45" w14:textId="77777777">
        <w:trPr>
          <w:trHeight w:val="22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4F11AE9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Unmatched studies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0A230F0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93C4E4A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104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9944454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0.88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80DFD05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0.64-1.21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BB06CA0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A441EB9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0.43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25B8EED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604D3F" w:rsidRPr="002D220A" w14:paraId="5DD00463" w14:textId="77777777">
        <w:trPr>
          <w:trHeight w:val="22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C493B5E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Older adults aged 65 and over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77740C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1AB9D3F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166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FBC25CC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0.69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002D304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0.02-24.31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7663214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0.00-175.80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69C27E5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0.41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FB354FB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69.5%</w:t>
            </w:r>
          </w:p>
        </w:tc>
      </w:tr>
      <w:tr w:rsidR="00604D3F" w:rsidRPr="002D220A" w14:paraId="3C5921D0" w14:textId="77777777">
        <w:trPr>
          <w:trHeight w:val="22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04536B0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Older adults aged 80 and over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A4FC6EB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18EFC0F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104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568D1B9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0.88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1426CDD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0.64-1.21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C573F24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A1E0E6F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0.43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1CA7AB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604D3F" w:rsidRPr="002D220A" w14:paraId="4699E4D3" w14:textId="77777777">
        <w:trPr>
          <w:trHeight w:val="22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2730879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Older adults with SDH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218D09D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D07FBE4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104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6572009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0.88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774DAAD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0.64-1.21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8F5FDC9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015C0D0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0.43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D92DFA0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604D3F" w:rsidRPr="002D220A" w14:paraId="3E7E3595" w14:textId="77777777">
        <w:trPr>
          <w:trHeight w:val="220"/>
          <w:jc w:val="center"/>
        </w:trPr>
        <w:tc>
          <w:tcPr>
            <w:tcW w:w="12096" w:type="dxa"/>
            <w:gridSpan w:val="8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8EC5B7B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24-month mortality</w:t>
            </w:r>
          </w:p>
        </w:tc>
      </w:tr>
      <w:tr w:rsidR="00604D3F" w:rsidRPr="002D220A" w14:paraId="477E10A7" w14:textId="77777777">
        <w:trPr>
          <w:trHeight w:val="220"/>
          <w:jc w:val="center"/>
        </w:trPr>
        <w:tc>
          <w:tcPr>
            <w:tcW w:w="30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ADA5BF1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Overall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605D29D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86DB55D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104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3D39305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RR = 0.86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6BBDF4F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0.63-1.18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072D841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0DF076F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0.35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72D14A6" w14:textId="77777777" w:rsidR="00604D3F" w:rsidRPr="002D220A" w:rsidRDefault="00000000" w:rsidP="002D220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220A">
              <w:rPr>
                <w:rFonts w:ascii="Times New Roman" w:eastAsia="Times New Roman" w:hAnsi="Times New Roman" w:cs="Times New Roman"/>
              </w:rPr>
              <w:t>-</w:t>
            </w:r>
          </w:p>
        </w:tc>
      </w:tr>
    </w:tbl>
    <w:p w14:paraId="4A51A32B" w14:textId="77777777" w:rsidR="00604D3F" w:rsidRPr="002D220A" w:rsidRDefault="00604D3F" w:rsidP="002D220A">
      <w:pPr>
        <w:tabs>
          <w:tab w:val="right" w:pos="9025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38ED93EB" w14:textId="77777777" w:rsidR="00604D3F" w:rsidRPr="002D220A" w:rsidRDefault="00604D3F" w:rsidP="002D220A">
      <w:pPr>
        <w:tabs>
          <w:tab w:val="right" w:pos="9025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0D507C69" w14:textId="77777777" w:rsidR="00604D3F" w:rsidRPr="002D220A" w:rsidRDefault="00604D3F" w:rsidP="002D220A">
      <w:pPr>
        <w:tabs>
          <w:tab w:val="right" w:pos="9025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63C17A0B" w14:textId="77777777" w:rsidR="00604D3F" w:rsidRPr="002D220A" w:rsidRDefault="00604D3F" w:rsidP="002D220A">
      <w:pPr>
        <w:spacing w:line="240" w:lineRule="auto"/>
        <w:jc w:val="center"/>
        <w:rPr>
          <w:rFonts w:ascii="Times New Roman" w:eastAsia="Times New Roman" w:hAnsi="Times New Roman" w:cs="Times New Roman"/>
        </w:rPr>
      </w:pPr>
    </w:p>
    <w:sectPr w:rsidR="00604D3F" w:rsidRPr="002D220A"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637390E-FC01-474D-917D-7A12A8BCF9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31C400E-4A0E-4F66-820B-2DEB6C3C0F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D3F"/>
    <w:rsid w:val="002D220A"/>
    <w:rsid w:val="00604D3F"/>
    <w:rsid w:val="00696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3589C3"/>
  <w15:docId w15:val="{93A3A234-5283-41DE-8C4A-D9ADD679D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718</Words>
  <Characters>3954</Characters>
  <Application>Microsoft Office Word</Application>
  <DocSecurity>0</DocSecurity>
  <Lines>32</Lines>
  <Paragraphs>9</Paragraphs>
  <ScaleCrop>false</ScaleCrop>
  <Company/>
  <LinksUpToDate>false</LinksUpToDate>
  <CharactersWithSpaces>4663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Luis  Enrique Cueva Cañola</cp:lastModifiedBy>
  <cp:revision>2</cp:revision>
  <dcterms:created xsi:type="dcterms:W3CDTF">2026-04-09T01:57:00Z</dcterms:created>
  <dcterms:modified xsi:type="dcterms:W3CDTF">2026-04-09T01:57:00Z</dcterms:modified>
</cp:coreProperties>
</file>