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F434" w14:textId="77777777" w:rsidR="006774E0" w:rsidRDefault="006774E0" w:rsidP="006774E0">
      <w:pPr>
        <w:spacing w:line="480" w:lineRule="auto"/>
        <w:jc w:val="both"/>
      </w:pPr>
      <w:r>
        <w:t>Graphical Abstract:</w:t>
      </w:r>
    </w:p>
    <w:p w14:paraId="15646415" w14:textId="77777777" w:rsidR="006774E0" w:rsidRDefault="006774E0" w:rsidP="006774E0">
      <w:pPr>
        <w:spacing w:line="480" w:lineRule="auto"/>
        <w:jc w:val="both"/>
      </w:pPr>
    </w:p>
    <w:p w14:paraId="47603067" w14:textId="77777777" w:rsidR="006774E0" w:rsidRDefault="006774E0" w:rsidP="006774E0">
      <w:pPr>
        <w:spacing w:line="480" w:lineRule="auto"/>
        <w:jc w:val="both"/>
      </w:pPr>
      <w:r w:rsidRPr="00ED331B">
        <w:rPr>
          <w:noProof/>
        </w:rPr>
        <w:drawing>
          <wp:inline distT="0" distB="0" distL="0" distR="0" wp14:anchorId="60A9FE0C" wp14:editId="748402F9">
            <wp:extent cx="5943600" cy="2633345"/>
            <wp:effectExtent l="0" t="0" r="0" b="0"/>
            <wp:docPr id="658219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190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DB0CA" w14:textId="77777777" w:rsidR="006774E0" w:rsidRDefault="006774E0" w:rsidP="006774E0">
      <w:pPr>
        <w:spacing w:after="240" w:line="48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Graphical Abstract Legend:</w:t>
      </w:r>
    </w:p>
    <w:p w14:paraId="03E41944" w14:textId="77777777" w:rsidR="006774E0" w:rsidRDefault="006774E0" w:rsidP="006774E0">
      <w:pPr>
        <w:spacing w:after="240" w:line="480" w:lineRule="auto"/>
        <w:jc w:val="both"/>
      </w:pPr>
      <w:r>
        <w:rPr>
          <w:b/>
          <w:bCs/>
        </w:rPr>
        <w:t xml:space="preserve">Graphical Abstract Legend. </w:t>
      </w:r>
      <w:r w:rsidRPr="003C0A97">
        <w:rPr>
          <w:b/>
          <w:bCs/>
          <w:u w:val="single"/>
        </w:rPr>
        <w:t>Abbreviations</w:t>
      </w:r>
      <w:r>
        <w:t xml:space="preserve">: </w:t>
      </w:r>
      <w:r>
        <w:rPr>
          <w:b/>
          <w:bCs/>
        </w:rPr>
        <w:t xml:space="preserve">ASCVD </w:t>
      </w:r>
      <w:r w:rsidRPr="0075366D">
        <w:t>Atherosclerotic Cardiovascular Disease;</w:t>
      </w:r>
      <w:r>
        <w:rPr>
          <w:b/>
          <w:bCs/>
        </w:rPr>
        <w:t xml:space="preserve"> HbA1c </w:t>
      </w:r>
      <w:r w:rsidRPr="0075366D">
        <w:t>Hemoglobin A1c</w:t>
      </w:r>
      <w:r>
        <w:rPr>
          <w:b/>
          <w:bCs/>
        </w:rPr>
        <w:t xml:space="preserve">; BP </w:t>
      </w:r>
      <w:r w:rsidRPr="0075366D">
        <w:t>Blood Pressure</w:t>
      </w:r>
      <w:r>
        <w:rPr>
          <w:b/>
          <w:bCs/>
        </w:rPr>
        <w:t xml:space="preserve">; LDL-C </w:t>
      </w:r>
      <w:r w:rsidRPr="0075366D">
        <w:t>Low Density Lipoprotein Cholesterol</w:t>
      </w:r>
      <w:r>
        <w:rPr>
          <w:b/>
          <w:bCs/>
        </w:rPr>
        <w:t xml:space="preserve">; NH </w:t>
      </w:r>
      <w:r w:rsidRPr="0075366D">
        <w:t>Non-Hispanic;</w:t>
      </w:r>
      <w:r>
        <w:rPr>
          <w:b/>
          <w:bCs/>
        </w:rPr>
        <w:t xml:space="preserve"> MACE </w:t>
      </w:r>
      <w:r w:rsidRPr="0075366D">
        <w:t>Major Adverse Cardiovascular Event</w:t>
      </w:r>
    </w:p>
    <w:p w14:paraId="03DCCF1A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E0"/>
    <w:rsid w:val="00195413"/>
    <w:rsid w:val="003D0186"/>
    <w:rsid w:val="006774E0"/>
    <w:rsid w:val="007278E4"/>
    <w:rsid w:val="00A3738C"/>
    <w:rsid w:val="00A91DBB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F050"/>
  <w15:chartTrackingRefBased/>
  <w15:docId w15:val="{8F6B5FF0-3C62-445D-8896-0E591A9B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E0"/>
    <w:pPr>
      <w:spacing w:after="0" w:line="36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4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4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4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4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4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4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4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4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4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4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4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4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4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4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4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4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4E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7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4E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74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4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4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Springer Nature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2026-04-23T08:18:00Z</dcterms:created>
  <dcterms:modified xsi:type="dcterms:W3CDTF">2026-04-23T08:18:00Z</dcterms:modified>
</cp:coreProperties>
</file>