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23C4" w14:textId="36CC4011" w:rsidR="00634F9A" w:rsidRPr="005779E4" w:rsidRDefault="004B3729">
      <w:pPr>
        <w:rPr>
          <w:rFonts w:ascii="Arial" w:hAnsi="Arial" w:cs="Arial"/>
          <w:b/>
          <w:bCs/>
          <w:sz w:val="24"/>
          <w:szCs w:val="24"/>
        </w:rPr>
      </w:pPr>
      <w:r w:rsidRPr="005779E4">
        <w:rPr>
          <w:rFonts w:ascii="Arial" w:hAnsi="Arial" w:cs="Arial"/>
          <w:b/>
          <w:bCs/>
          <w:sz w:val="24"/>
          <w:szCs w:val="24"/>
        </w:rPr>
        <w:t xml:space="preserve">Supplementary </w:t>
      </w:r>
      <w:r w:rsidR="007818B7">
        <w:rPr>
          <w:rFonts w:ascii="Arial" w:hAnsi="Arial" w:cs="Arial"/>
          <w:b/>
          <w:bCs/>
          <w:sz w:val="24"/>
          <w:szCs w:val="24"/>
        </w:rPr>
        <w:t xml:space="preserve">Material and </w:t>
      </w:r>
      <w:r w:rsidRPr="005779E4">
        <w:rPr>
          <w:rFonts w:ascii="Arial" w:hAnsi="Arial" w:cs="Arial"/>
          <w:b/>
          <w:bCs/>
          <w:sz w:val="24"/>
          <w:szCs w:val="24"/>
        </w:rPr>
        <w:t>Methods</w:t>
      </w:r>
    </w:p>
    <w:p w14:paraId="77FC0BC1" w14:textId="77777777" w:rsidR="00711432" w:rsidRPr="005779E4" w:rsidRDefault="00711432">
      <w:pPr>
        <w:rPr>
          <w:rFonts w:ascii="Arial" w:hAnsi="Arial" w:cs="Arial"/>
          <w:sz w:val="24"/>
          <w:szCs w:val="24"/>
        </w:rPr>
      </w:pPr>
    </w:p>
    <w:p w14:paraId="587B3427" w14:textId="098C8E85" w:rsidR="009B4C5C" w:rsidRPr="005779E4" w:rsidRDefault="009B4C5C">
      <w:pPr>
        <w:rPr>
          <w:rFonts w:ascii="Arial" w:hAnsi="Arial" w:cs="Arial"/>
          <w:sz w:val="24"/>
          <w:szCs w:val="24"/>
        </w:rPr>
      </w:pPr>
      <w:r w:rsidRPr="005779E4">
        <w:rPr>
          <w:rFonts w:ascii="Arial" w:hAnsi="Arial" w:cs="Arial"/>
          <w:b/>
          <w:bCs/>
          <w:sz w:val="24"/>
          <w:szCs w:val="24"/>
          <w:shd w:val="clear" w:color="auto" w:fill="FFFFFF"/>
        </w:rPr>
        <w:t>MicroRNA microarray profiling</w:t>
      </w:r>
    </w:p>
    <w:p w14:paraId="2182AF9D" w14:textId="77777777" w:rsidR="00711432" w:rsidRPr="005779E4" w:rsidRDefault="00711432" w:rsidP="00711432">
      <w:pPr>
        <w:spacing w:line="360" w:lineRule="auto"/>
        <w:jc w:val="both"/>
        <w:rPr>
          <w:rFonts w:ascii="Arial" w:hAnsi="Arial" w:cs="Arial"/>
          <w:sz w:val="24"/>
          <w:szCs w:val="24"/>
          <w:shd w:val="clear" w:color="auto" w:fill="FFFFFF"/>
        </w:rPr>
      </w:pPr>
      <w:r w:rsidRPr="005779E4">
        <w:rPr>
          <w:rFonts w:ascii="Arial" w:hAnsi="Arial" w:cs="Arial"/>
          <w:sz w:val="24"/>
          <w:szCs w:val="24"/>
          <w:shd w:val="clear" w:color="auto" w:fill="FFFFFF"/>
        </w:rPr>
        <w:t xml:space="preserve">A reaction was carried with intentions to label the strand and carried out using total RNA (1 </w:t>
      </w:r>
      <w:proofErr w:type="spellStart"/>
      <w:r w:rsidRPr="005779E4">
        <w:rPr>
          <w:rFonts w:ascii="Arial" w:hAnsi="Arial" w:cs="Arial"/>
          <w:sz w:val="24"/>
          <w:szCs w:val="24"/>
          <w:shd w:val="clear" w:color="auto" w:fill="FFFFFF"/>
        </w:rPr>
        <w:t>μg</w:t>
      </w:r>
      <w:proofErr w:type="spellEnd"/>
      <w:r w:rsidRPr="005779E4">
        <w:rPr>
          <w:rFonts w:ascii="Arial" w:hAnsi="Arial" w:cs="Arial"/>
          <w:sz w:val="24"/>
          <w:szCs w:val="24"/>
          <w:shd w:val="clear" w:color="auto" w:fill="FFFFFF"/>
        </w:rPr>
        <w:t xml:space="preserve">), control oligonucleotides, App-Cap3(5’-adenylated and 3’-dideoxy oligo-adaptor (Integrated DNA Technologies; Coralville, IA, USA), and T4RNA ligase (Rnl2tr-K227Q, New England </w:t>
      </w:r>
      <w:proofErr w:type="spellStart"/>
      <w:r w:rsidRPr="005779E4">
        <w:rPr>
          <w:rFonts w:ascii="Arial" w:hAnsi="Arial" w:cs="Arial"/>
          <w:sz w:val="24"/>
          <w:szCs w:val="24"/>
          <w:shd w:val="clear" w:color="auto" w:fill="FFFFFF"/>
        </w:rPr>
        <w:t>BioLabs</w:t>
      </w:r>
      <w:proofErr w:type="spellEnd"/>
      <w:r w:rsidRPr="005779E4">
        <w:rPr>
          <w:rFonts w:ascii="Arial" w:hAnsi="Arial" w:cs="Arial"/>
          <w:sz w:val="24"/>
          <w:szCs w:val="24"/>
          <w:shd w:val="clear" w:color="auto" w:fill="FFFFFF"/>
        </w:rPr>
        <w:t>; Ipswich, MA, USA) in T4 RNA ligase buffer with PEG8000 and RNase inhibitor (Promega; Madison, WI, USA). The mixture was incubated at 16°C for 16 hours, diluted 1:1 with hybridization buffer. A dye staining process was subsequently performed using a tag segment that captured the fluorescent dye. Hybridization was performed at 40°C for 16 hours on a µ</w:t>
      </w:r>
      <w:proofErr w:type="spellStart"/>
      <w:r w:rsidRPr="005779E4">
        <w:rPr>
          <w:rFonts w:ascii="Arial" w:hAnsi="Arial" w:cs="Arial"/>
          <w:sz w:val="24"/>
          <w:szCs w:val="24"/>
          <w:shd w:val="clear" w:color="auto" w:fill="FFFFFF"/>
        </w:rPr>
        <w:t>Paraflo</w:t>
      </w:r>
      <w:proofErr w:type="spellEnd"/>
      <w:r w:rsidRPr="005779E4">
        <w:rPr>
          <w:rFonts w:ascii="Arial" w:hAnsi="Arial" w:cs="Arial"/>
          <w:sz w:val="24"/>
          <w:szCs w:val="24"/>
          <w:shd w:val="clear" w:color="auto" w:fill="FFFFFF"/>
        </w:rPr>
        <w:t xml:space="preserve"> microfluidic chip using a micro-circulation pump. The detection probes located on the microfluidic chips contained nucleotides coding segments that were chemically modified and complementary to target miRNA (from </w:t>
      </w:r>
      <w:proofErr w:type="spellStart"/>
      <w:r w:rsidRPr="005779E4">
        <w:rPr>
          <w:rFonts w:ascii="Arial" w:hAnsi="Arial" w:cs="Arial"/>
          <w:sz w:val="24"/>
          <w:szCs w:val="24"/>
          <w:shd w:val="clear" w:color="auto" w:fill="FFFFFF"/>
        </w:rPr>
        <w:t>miRBase</w:t>
      </w:r>
      <w:proofErr w:type="spellEnd"/>
      <w:r w:rsidRPr="005779E4">
        <w:rPr>
          <w:rFonts w:ascii="Arial" w:hAnsi="Arial" w:cs="Arial"/>
          <w:sz w:val="24"/>
          <w:szCs w:val="24"/>
          <w:shd w:val="clear" w:color="auto" w:fill="FFFFFF"/>
        </w:rPr>
        <w:t>, http://mirbase.org) or other RNA variants (control or customer defined sequences) as well as a spacer segment of polyethylene glycol to further expand the segment, increasing the distance away from the substrate. The detection probes were made by in situ synthesis using PGR (photogenerated reagent) chemistry. The detection probes were chemically modified to balance the melting temperatures of the hybridization. Hybridization used 100 L 6xSSPE buffer (0.90 M NaCl, 60 mM Na</w:t>
      </w:r>
      <w:r w:rsidRPr="005779E4">
        <w:rPr>
          <w:rFonts w:ascii="Arial" w:hAnsi="Arial" w:cs="Arial"/>
          <w:sz w:val="24"/>
          <w:szCs w:val="24"/>
          <w:shd w:val="clear" w:color="auto" w:fill="FFFFFF"/>
          <w:vertAlign w:val="subscript"/>
        </w:rPr>
        <w:t>2</w:t>
      </w:r>
      <w:r w:rsidRPr="005779E4">
        <w:rPr>
          <w:rFonts w:ascii="Arial" w:hAnsi="Arial" w:cs="Arial"/>
          <w:sz w:val="24"/>
          <w:szCs w:val="24"/>
          <w:shd w:val="clear" w:color="auto" w:fill="FFFFFF"/>
        </w:rPr>
        <w:t>HPO</w:t>
      </w:r>
      <w:proofErr w:type="gramStart"/>
      <w:r w:rsidRPr="005779E4">
        <w:rPr>
          <w:rFonts w:ascii="Arial" w:hAnsi="Arial" w:cs="Arial"/>
          <w:sz w:val="24"/>
          <w:szCs w:val="24"/>
          <w:shd w:val="clear" w:color="auto" w:fill="FFFFFF"/>
          <w:vertAlign w:val="subscript"/>
        </w:rPr>
        <w:t>4</w:t>
      </w:r>
      <w:r w:rsidRPr="005779E4">
        <w:rPr>
          <w:rFonts w:ascii="Arial" w:hAnsi="Arial" w:cs="Arial"/>
          <w:sz w:val="24"/>
          <w:szCs w:val="24"/>
          <w:shd w:val="clear" w:color="auto" w:fill="FFFFFF"/>
        </w:rPr>
        <w:t xml:space="preserve"> ,</w:t>
      </w:r>
      <w:proofErr w:type="gramEnd"/>
      <w:r w:rsidRPr="005779E4">
        <w:rPr>
          <w:rFonts w:ascii="Arial" w:hAnsi="Arial" w:cs="Arial"/>
          <w:sz w:val="24"/>
          <w:szCs w:val="24"/>
          <w:shd w:val="clear" w:color="auto" w:fill="FFFFFF"/>
        </w:rPr>
        <w:t xml:space="preserve"> 6 mM EDTA, pH 6.8) containing 25% formamide. After RNA hybridization, tag-conjugating Cy3 dye was circulated through the microfluidic chip for dye staining. A laser scanner (</w:t>
      </w:r>
      <w:proofErr w:type="spellStart"/>
      <w:r w:rsidRPr="005779E4">
        <w:rPr>
          <w:rFonts w:ascii="Arial" w:hAnsi="Arial" w:cs="Arial"/>
          <w:sz w:val="24"/>
          <w:szCs w:val="24"/>
          <w:shd w:val="clear" w:color="auto" w:fill="FFFFFF"/>
        </w:rPr>
        <w:t>GenePix</w:t>
      </w:r>
      <w:proofErr w:type="spellEnd"/>
      <w:r w:rsidRPr="005779E4">
        <w:rPr>
          <w:rFonts w:ascii="Arial" w:hAnsi="Arial" w:cs="Arial"/>
          <w:sz w:val="24"/>
          <w:szCs w:val="24"/>
          <w:shd w:val="clear" w:color="auto" w:fill="FFFFFF"/>
        </w:rPr>
        <w:t xml:space="preserve"> 4000B, Molecular Device; San Jose, CA, USA) was used to collect fluorescence images. The fluorescence images then were to undergo Array-Pro image analysis software (Media Cybernetics; Rockville, MA, USA), where they would be digitized. Data </w:t>
      </w:r>
      <w:proofErr w:type="gramStart"/>
      <w:r w:rsidRPr="005779E4">
        <w:rPr>
          <w:rFonts w:ascii="Arial" w:hAnsi="Arial" w:cs="Arial"/>
          <w:sz w:val="24"/>
          <w:szCs w:val="24"/>
          <w:shd w:val="clear" w:color="auto" w:fill="FFFFFF"/>
        </w:rPr>
        <w:t>were</w:t>
      </w:r>
      <w:proofErr w:type="gramEnd"/>
      <w:r w:rsidRPr="005779E4">
        <w:rPr>
          <w:rFonts w:ascii="Arial" w:hAnsi="Arial" w:cs="Arial"/>
          <w:sz w:val="24"/>
          <w:szCs w:val="24"/>
          <w:shd w:val="clear" w:color="auto" w:fill="FFFFFF"/>
        </w:rPr>
        <w:t xml:space="preserve"> analyzed by first subtracting the background and then normalizing the signals using a LOWESS filter (</w:t>
      </w:r>
      <w:proofErr w:type="gramStart"/>
      <w:r w:rsidRPr="005779E4">
        <w:rPr>
          <w:rFonts w:ascii="Arial" w:hAnsi="Arial" w:cs="Arial"/>
          <w:sz w:val="24"/>
          <w:szCs w:val="24"/>
          <w:shd w:val="clear" w:color="auto" w:fill="FFFFFF"/>
        </w:rPr>
        <w:t>Locally-weighted</w:t>
      </w:r>
      <w:proofErr w:type="gramEnd"/>
      <w:r w:rsidRPr="005779E4">
        <w:rPr>
          <w:rFonts w:ascii="Arial" w:hAnsi="Arial" w:cs="Arial"/>
          <w:sz w:val="24"/>
          <w:szCs w:val="24"/>
          <w:shd w:val="clear" w:color="auto" w:fill="FFFFFF"/>
        </w:rPr>
        <w:t xml:space="preserve"> Regression) (</w:t>
      </w:r>
      <w:r w:rsidRPr="005779E4">
        <w:rPr>
          <w:rFonts w:ascii="Arial" w:hAnsi="Arial" w:cs="Arial"/>
          <w:sz w:val="24"/>
          <w:szCs w:val="24"/>
        </w:rPr>
        <w:t>Pintus et al., 2014</w:t>
      </w:r>
      <w:r w:rsidRPr="005779E4">
        <w:rPr>
          <w:rFonts w:ascii="Arial" w:hAnsi="Arial" w:cs="Arial"/>
          <w:sz w:val="24"/>
          <w:szCs w:val="24"/>
          <w:shd w:val="clear" w:color="auto" w:fill="FFFFFF"/>
        </w:rPr>
        <w:t>).</w:t>
      </w:r>
    </w:p>
    <w:p w14:paraId="65FCEE4E" w14:textId="77777777" w:rsidR="00F11B6C" w:rsidRPr="005779E4" w:rsidRDefault="00F11B6C" w:rsidP="00711432">
      <w:pPr>
        <w:spacing w:line="360" w:lineRule="auto"/>
        <w:jc w:val="both"/>
        <w:rPr>
          <w:rFonts w:ascii="Arial" w:hAnsi="Arial" w:cs="Arial"/>
          <w:sz w:val="24"/>
          <w:szCs w:val="24"/>
          <w:shd w:val="clear" w:color="auto" w:fill="FFFFFF"/>
        </w:rPr>
      </w:pPr>
    </w:p>
    <w:p w14:paraId="7A5F002F" w14:textId="3EE697DC" w:rsidR="007B6840" w:rsidRPr="005779E4" w:rsidRDefault="007B6840" w:rsidP="007B6840">
      <w:pPr>
        <w:spacing w:line="360" w:lineRule="auto"/>
        <w:jc w:val="both"/>
        <w:rPr>
          <w:rFonts w:ascii="Arial" w:hAnsi="Arial" w:cs="Arial"/>
          <w:b/>
          <w:bCs/>
          <w:sz w:val="24"/>
          <w:szCs w:val="24"/>
          <w:shd w:val="clear" w:color="auto" w:fill="FFFFFF"/>
        </w:rPr>
      </w:pPr>
      <w:r w:rsidRPr="005779E4">
        <w:rPr>
          <w:rFonts w:ascii="Arial" w:hAnsi="Arial" w:cs="Arial"/>
          <w:b/>
          <w:bCs/>
          <w:sz w:val="24"/>
          <w:szCs w:val="24"/>
          <w:shd w:val="clear" w:color="auto" w:fill="FFFFFF"/>
        </w:rPr>
        <w:t>Global pathway a</w:t>
      </w:r>
      <w:r w:rsidR="009C1933">
        <w:rPr>
          <w:rFonts w:ascii="Arial" w:hAnsi="Arial" w:cs="Arial"/>
          <w:b/>
          <w:bCs/>
          <w:sz w:val="24"/>
          <w:szCs w:val="24"/>
          <w:shd w:val="clear" w:color="auto" w:fill="FFFFFF"/>
        </w:rPr>
        <w:t>na</w:t>
      </w:r>
      <w:r w:rsidR="00874171">
        <w:rPr>
          <w:rFonts w:ascii="Arial" w:hAnsi="Arial" w:cs="Arial"/>
          <w:b/>
          <w:bCs/>
          <w:sz w:val="24"/>
          <w:szCs w:val="24"/>
          <w:shd w:val="clear" w:color="auto" w:fill="FFFFFF"/>
        </w:rPr>
        <w:t>l</w:t>
      </w:r>
      <w:r w:rsidR="009C1933">
        <w:rPr>
          <w:rFonts w:ascii="Arial" w:hAnsi="Arial" w:cs="Arial"/>
          <w:b/>
          <w:bCs/>
          <w:sz w:val="24"/>
          <w:szCs w:val="24"/>
          <w:shd w:val="clear" w:color="auto" w:fill="FFFFFF"/>
        </w:rPr>
        <w:t>ysis</w:t>
      </w:r>
    </w:p>
    <w:p w14:paraId="02B6282F" w14:textId="139697FE" w:rsidR="00344E0A" w:rsidRPr="00344E0A" w:rsidRDefault="00344E0A" w:rsidP="00344E0A">
      <w:pPr>
        <w:spacing w:line="360" w:lineRule="auto"/>
        <w:jc w:val="both"/>
        <w:rPr>
          <w:rFonts w:ascii="Arial" w:hAnsi="Arial" w:cs="Arial"/>
          <w:sz w:val="24"/>
          <w:szCs w:val="24"/>
          <w:shd w:val="clear" w:color="auto" w:fill="FFFFFF"/>
        </w:rPr>
      </w:pPr>
      <w:r w:rsidRPr="00344E0A">
        <w:rPr>
          <w:rFonts w:ascii="Arial" w:hAnsi="Arial" w:cs="Arial"/>
          <w:sz w:val="24"/>
          <w:szCs w:val="24"/>
          <w:shd w:val="clear" w:color="auto" w:fill="FFFFFF"/>
        </w:rPr>
        <w:t>miRNA functional enrichment analysis was performed using DIANA-</w:t>
      </w:r>
      <w:proofErr w:type="spellStart"/>
      <w:r w:rsidRPr="00344E0A">
        <w:rPr>
          <w:rFonts w:ascii="Arial" w:hAnsi="Arial" w:cs="Arial"/>
          <w:sz w:val="24"/>
          <w:szCs w:val="24"/>
          <w:shd w:val="clear" w:color="auto" w:fill="FFFFFF"/>
        </w:rPr>
        <w:t>miRPath</w:t>
      </w:r>
      <w:proofErr w:type="spellEnd"/>
      <w:r w:rsidRPr="00344E0A">
        <w:rPr>
          <w:rFonts w:ascii="Arial" w:hAnsi="Arial" w:cs="Arial"/>
          <w:sz w:val="24"/>
          <w:szCs w:val="24"/>
          <w:shd w:val="clear" w:color="auto" w:fill="FFFFFF"/>
        </w:rPr>
        <w:t xml:space="preserve"> v3.0 to investigate the biological pathways and functional categories potentially regulated by the </w:t>
      </w:r>
      <w:r w:rsidRPr="00344E0A">
        <w:rPr>
          <w:rFonts w:ascii="Arial" w:hAnsi="Arial" w:cs="Arial"/>
          <w:sz w:val="24"/>
          <w:szCs w:val="24"/>
          <w:shd w:val="clear" w:color="auto" w:fill="FFFFFF"/>
        </w:rPr>
        <w:lastRenderedPageBreak/>
        <w:t xml:space="preserve">selected miRNAs. The submitted miRNA list was analyzed using the annotation resources available in </w:t>
      </w:r>
      <w:proofErr w:type="spellStart"/>
      <w:r w:rsidRPr="00344E0A">
        <w:rPr>
          <w:rFonts w:ascii="Arial" w:hAnsi="Arial" w:cs="Arial"/>
          <w:sz w:val="24"/>
          <w:szCs w:val="24"/>
          <w:shd w:val="clear" w:color="auto" w:fill="FFFFFF"/>
        </w:rPr>
        <w:t>miRPath</w:t>
      </w:r>
      <w:proofErr w:type="spellEnd"/>
      <w:r w:rsidRPr="00344E0A">
        <w:rPr>
          <w:rFonts w:ascii="Arial" w:hAnsi="Arial" w:cs="Arial"/>
          <w:sz w:val="24"/>
          <w:szCs w:val="24"/>
          <w:shd w:val="clear" w:color="auto" w:fill="FFFFFF"/>
        </w:rPr>
        <w:t xml:space="preserve"> v3</w:t>
      </w:r>
      <w:r w:rsidR="00D82C48">
        <w:rPr>
          <w:rFonts w:ascii="Arial" w:hAnsi="Arial" w:cs="Arial"/>
          <w:sz w:val="24"/>
          <w:szCs w:val="24"/>
          <w:shd w:val="clear" w:color="auto" w:fill="FFFFFF"/>
        </w:rPr>
        <w:t xml:space="preserve"> (</w:t>
      </w:r>
      <w:r w:rsidR="00D82C48" w:rsidRPr="00D82C48">
        <w:rPr>
          <w:rFonts w:ascii="Arial" w:hAnsi="Arial" w:cs="Arial"/>
          <w:sz w:val="24"/>
          <w:szCs w:val="24"/>
          <w:shd w:val="clear" w:color="auto" w:fill="FFFFFF"/>
        </w:rPr>
        <w:t>https://dianalab.e-ce.uth.gr/html/mirpathv3</w:t>
      </w:r>
      <w:r w:rsidR="00D82C48">
        <w:rPr>
          <w:rFonts w:ascii="Arial" w:hAnsi="Arial" w:cs="Arial"/>
          <w:sz w:val="24"/>
          <w:szCs w:val="24"/>
          <w:shd w:val="clear" w:color="auto" w:fill="FFFFFF"/>
        </w:rPr>
        <w:t>)</w:t>
      </w:r>
      <w:r w:rsidRPr="00344E0A">
        <w:rPr>
          <w:rFonts w:ascii="Arial" w:hAnsi="Arial" w:cs="Arial"/>
          <w:sz w:val="24"/>
          <w:szCs w:val="24"/>
          <w:shd w:val="clear" w:color="auto" w:fill="FFFFFF"/>
        </w:rPr>
        <w:t xml:space="preserve">, including Gene Ontology (GO) annotations. For target identification, </w:t>
      </w:r>
      <w:proofErr w:type="spellStart"/>
      <w:r w:rsidRPr="00344E0A">
        <w:rPr>
          <w:rFonts w:ascii="Arial" w:hAnsi="Arial" w:cs="Arial"/>
          <w:sz w:val="24"/>
          <w:szCs w:val="24"/>
          <w:shd w:val="clear" w:color="auto" w:fill="FFFFFF"/>
        </w:rPr>
        <w:t>TarBase</w:t>
      </w:r>
      <w:proofErr w:type="spellEnd"/>
      <w:r w:rsidRPr="00344E0A">
        <w:rPr>
          <w:rFonts w:ascii="Arial" w:hAnsi="Arial" w:cs="Arial"/>
          <w:sz w:val="24"/>
          <w:szCs w:val="24"/>
          <w:shd w:val="clear" w:color="auto" w:fill="FFFFFF"/>
        </w:rPr>
        <w:t xml:space="preserve"> was used as the reference database, thereby restricting the analysis to experimentally validated miRNA-target interactions.</w:t>
      </w:r>
      <w:r w:rsidR="00950304">
        <w:rPr>
          <w:rFonts w:ascii="Arial" w:hAnsi="Arial" w:cs="Arial"/>
          <w:sz w:val="24"/>
          <w:szCs w:val="24"/>
          <w:shd w:val="clear" w:color="auto" w:fill="FFFFFF"/>
        </w:rPr>
        <w:t xml:space="preserve"> </w:t>
      </w:r>
    </w:p>
    <w:p w14:paraId="67299171" w14:textId="4F7BE8AF" w:rsidR="00135FB6" w:rsidRPr="00772FB3" w:rsidRDefault="00344E0A" w:rsidP="00344E0A">
      <w:pPr>
        <w:spacing w:line="360" w:lineRule="auto"/>
        <w:jc w:val="both"/>
        <w:rPr>
          <w:rFonts w:ascii="Arial" w:hAnsi="Arial" w:cs="Arial"/>
          <w:sz w:val="24"/>
          <w:szCs w:val="24"/>
          <w:shd w:val="clear" w:color="auto" w:fill="FFFFFF"/>
        </w:rPr>
      </w:pPr>
      <w:r w:rsidRPr="00344E0A">
        <w:rPr>
          <w:rFonts w:ascii="Arial" w:hAnsi="Arial" w:cs="Arial"/>
          <w:sz w:val="24"/>
          <w:szCs w:val="24"/>
          <w:shd w:val="clear" w:color="auto" w:fill="FFFFFF"/>
        </w:rPr>
        <w:t xml:space="preserve">Enrichment analysis was conducted within the </w:t>
      </w:r>
      <w:proofErr w:type="spellStart"/>
      <w:r w:rsidRPr="00344E0A">
        <w:rPr>
          <w:rFonts w:ascii="Arial" w:hAnsi="Arial" w:cs="Arial"/>
          <w:sz w:val="24"/>
          <w:szCs w:val="24"/>
          <w:shd w:val="clear" w:color="auto" w:fill="FFFFFF"/>
        </w:rPr>
        <w:t>miRPath</w:t>
      </w:r>
      <w:proofErr w:type="spellEnd"/>
      <w:r w:rsidRPr="00344E0A">
        <w:rPr>
          <w:rFonts w:ascii="Arial" w:hAnsi="Arial" w:cs="Arial"/>
          <w:sz w:val="24"/>
          <w:szCs w:val="24"/>
          <w:shd w:val="clear" w:color="auto" w:fill="FFFFFF"/>
        </w:rPr>
        <w:t xml:space="preserve"> v3 platform by mapping validated miRNA target genes to GO terms to identify significantly overrepresented functional categories. Statistical significance was assessed using the built-in </w:t>
      </w:r>
      <w:proofErr w:type="spellStart"/>
      <w:r w:rsidRPr="00344E0A">
        <w:rPr>
          <w:rFonts w:ascii="Arial" w:hAnsi="Arial" w:cs="Arial"/>
          <w:sz w:val="24"/>
          <w:szCs w:val="24"/>
          <w:shd w:val="clear" w:color="auto" w:fill="FFFFFF"/>
        </w:rPr>
        <w:t>miRPath</w:t>
      </w:r>
      <w:proofErr w:type="spellEnd"/>
      <w:r w:rsidRPr="00344E0A">
        <w:rPr>
          <w:rFonts w:ascii="Arial" w:hAnsi="Arial" w:cs="Arial"/>
          <w:sz w:val="24"/>
          <w:szCs w:val="24"/>
          <w:shd w:val="clear" w:color="auto" w:fill="FFFFFF"/>
        </w:rPr>
        <w:t xml:space="preserve"> v3 analytical framework, with a threshold of P &lt; 0.05.</w:t>
      </w:r>
      <w:r w:rsidR="008B4F1E">
        <w:rPr>
          <w:rFonts w:ascii="Arial" w:hAnsi="Arial" w:cs="Arial"/>
          <w:sz w:val="24"/>
          <w:szCs w:val="24"/>
          <w:shd w:val="clear" w:color="auto" w:fill="FFFFFF"/>
        </w:rPr>
        <w:t xml:space="preserve"> F</w:t>
      </w:r>
      <w:r w:rsidRPr="00344E0A">
        <w:rPr>
          <w:rFonts w:ascii="Arial" w:hAnsi="Arial" w:cs="Arial"/>
          <w:sz w:val="24"/>
          <w:szCs w:val="24"/>
          <w:shd w:val="clear" w:color="auto" w:fill="FFFFFF"/>
        </w:rPr>
        <w:t>alse discovery rate (FDR) adjustment was applied</w:t>
      </w:r>
      <w:r w:rsidR="008B4F1E">
        <w:rPr>
          <w:rFonts w:ascii="Arial" w:hAnsi="Arial" w:cs="Arial"/>
          <w:sz w:val="24"/>
          <w:szCs w:val="24"/>
          <w:shd w:val="clear" w:color="auto" w:fill="FFFFFF"/>
        </w:rPr>
        <w:t xml:space="preserve"> to c</w:t>
      </w:r>
      <w:r w:rsidR="008B4F1E" w:rsidRPr="00344E0A">
        <w:rPr>
          <w:rFonts w:ascii="Arial" w:hAnsi="Arial" w:cs="Arial"/>
          <w:sz w:val="24"/>
          <w:szCs w:val="24"/>
          <w:shd w:val="clear" w:color="auto" w:fill="FFFFFF"/>
        </w:rPr>
        <w:t>orrect</w:t>
      </w:r>
      <w:r w:rsidR="008B4F1E">
        <w:rPr>
          <w:rFonts w:ascii="Arial" w:hAnsi="Arial" w:cs="Arial"/>
          <w:sz w:val="24"/>
          <w:szCs w:val="24"/>
          <w:shd w:val="clear" w:color="auto" w:fill="FFFFFF"/>
        </w:rPr>
        <w:t xml:space="preserve"> </w:t>
      </w:r>
      <w:r w:rsidR="008B4F1E" w:rsidRPr="00344E0A">
        <w:rPr>
          <w:rFonts w:ascii="Arial" w:hAnsi="Arial" w:cs="Arial"/>
          <w:sz w:val="24"/>
          <w:szCs w:val="24"/>
          <w:shd w:val="clear" w:color="auto" w:fill="FFFFFF"/>
        </w:rPr>
        <w:t>multiple comparisons</w:t>
      </w:r>
      <w:r w:rsidRPr="00344E0A">
        <w:rPr>
          <w:rFonts w:ascii="Arial" w:hAnsi="Arial" w:cs="Arial"/>
          <w:sz w:val="24"/>
          <w:szCs w:val="24"/>
          <w:shd w:val="clear" w:color="auto" w:fill="FFFFFF"/>
        </w:rPr>
        <w:t>, and only pathways or GO terms with an FDR-corrected P value &lt; 0.05 were considered statistically significant.</w:t>
      </w:r>
      <w:r w:rsidR="00772FB3">
        <w:rPr>
          <w:rFonts w:ascii="Arial" w:hAnsi="Arial" w:cs="Arial"/>
          <w:sz w:val="24"/>
          <w:szCs w:val="24"/>
          <w:shd w:val="clear" w:color="auto" w:fill="FFFFFF"/>
        </w:rPr>
        <w:t xml:space="preserve"> </w:t>
      </w:r>
      <w:r w:rsidRPr="00344E0A">
        <w:rPr>
          <w:rFonts w:ascii="Arial" w:hAnsi="Arial" w:cs="Arial"/>
          <w:sz w:val="24"/>
          <w:szCs w:val="24"/>
          <w:shd w:val="clear" w:color="auto" w:fill="FFFFFF"/>
        </w:rPr>
        <w:t>Significantly enriched KEGG pathways and GO annotations were retained for downstream biological interpretation of the potential functions associated with the analyzed miRNAs.</w:t>
      </w:r>
    </w:p>
    <w:p w14:paraId="50E2CB72" w14:textId="77777777" w:rsidR="00EC08F5" w:rsidRDefault="00EC08F5" w:rsidP="00711432">
      <w:pPr>
        <w:spacing w:line="360" w:lineRule="auto"/>
        <w:jc w:val="both"/>
        <w:rPr>
          <w:rFonts w:ascii="Arial" w:hAnsi="Arial" w:cs="Arial"/>
          <w:b/>
          <w:bCs/>
          <w:sz w:val="24"/>
          <w:szCs w:val="24"/>
          <w:shd w:val="clear" w:color="auto" w:fill="FFFFFF"/>
        </w:rPr>
      </w:pPr>
    </w:p>
    <w:p w14:paraId="46DE291E" w14:textId="5B0B059A" w:rsidR="00651712" w:rsidRPr="005779E4" w:rsidRDefault="00651712" w:rsidP="00711432">
      <w:pPr>
        <w:spacing w:line="360" w:lineRule="auto"/>
        <w:jc w:val="both"/>
        <w:rPr>
          <w:rFonts w:ascii="Arial" w:hAnsi="Arial" w:cs="Arial"/>
          <w:sz w:val="24"/>
          <w:szCs w:val="24"/>
          <w:shd w:val="clear" w:color="auto" w:fill="FFFFFF"/>
          <w:vertAlign w:val="superscript"/>
        </w:rPr>
      </w:pPr>
      <w:r w:rsidRPr="005779E4">
        <w:rPr>
          <w:rFonts w:ascii="Arial" w:hAnsi="Arial" w:cs="Arial"/>
          <w:b/>
          <w:bCs/>
          <w:sz w:val="24"/>
          <w:szCs w:val="24"/>
          <w:shd w:val="clear" w:color="auto" w:fill="FFFFFF"/>
        </w:rPr>
        <w:t>Total RNA isolation and quantitative RT-PCR</w:t>
      </w:r>
    </w:p>
    <w:p w14:paraId="2B07FE11" w14:textId="77777777" w:rsidR="00F11B6C" w:rsidRPr="005779E4" w:rsidRDefault="00F11B6C" w:rsidP="00F11B6C">
      <w:pPr>
        <w:spacing w:line="360" w:lineRule="auto"/>
        <w:jc w:val="both"/>
        <w:rPr>
          <w:rFonts w:ascii="Arial" w:hAnsi="Arial" w:cs="Arial"/>
          <w:sz w:val="24"/>
          <w:szCs w:val="24"/>
          <w:shd w:val="clear" w:color="auto" w:fill="FFFFFF"/>
        </w:rPr>
      </w:pPr>
      <w:r w:rsidRPr="005779E4">
        <w:rPr>
          <w:rFonts w:ascii="Arial" w:hAnsi="Arial" w:cs="Arial"/>
          <w:sz w:val="24"/>
          <w:szCs w:val="24"/>
          <w:shd w:val="clear" w:color="auto" w:fill="FFFFFF"/>
        </w:rPr>
        <w:t>A total of 100</w:t>
      </w:r>
      <w:proofErr w:type="gramStart"/>
      <w:r w:rsidRPr="005779E4">
        <w:rPr>
          <w:rFonts w:ascii="Arial" w:hAnsi="Arial" w:cs="Arial"/>
          <w:sz w:val="24"/>
          <w:szCs w:val="24"/>
          <w:shd w:val="clear" w:color="auto" w:fill="FFFFFF"/>
        </w:rPr>
        <w:t>ng</w:t>
      </w:r>
      <w:proofErr w:type="gramEnd"/>
      <w:r w:rsidRPr="005779E4">
        <w:rPr>
          <w:rFonts w:ascii="Arial" w:hAnsi="Arial" w:cs="Arial"/>
          <w:sz w:val="24"/>
          <w:szCs w:val="24"/>
          <w:shd w:val="clear" w:color="auto" w:fill="FFFFFF"/>
        </w:rPr>
        <w:t xml:space="preserve"> RNA was reverse transcribed. The reactions were run in a PCR mix buffer which contained SYBR Green (Roche, Indianapolis, IN, USA) and the reactions were run using both a universal primer and a miRNA specific primer (Qiagen). RNU6B was used as endogenous control. To calculate the relative fold change and analyze the Ct values of replicates the delta-delta Ct method was used as well as the normalized values were plotted as histograms with standard deviation (SD). </w:t>
      </w:r>
    </w:p>
    <w:p w14:paraId="3CA15A16" w14:textId="77777777" w:rsidR="00582C21" w:rsidRPr="005779E4" w:rsidRDefault="00582C21" w:rsidP="00F11B6C">
      <w:pPr>
        <w:spacing w:line="360" w:lineRule="auto"/>
        <w:jc w:val="both"/>
        <w:rPr>
          <w:rFonts w:ascii="Arial" w:hAnsi="Arial" w:cs="Arial"/>
          <w:sz w:val="24"/>
          <w:szCs w:val="24"/>
          <w:shd w:val="clear" w:color="auto" w:fill="FFFFFF"/>
        </w:rPr>
      </w:pPr>
    </w:p>
    <w:p w14:paraId="50B8D830" w14:textId="77777777" w:rsidR="007A5DAA" w:rsidRPr="005779E4" w:rsidRDefault="007A5DAA" w:rsidP="00582C21">
      <w:pPr>
        <w:spacing w:line="360" w:lineRule="auto"/>
        <w:jc w:val="both"/>
        <w:rPr>
          <w:rFonts w:ascii="Arial" w:hAnsi="Arial" w:cs="Arial"/>
          <w:sz w:val="24"/>
          <w:szCs w:val="24"/>
          <w:shd w:val="clear" w:color="auto" w:fill="FFFFFF"/>
        </w:rPr>
      </w:pPr>
      <w:r w:rsidRPr="005779E4">
        <w:rPr>
          <w:rFonts w:ascii="Arial" w:hAnsi="Arial" w:cs="Arial"/>
          <w:b/>
          <w:bCs/>
          <w:sz w:val="24"/>
          <w:szCs w:val="24"/>
          <w:shd w:val="clear" w:color="auto" w:fill="FFFFFF"/>
        </w:rPr>
        <w:t>Transient miRNA transfection</w:t>
      </w:r>
      <w:r w:rsidRPr="005779E4">
        <w:rPr>
          <w:rFonts w:ascii="Arial" w:hAnsi="Arial" w:cs="Arial"/>
          <w:sz w:val="24"/>
          <w:szCs w:val="24"/>
          <w:shd w:val="clear" w:color="auto" w:fill="FFFFFF"/>
        </w:rPr>
        <w:t xml:space="preserve"> </w:t>
      </w:r>
    </w:p>
    <w:p w14:paraId="576DD45E" w14:textId="54300190" w:rsidR="00582C21" w:rsidRPr="005779E4" w:rsidRDefault="00582C21" w:rsidP="00582C21">
      <w:pPr>
        <w:spacing w:line="360" w:lineRule="auto"/>
        <w:jc w:val="both"/>
        <w:rPr>
          <w:rFonts w:ascii="Arial" w:hAnsi="Arial" w:cs="Arial"/>
          <w:sz w:val="24"/>
          <w:szCs w:val="24"/>
          <w:shd w:val="clear" w:color="auto" w:fill="FFFFFF"/>
        </w:rPr>
      </w:pPr>
      <w:r w:rsidRPr="005779E4">
        <w:rPr>
          <w:rFonts w:ascii="Arial" w:hAnsi="Arial" w:cs="Arial"/>
          <w:sz w:val="24"/>
          <w:szCs w:val="24"/>
          <w:shd w:val="clear" w:color="auto" w:fill="FFFFFF"/>
        </w:rPr>
        <w:t>To determine the efficiency of the transfection reactions, red siGLO oligos (</w:t>
      </w:r>
      <w:proofErr w:type="spellStart"/>
      <w:r w:rsidRPr="005779E4">
        <w:rPr>
          <w:rFonts w:ascii="Arial" w:hAnsi="Arial" w:cs="Arial"/>
          <w:sz w:val="24"/>
          <w:szCs w:val="24"/>
          <w:shd w:val="clear" w:color="auto" w:fill="FFFFFF"/>
        </w:rPr>
        <w:t>ThermoScientific</w:t>
      </w:r>
      <w:proofErr w:type="spellEnd"/>
      <w:r w:rsidRPr="005779E4">
        <w:rPr>
          <w:rFonts w:ascii="Arial" w:hAnsi="Arial" w:cs="Arial"/>
          <w:sz w:val="24"/>
          <w:szCs w:val="24"/>
          <w:shd w:val="clear" w:color="auto" w:fill="FFFFFF"/>
        </w:rPr>
        <w:t xml:space="preserve">, Waltham, MA, USA) were used. Cells were then harvested for RNA isolation after 36 hours. Three increasing concentrations of 10, 20, and 50 </w:t>
      </w:r>
      <w:proofErr w:type="spellStart"/>
      <w:r w:rsidRPr="005779E4">
        <w:rPr>
          <w:rFonts w:ascii="Arial" w:hAnsi="Arial" w:cs="Arial"/>
          <w:sz w:val="24"/>
          <w:szCs w:val="24"/>
          <w:shd w:val="clear" w:color="auto" w:fill="FFFFFF"/>
        </w:rPr>
        <w:t>nM</w:t>
      </w:r>
      <w:proofErr w:type="spellEnd"/>
      <w:r w:rsidRPr="005779E4">
        <w:rPr>
          <w:rFonts w:ascii="Arial" w:hAnsi="Arial" w:cs="Arial"/>
          <w:sz w:val="24"/>
          <w:szCs w:val="24"/>
          <w:shd w:val="clear" w:color="auto" w:fill="FFFFFF"/>
        </w:rPr>
        <w:t xml:space="preserve"> (to determine dose effects) of miRNA mimics were used to transfect the </w:t>
      </w:r>
      <w:proofErr w:type="gramStart"/>
      <w:r w:rsidRPr="005779E4">
        <w:rPr>
          <w:rFonts w:ascii="Arial" w:hAnsi="Arial" w:cs="Arial"/>
          <w:sz w:val="24"/>
          <w:szCs w:val="24"/>
          <w:shd w:val="clear" w:color="auto" w:fill="FFFFFF"/>
        </w:rPr>
        <w:t>cells</w:t>
      </w:r>
      <w:proofErr w:type="gramEnd"/>
      <w:r w:rsidRPr="005779E4">
        <w:rPr>
          <w:rFonts w:ascii="Arial" w:hAnsi="Arial" w:cs="Arial"/>
          <w:sz w:val="24"/>
          <w:szCs w:val="24"/>
          <w:shd w:val="clear" w:color="auto" w:fill="FFFFFF"/>
        </w:rPr>
        <w:t xml:space="preserve"> and this was done for 36 hours. We noticed robust (~90%) transfection at 20 </w:t>
      </w:r>
      <w:proofErr w:type="spellStart"/>
      <w:proofErr w:type="gramStart"/>
      <w:r w:rsidRPr="005779E4">
        <w:rPr>
          <w:rFonts w:ascii="Arial" w:hAnsi="Arial" w:cs="Arial"/>
          <w:sz w:val="24"/>
          <w:szCs w:val="24"/>
          <w:shd w:val="clear" w:color="auto" w:fill="FFFFFF"/>
        </w:rPr>
        <w:t>nM</w:t>
      </w:r>
      <w:proofErr w:type="spellEnd"/>
      <w:r w:rsidRPr="005779E4">
        <w:rPr>
          <w:rFonts w:ascii="Arial" w:hAnsi="Arial" w:cs="Arial"/>
          <w:sz w:val="24"/>
          <w:szCs w:val="24"/>
          <w:shd w:val="clear" w:color="auto" w:fill="FFFFFF"/>
        </w:rPr>
        <w:t>,</w:t>
      </w:r>
      <w:proofErr w:type="gramEnd"/>
      <w:r w:rsidRPr="005779E4">
        <w:rPr>
          <w:rFonts w:ascii="Arial" w:hAnsi="Arial" w:cs="Arial"/>
          <w:sz w:val="24"/>
          <w:szCs w:val="24"/>
          <w:shd w:val="clear" w:color="auto" w:fill="FFFFFF"/>
        </w:rPr>
        <w:t xml:space="preserve"> therefore, we used </w:t>
      </w:r>
      <w:r w:rsidRPr="005779E4">
        <w:rPr>
          <w:rFonts w:ascii="Arial" w:hAnsi="Arial" w:cs="Arial"/>
          <w:sz w:val="24"/>
          <w:szCs w:val="24"/>
          <w:shd w:val="clear" w:color="auto" w:fill="FFFFFF"/>
        </w:rPr>
        <w:lastRenderedPageBreak/>
        <w:t xml:space="preserve">the same concentration for most of the experiments unless specified. Controls consisted of mock </w:t>
      </w:r>
      <w:proofErr w:type="gramStart"/>
      <w:r w:rsidRPr="005779E4">
        <w:rPr>
          <w:rFonts w:ascii="Arial" w:hAnsi="Arial" w:cs="Arial"/>
          <w:sz w:val="24"/>
          <w:szCs w:val="24"/>
          <w:shd w:val="clear" w:color="auto" w:fill="FFFFFF"/>
        </w:rPr>
        <w:t>transfected</w:t>
      </w:r>
      <w:proofErr w:type="gramEnd"/>
      <w:r w:rsidRPr="005779E4">
        <w:rPr>
          <w:rFonts w:ascii="Arial" w:hAnsi="Arial" w:cs="Arial"/>
          <w:sz w:val="24"/>
          <w:szCs w:val="24"/>
          <w:shd w:val="clear" w:color="auto" w:fill="FFFFFF"/>
        </w:rPr>
        <w:t xml:space="preserve"> and control mimic (Qiagen) transfected cultures.</w:t>
      </w:r>
    </w:p>
    <w:p w14:paraId="3747C56E" w14:textId="0721547F" w:rsidR="00582C21" w:rsidRPr="005779E4" w:rsidRDefault="00A17EA8" w:rsidP="00A17EA8">
      <w:pPr>
        <w:tabs>
          <w:tab w:val="left" w:pos="8570"/>
        </w:tabs>
        <w:spacing w:line="360" w:lineRule="auto"/>
        <w:jc w:val="both"/>
        <w:rPr>
          <w:rFonts w:ascii="Arial" w:hAnsi="Arial" w:cs="Arial"/>
          <w:sz w:val="24"/>
          <w:szCs w:val="24"/>
          <w:shd w:val="clear" w:color="auto" w:fill="FFFFFF"/>
        </w:rPr>
      </w:pPr>
      <w:r w:rsidRPr="005779E4">
        <w:rPr>
          <w:rFonts w:ascii="Arial" w:hAnsi="Arial" w:cs="Arial"/>
          <w:sz w:val="24"/>
          <w:szCs w:val="24"/>
          <w:shd w:val="clear" w:color="auto" w:fill="FFFFFF"/>
        </w:rPr>
        <w:tab/>
      </w:r>
    </w:p>
    <w:p w14:paraId="50C2E133" w14:textId="17DF1D80" w:rsidR="00A17EA8" w:rsidRPr="005779E4" w:rsidRDefault="00A17EA8" w:rsidP="00A17EA8">
      <w:pPr>
        <w:spacing w:line="360" w:lineRule="auto"/>
        <w:jc w:val="both"/>
        <w:rPr>
          <w:rFonts w:ascii="Arial" w:hAnsi="Arial" w:cs="Arial"/>
          <w:b/>
          <w:bCs/>
          <w:sz w:val="24"/>
          <w:szCs w:val="24"/>
          <w:shd w:val="clear" w:color="auto" w:fill="FFFFFF"/>
        </w:rPr>
      </w:pPr>
      <w:r w:rsidRPr="005779E4">
        <w:rPr>
          <w:rFonts w:ascii="Arial" w:hAnsi="Arial" w:cs="Arial"/>
          <w:b/>
          <w:bCs/>
          <w:sz w:val="24"/>
          <w:szCs w:val="24"/>
          <w:shd w:val="clear" w:color="auto" w:fill="FFFFFF"/>
        </w:rPr>
        <w:t>Flow cytometry</w:t>
      </w:r>
      <w:r w:rsidR="00B40C7E" w:rsidRPr="005779E4">
        <w:rPr>
          <w:rFonts w:ascii="Arial" w:hAnsi="Arial" w:cs="Arial"/>
          <w:b/>
          <w:bCs/>
          <w:sz w:val="24"/>
          <w:szCs w:val="24"/>
          <w:shd w:val="clear" w:color="auto" w:fill="FFFFFF"/>
        </w:rPr>
        <w:t xml:space="preserve">, TLR stimulation and </w:t>
      </w:r>
      <w:proofErr w:type="spellStart"/>
      <w:r w:rsidR="00B40C7E" w:rsidRPr="005779E4">
        <w:rPr>
          <w:rFonts w:ascii="Arial" w:hAnsi="Arial" w:cs="Arial"/>
          <w:b/>
          <w:bCs/>
          <w:sz w:val="24"/>
          <w:szCs w:val="24"/>
          <w:shd w:val="clear" w:color="auto" w:fill="FFFFFF"/>
        </w:rPr>
        <w:t>phospho</w:t>
      </w:r>
      <w:proofErr w:type="spellEnd"/>
      <w:r w:rsidR="00B40C7E" w:rsidRPr="005779E4">
        <w:rPr>
          <w:rFonts w:ascii="Arial" w:hAnsi="Arial" w:cs="Arial"/>
          <w:b/>
          <w:bCs/>
          <w:sz w:val="24"/>
          <w:szCs w:val="24"/>
          <w:shd w:val="clear" w:color="auto" w:fill="FFFFFF"/>
        </w:rPr>
        <w:t xml:space="preserve"> flow </w:t>
      </w:r>
    </w:p>
    <w:p w14:paraId="5F464209" w14:textId="77777777" w:rsidR="00A17EA8" w:rsidRPr="005779E4" w:rsidRDefault="00A17EA8" w:rsidP="00A17EA8">
      <w:pPr>
        <w:spacing w:line="360" w:lineRule="auto"/>
        <w:jc w:val="both"/>
        <w:rPr>
          <w:rFonts w:ascii="Arial" w:hAnsi="Arial" w:cs="Arial"/>
          <w:sz w:val="24"/>
          <w:szCs w:val="24"/>
          <w:shd w:val="clear" w:color="auto" w:fill="FFFFFF"/>
        </w:rPr>
      </w:pPr>
      <w:r w:rsidRPr="005779E4">
        <w:rPr>
          <w:rFonts w:ascii="Arial" w:hAnsi="Arial" w:cs="Arial"/>
          <w:sz w:val="24"/>
          <w:szCs w:val="24"/>
          <w:shd w:val="clear" w:color="auto" w:fill="FFFFFF"/>
        </w:rPr>
        <w:t>Primary human M1 or M2-differentiated Mφ were plated in 96-well plates at 4×10</w:t>
      </w:r>
      <w:r w:rsidRPr="005779E4">
        <w:rPr>
          <w:rFonts w:ascii="Arial" w:hAnsi="Arial" w:cs="Arial"/>
          <w:sz w:val="24"/>
          <w:szCs w:val="24"/>
          <w:shd w:val="clear" w:color="auto" w:fill="FFFFFF"/>
          <w:vertAlign w:val="superscript"/>
        </w:rPr>
        <w:t>5</w:t>
      </w:r>
      <w:r w:rsidRPr="005779E4">
        <w:rPr>
          <w:rFonts w:ascii="Arial" w:hAnsi="Arial" w:cs="Arial"/>
          <w:sz w:val="24"/>
          <w:szCs w:val="24"/>
          <w:shd w:val="clear" w:color="auto" w:fill="FFFFFF"/>
        </w:rPr>
        <w:t xml:space="preserve"> cells/well and transfected with miR-451a, miR-1228 or control mimics on day 3. </w:t>
      </w:r>
      <w:proofErr w:type="gramStart"/>
      <w:r w:rsidRPr="005779E4">
        <w:rPr>
          <w:rFonts w:ascii="Arial" w:hAnsi="Arial" w:cs="Arial"/>
          <w:sz w:val="24"/>
          <w:szCs w:val="24"/>
          <w:shd w:val="clear" w:color="auto" w:fill="FFFFFF"/>
        </w:rPr>
        <w:t>At</w:t>
      </w:r>
      <w:proofErr w:type="gramEnd"/>
      <w:r w:rsidRPr="005779E4">
        <w:rPr>
          <w:rFonts w:ascii="Arial" w:hAnsi="Arial" w:cs="Arial"/>
          <w:sz w:val="24"/>
          <w:szCs w:val="24"/>
          <w:shd w:val="clear" w:color="auto" w:fill="FFFFFF"/>
        </w:rPr>
        <w:t xml:space="preserve"> day 6, cells were collected and washed in ice-cold PBS containing 1% (v/v) FBS and 0.08% sodium </w:t>
      </w:r>
      <w:proofErr w:type="spellStart"/>
      <w:r w:rsidRPr="005779E4">
        <w:rPr>
          <w:rFonts w:ascii="Arial" w:hAnsi="Arial" w:cs="Arial"/>
          <w:sz w:val="24"/>
          <w:szCs w:val="24"/>
          <w:shd w:val="clear" w:color="auto" w:fill="FFFFFF"/>
        </w:rPr>
        <w:t>azide</w:t>
      </w:r>
      <w:proofErr w:type="spellEnd"/>
      <w:r w:rsidRPr="005779E4">
        <w:rPr>
          <w:rFonts w:ascii="Arial" w:hAnsi="Arial" w:cs="Arial"/>
          <w:sz w:val="24"/>
          <w:szCs w:val="24"/>
          <w:shd w:val="clear" w:color="auto" w:fill="FFFFFF"/>
        </w:rPr>
        <w:t xml:space="preserve">. Initial gating was performed on forward scatter (FSC) and side scatter (SSC) to remove debris and select the main leukocyte population; the monocyte gate accounted for approximately 60% of total events. Doublets/cell aggregates were excluded using FSC vs SSC and SSC vs pulse width gating. For phenotypic analysis, M1 and M2 Mφ were stained with fluorophore-conjugated antibodies (FITC, PE, and APC) against polarization markers. Antibodies included CD32-PE and HLA-DR-FITC (M1-associated markers) and CD163-APC and CD206-PE (M2-associated markers), sourced from BD Pharmingen (San Diego, CA, USA) and/or </w:t>
      </w:r>
      <w:proofErr w:type="spellStart"/>
      <w:r w:rsidRPr="005779E4">
        <w:rPr>
          <w:rFonts w:ascii="Arial" w:hAnsi="Arial" w:cs="Arial"/>
          <w:sz w:val="24"/>
          <w:szCs w:val="24"/>
          <w:shd w:val="clear" w:color="auto" w:fill="FFFFFF"/>
        </w:rPr>
        <w:t>BioLegend</w:t>
      </w:r>
      <w:proofErr w:type="spellEnd"/>
      <w:r w:rsidRPr="005779E4">
        <w:rPr>
          <w:rFonts w:ascii="Arial" w:hAnsi="Arial" w:cs="Arial"/>
          <w:sz w:val="24"/>
          <w:szCs w:val="24"/>
          <w:shd w:val="clear" w:color="auto" w:fill="FFFFFF"/>
        </w:rPr>
        <w:t xml:space="preserve"> (San Diego, CA, USA). Unstained and isotype controls (BD Pharmingen) were included to set gates and assess nonspecific binding. Data were acquired on a BD </w:t>
      </w:r>
      <w:proofErr w:type="spellStart"/>
      <w:r w:rsidRPr="005779E4">
        <w:rPr>
          <w:rFonts w:ascii="Arial" w:hAnsi="Arial" w:cs="Arial"/>
          <w:sz w:val="24"/>
          <w:szCs w:val="24"/>
          <w:shd w:val="clear" w:color="auto" w:fill="FFFFFF"/>
        </w:rPr>
        <w:t>Accuri</w:t>
      </w:r>
      <w:proofErr w:type="spellEnd"/>
      <w:r w:rsidRPr="005779E4">
        <w:rPr>
          <w:rFonts w:ascii="Arial" w:hAnsi="Arial" w:cs="Arial"/>
          <w:sz w:val="24"/>
          <w:szCs w:val="24"/>
          <w:shd w:val="clear" w:color="auto" w:fill="FFFFFF"/>
        </w:rPr>
        <w:t xml:space="preserve">™ C6 flow cytometer (BD Biosciences, San Jose, CA, USA) and analyzed using </w:t>
      </w:r>
      <w:proofErr w:type="spellStart"/>
      <w:r w:rsidRPr="005779E4">
        <w:rPr>
          <w:rFonts w:ascii="Arial" w:hAnsi="Arial" w:cs="Arial"/>
          <w:sz w:val="24"/>
          <w:szCs w:val="24"/>
          <w:shd w:val="clear" w:color="auto" w:fill="FFFFFF"/>
        </w:rPr>
        <w:t>FlowJo</w:t>
      </w:r>
      <w:proofErr w:type="spellEnd"/>
      <w:r w:rsidRPr="005779E4">
        <w:rPr>
          <w:rFonts w:ascii="Arial" w:hAnsi="Arial" w:cs="Arial"/>
          <w:sz w:val="24"/>
          <w:szCs w:val="24"/>
          <w:shd w:val="clear" w:color="auto" w:fill="FFFFFF"/>
        </w:rPr>
        <w:t xml:space="preserve"> (Tree Star, Ashland, </w:t>
      </w:r>
      <w:proofErr w:type="gramStart"/>
      <w:r w:rsidRPr="005779E4">
        <w:rPr>
          <w:rFonts w:ascii="Arial" w:hAnsi="Arial" w:cs="Arial"/>
          <w:sz w:val="24"/>
          <w:szCs w:val="24"/>
          <w:shd w:val="clear" w:color="auto" w:fill="FFFFFF"/>
        </w:rPr>
        <w:t>OR,</w:t>
      </w:r>
      <w:proofErr w:type="gramEnd"/>
      <w:r w:rsidRPr="005779E4">
        <w:rPr>
          <w:rFonts w:ascii="Arial" w:hAnsi="Arial" w:cs="Arial"/>
          <w:sz w:val="24"/>
          <w:szCs w:val="24"/>
          <w:shd w:val="clear" w:color="auto" w:fill="FFFFFF"/>
        </w:rPr>
        <w:t xml:space="preserve"> USA). Final gates were defined using FSC/SSC characteristics to retain larger, more granular cells while excluding small, low-FSC/low-SSC debris (typically appearing in the lower-left region of the dot plot) (Valverde et al., 2024, Naqvi et al., 2025).</w:t>
      </w:r>
    </w:p>
    <w:p w14:paraId="21706874" w14:textId="3D7EE96C" w:rsidR="00B40C7E" w:rsidRPr="005779E4" w:rsidRDefault="00B40C7E" w:rsidP="00A17EA8">
      <w:pPr>
        <w:spacing w:line="360" w:lineRule="auto"/>
        <w:jc w:val="both"/>
        <w:rPr>
          <w:rFonts w:ascii="Arial" w:hAnsi="Arial" w:cs="Arial"/>
          <w:sz w:val="24"/>
          <w:szCs w:val="24"/>
          <w:shd w:val="clear" w:color="auto" w:fill="FFFFFF"/>
        </w:rPr>
      </w:pPr>
      <w:r w:rsidRPr="005779E4">
        <w:rPr>
          <w:rFonts w:ascii="Arial" w:hAnsi="Arial" w:cs="Arial"/>
          <w:sz w:val="24"/>
          <w:szCs w:val="24"/>
          <w:shd w:val="clear" w:color="auto" w:fill="FFFFFF"/>
        </w:rPr>
        <w:t xml:space="preserve">To evaluate </w:t>
      </w:r>
      <w:r w:rsidR="00BA4FB6">
        <w:rPr>
          <w:rFonts w:ascii="Arial" w:hAnsi="Arial" w:cs="Arial"/>
          <w:sz w:val="24"/>
          <w:szCs w:val="24"/>
          <w:shd w:val="clear" w:color="auto" w:fill="FFFFFF"/>
        </w:rPr>
        <w:t>SOCS levels in TLR4 stimulation</w:t>
      </w:r>
      <w:r w:rsidRPr="005779E4">
        <w:rPr>
          <w:rFonts w:ascii="Arial" w:hAnsi="Arial" w:cs="Arial"/>
          <w:sz w:val="24"/>
          <w:szCs w:val="24"/>
          <w:shd w:val="clear" w:color="auto" w:fill="FFFFFF"/>
        </w:rPr>
        <w:t xml:space="preserve">, </w:t>
      </w:r>
      <w:r w:rsidR="00842B01" w:rsidRPr="005779E4">
        <w:rPr>
          <w:rFonts w:ascii="Arial" w:hAnsi="Arial" w:cs="Arial"/>
          <w:sz w:val="24"/>
          <w:szCs w:val="24"/>
          <w:shd w:val="clear" w:color="auto" w:fill="FFFFFF"/>
        </w:rPr>
        <w:t>miRNA transfected Mφ</w:t>
      </w:r>
      <w:r w:rsidRPr="005779E4">
        <w:rPr>
          <w:rFonts w:ascii="Arial" w:hAnsi="Arial" w:cs="Arial"/>
          <w:sz w:val="24"/>
          <w:szCs w:val="24"/>
          <w:shd w:val="clear" w:color="auto" w:fill="FFFFFF"/>
        </w:rPr>
        <w:t xml:space="preserve"> were cultured in RPMI-1640 and stimulated overnight (18 h) with TLR</w:t>
      </w:r>
      <w:r w:rsidR="00BA4FB6">
        <w:rPr>
          <w:rFonts w:ascii="Arial" w:hAnsi="Arial" w:cs="Arial"/>
          <w:sz w:val="24"/>
          <w:szCs w:val="24"/>
          <w:shd w:val="clear" w:color="auto" w:fill="FFFFFF"/>
        </w:rPr>
        <w:t>4</w:t>
      </w:r>
      <w:r w:rsidRPr="005779E4">
        <w:rPr>
          <w:rFonts w:ascii="Arial" w:hAnsi="Arial" w:cs="Arial"/>
          <w:sz w:val="24"/>
          <w:szCs w:val="24"/>
          <w:shd w:val="clear" w:color="auto" w:fill="FFFFFF"/>
        </w:rPr>
        <w:t xml:space="preserve"> (Human Toll-like receptor kit; </w:t>
      </w:r>
      <w:proofErr w:type="spellStart"/>
      <w:r w:rsidRPr="005779E4">
        <w:rPr>
          <w:rFonts w:ascii="Arial" w:hAnsi="Arial" w:cs="Arial"/>
          <w:sz w:val="24"/>
          <w:szCs w:val="24"/>
          <w:shd w:val="clear" w:color="auto" w:fill="FFFFFF"/>
        </w:rPr>
        <w:t>InvivoGen</w:t>
      </w:r>
      <w:proofErr w:type="spellEnd"/>
      <w:r w:rsidRPr="005779E4">
        <w:rPr>
          <w:rFonts w:ascii="Arial" w:hAnsi="Arial" w:cs="Arial"/>
          <w:sz w:val="24"/>
          <w:szCs w:val="24"/>
          <w:shd w:val="clear" w:color="auto" w:fill="FFFFFF"/>
        </w:rPr>
        <w:t xml:space="preserve">). Cells were stimulated with the TLR4 agonist </w:t>
      </w:r>
      <w:r w:rsidRPr="005779E4">
        <w:rPr>
          <w:rFonts w:ascii="Arial" w:hAnsi="Arial" w:cs="Arial"/>
          <w:i/>
          <w:iCs/>
          <w:sz w:val="24"/>
          <w:szCs w:val="24"/>
          <w:shd w:val="clear" w:color="auto" w:fill="FFFFFF"/>
        </w:rPr>
        <w:t>E. coli</w:t>
      </w:r>
      <w:r w:rsidRPr="005779E4">
        <w:rPr>
          <w:rFonts w:ascii="Arial" w:hAnsi="Arial" w:cs="Arial"/>
          <w:sz w:val="24"/>
          <w:szCs w:val="24"/>
          <w:shd w:val="clear" w:color="auto" w:fill="FFFFFF"/>
        </w:rPr>
        <w:t xml:space="preserve"> LPS (50 ng/mL). Following stimulation, cells were harvested, washed in RPMI containing 1% BSA, and fixed with </w:t>
      </w:r>
      <w:proofErr w:type="spellStart"/>
      <w:r w:rsidRPr="005779E4">
        <w:rPr>
          <w:rFonts w:ascii="Arial" w:hAnsi="Arial" w:cs="Arial"/>
          <w:sz w:val="24"/>
          <w:szCs w:val="24"/>
          <w:shd w:val="clear" w:color="auto" w:fill="FFFFFF"/>
        </w:rPr>
        <w:t>Cytofix</w:t>
      </w:r>
      <w:proofErr w:type="spellEnd"/>
      <w:r w:rsidRPr="005779E4">
        <w:rPr>
          <w:rFonts w:ascii="Arial" w:hAnsi="Arial" w:cs="Arial"/>
          <w:sz w:val="24"/>
          <w:szCs w:val="24"/>
          <w:shd w:val="clear" w:color="auto" w:fill="FFFFFF"/>
        </w:rPr>
        <w:t xml:space="preserve"> buffer (BD Biosciences) at 4 °C for 30 min. Cells were then permeabilized according to the manufacturer’s instructions, washed twice, and stained </w:t>
      </w:r>
      <w:r w:rsidR="00007295" w:rsidRPr="005779E4">
        <w:rPr>
          <w:rFonts w:ascii="Arial" w:hAnsi="Arial" w:cs="Arial"/>
          <w:sz w:val="24"/>
          <w:szCs w:val="24"/>
          <w:shd w:val="clear" w:color="auto" w:fill="FFFFFF"/>
        </w:rPr>
        <w:t>with 5</w:t>
      </w:r>
      <w:r w:rsidR="008371F2" w:rsidRPr="005779E4">
        <w:rPr>
          <w:rFonts w:ascii="Arial" w:hAnsi="Arial" w:cs="Arial"/>
          <w:sz w:val="24"/>
          <w:szCs w:val="24"/>
          <w:shd w:val="clear" w:color="auto" w:fill="FFFFFF"/>
        </w:rPr>
        <w:t xml:space="preserve"> </w:t>
      </w:r>
      <w:proofErr w:type="spellStart"/>
      <w:r w:rsidR="008371F2" w:rsidRPr="005779E4">
        <w:rPr>
          <w:rFonts w:ascii="Arial" w:hAnsi="Arial" w:cs="Arial"/>
          <w:sz w:val="24"/>
          <w:szCs w:val="24"/>
          <w:shd w:val="clear" w:color="auto" w:fill="FFFFFF"/>
        </w:rPr>
        <w:t>μ</w:t>
      </w:r>
      <w:r w:rsidR="00007295" w:rsidRPr="005779E4">
        <w:rPr>
          <w:rFonts w:ascii="Arial" w:hAnsi="Arial" w:cs="Arial"/>
          <w:sz w:val="24"/>
          <w:szCs w:val="24"/>
          <w:shd w:val="clear" w:color="auto" w:fill="FFFFFF"/>
        </w:rPr>
        <w:t>l</w:t>
      </w:r>
      <w:proofErr w:type="spellEnd"/>
      <w:r w:rsidR="00007295" w:rsidRPr="005779E4">
        <w:rPr>
          <w:rFonts w:ascii="Arial" w:hAnsi="Arial" w:cs="Arial"/>
          <w:sz w:val="24"/>
          <w:szCs w:val="24"/>
          <w:shd w:val="clear" w:color="auto" w:fill="FFFFFF"/>
        </w:rPr>
        <w:t xml:space="preserve"> FITC</w:t>
      </w:r>
      <w:r w:rsidR="00D91123" w:rsidRPr="005779E4">
        <w:rPr>
          <w:rFonts w:ascii="Arial" w:hAnsi="Arial" w:cs="Arial"/>
          <w:sz w:val="24"/>
          <w:szCs w:val="24"/>
          <w:shd w:val="clear" w:color="auto" w:fill="FFFFFF"/>
        </w:rPr>
        <w:t>-co</w:t>
      </w:r>
      <w:r w:rsidR="00CF3615" w:rsidRPr="005779E4">
        <w:rPr>
          <w:rFonts w:ascii="Arial" w:hAnsi="Arial" w:cs="Arial"/>
          <w:sz w:val="24"/>
          <w:szCs w:val="24"/>
          <w:shd w:val="clear" w:color="auto" w:fill="FFFFFF"/>
        </w:rPr>
        <w:t>n</w:t>
      </w:r>
      <w:r w:rsidR="00D91123" w:rsidRPr="005779E4">
        <w:rPr>
          <w:rFonts w:ascii="Arial" w:hAnsi="Arial" w:cs="Arial"/>
          <w:sz w:val="24"/>
          <w:szCs w:val="24"/>
          <w:shd w:val="clear" w:color="auto" w:fill="FFFFFF"/>
        </w:rPr>
        <w:t>jugated</w:t>
      </w:r>
      <w:r w:rsidR="00007295" w:rsidRPr="005779E4">
        <w:rPr>
          <w:rFonts w:ascii="Arial" w:hAnsi="Arial" w:cs="Arial"/>
          <w:sz w:val="24"/>
          <w:szCs w:val="24"/>
          <w:shd w:val="clear" w:color="auto" w:fill="FFFFFF"/>
        </w:rPr>
        <w:t xml:space="preserve"> anti-S</w:t>
      </w:r>
      <w:r w:rsidR="006D343C">
        <w:rPr>
          <w:rFonts w:ascii="Arial" w:hAnsi="Arial" w:cs="Arial"/>
          <w:sz w:val="24"/>
          <w:szCs w:val="24"/>
          <w:shd w:val="clear" w:color="auto" w:fill="FFFFFF"/>
        </w:rPr>
        <w:t>OCS</w:t>
      </w:r>
      <w:r w:rsidR="00007295" w:rsidRPr="005779E4">
        <w:rPr>
          <w:rFonts w:ascii="Arial" w:hAnsi="Arial" w:cs="Arial"/>
          <w:sz w:val="24"/>
          <w:szCs w:val="24"/>
          <w:shd w:val="clear" w:color="auto" w:fill="FFFFFF"/>
        </w:rPr>
        <w:t>3</w:t>
      </w:r>
      <w:r w:rsidR="006D343C">
        <w:rPr>
          <w:rFonts w:ascii="Arial" w:hAnsi="Arial" w:cs="Arial"/>
          <w:sz w:val="24"/>
          <w:szCs w:val="24"/>
          <w:shd w:val="clear" w:color="auto" w:fill="FFFFFF"/>
        </w:rPr>
        <w:t>, anti-SOCS5</w:t>
      </w:r>
      <w:r w:rsidR="00007295" w:rsidRPr="005779E4">
        <w:rPr>
          <w:rFonts w:ascii="Arial" w:hAnsi="Arial" w:cs="Arial"/>
          <w:sz w:val="24"/>
          <w:szCs w:val="24"/>
          <w:shd w:val="clear" w:color="auto" w:fill="FFFFFF"/>
        </w:rPr>
        <w:t xml:space="preserve"> </w:t>
      </w:r>
      <w:r w:rsidR="006D343C">
        <w:rPr>
          <w:rFonts w:ascii="Arial" w:hAnsi="Arial" w:cs="Arial"/>
          <w:sz w:val="24"/>
          <w:szCs w:val="24"/>
          <w:shd w:val="clear" w:color="auto" w:fill="FFFFFF"/>
        </w:rPr>
        <w:t>and anti-SOCS6 (</w:t>
      </w:r>
      <w:proofErr w:type="spellStart"/>
      <w:r w:rsidR="00007295" w:rsidRPr="005779E4">
        <w:rPr>
          <w:rFonts w:ascii="Arial" w:hAnsi="Arial" w:cs="Arial"/>
          <w:sz w:val="24"/>
          <w:szCs w:val="24"/>
          <w:shd w:val="clear" w:color="auto" w:fill="FFFFFF"/>
        </w:rPr>
        <w:t>BioLegend</w:t>
      </w:r>
      <w:proofErr w:type="spellEnd"/>
      <w:r w:rsidR="00007295" w:rsidRPr="005779E4">
        <w:rPr>
          <w:rFonts w:ascii="Arial" w:hAnsi="Arial" w:cs="Arial"/>
          <w:sz w:val="24"/>
          <w:szCs w:val="24"/>
          <w:shd w:val="clear" w:color="auto" w:fill="FFFFFF"/>
        </w:rPr>
        <w:t>)</w:t>
      </w:r>
      <w:r w:rsidRPr="005779E4">
        <w:rPr>
          <w:rFonts w:ascii="Arial" w:hAnsi="Arial" w:cs="Arial"/>
          <w:sz w:val="24"/>
          <w:szCs w:val="24"/>
          <w:shd w:val="clear" w:color="auto" w:fill="FFFFFF"/>
        </w:rPr>
        <w:t xml:space="preserve">. </w:t>
      </w:r>
      <w:r w:rsidR="00147754">
        <w:rPr>
          <w:rFonts w:ascii="Arial" w:hAnsi="Arial" w:cs="Arial"/>
          <w:sz w:val="24"/>
          <w:szCs w:val="24"/>
          <w:shd w:val="clear" w:color="auto" w:fill="FFFFFF"/>
        </w:rPr>
        <w:t>Proteins levels</w:t>
      </w:r>
      <w:r w:rsidRPr="005779E4">
        <w:rPr>
          <w:rFonts w:ascii="Arial" w:hAnsi="Arial" w:cs="Arial"/>
          <w:sz w:val="24"/>
          <w:szCs w:val="24"/>
          <w:shd w:val="clear" w:color="auto" w:fill="FFFFFF"/>
        </w:rPr>
        <w:t xml:space="preserve"> w</w:t>
      </w:r>
      <w:r w:rsidR="00147754">
        <w:rPr>
          <w:rFonts w:ascii="Arial" w:hAnsi="Arial" w:cs="Arial"/>
          <w:sz w:val="24"/>
          <w:szCs w:val="24"/>
          <w:shd w:val="clear" w:color="auto" w:fill="FFFFFF"/>
        </w:rPr>
        <w:t>ere</w:t>
      </w:r>
      <w:r w:rsidRPr="005779E4">
        <w:rPr>
          <w:rFonts w:ascii="Arial" w:hAnsi="Arial" w:cs="Arial"/>
          <w:sz w:val="24"/>
          <w:szCs w:val="24"/>
          <w:shd w:val="clear" w:color="auto" w:fill="FFFFFF"/>
        </w:rPr>
        <w:t xml:space="preserve"> quantified by flow cytometry, and the frequency of </w:t>
      </w:r>
      <w:r w:rsidR="0066681B">
        <w:rPr>
          <w:rFonts w:ascii="Arial" w:hAnsi="Arial" w:cs="Arial"/>
          <w:sz w:val="24"/>
          <w:szCs w:val="24"/>
          <w:shd w:val="clear" w:color="auto" w:fill="FFFFFF"/>
        </w:rPr>
        <w:t>SOCS</w:t>
      </w:r>
      <w:r w:rsidRPr="005779E4">
        <w:rPr>
          <w:rFonts w:ascii="Arial" w:hAnsi="Arial" w:cs="Arial"/>
          <w:sz w:val="24"/>
          <w:szCs w:val="24"/>
          <w:shd w:val="clear" w:color="auto" w:fill="FFFFFF"/>
        </w:rPr>
        <w:t xml:space="preserve">+ cells was determined relative to </w:t>
      </w:r>
      <w:r w:rsidR="009E7DB6">
        <w:rPr>
          <w:rFonts w:ascii="Arial" w:hAnsi="Arial" w:cs="Arial"/>
          <w:sz w:val="24"/>
          <w:szCs w:val="24"/>
          <w:shd w:val="clear" w:color="auto" w:fill="FFFFFF"/>
        </w:rPr>
        <w:t>control mimics</w:t>
      </w:r>
      <w:r w:rsidRPr="005779E4">
        <w:rPr>
          <w:rFonts w:ascii="Arial" w:hAnsi="Arial" w:cs="Arial"/>
          <w:sz w:val="24"/>
          <w:szCs w:val="24"/>
          <w:shd w:val="clear" w:color="auto" w:fill="FFFFFF"/>
        </w:rPr>
        <w:t>.</w:t>
      </w:r>
    </w:p>
    <w:p w14:paraId="05528350" w14:textId="77777777" w:rsidR="00A7468B" w:rsidRPr="005779E4" w:rsidRDefault="00A7468B" w:rsidP="00A7468B">
      <w:pPr>
        <w:spacing w:line="360" w:lineRule="auto"/>
        <w:jc w:val="both"/>
        <w:rPr>
          <w:rFonts w:ascii="Arial" w:hAnsi="Arial" w:cs="Arial"/>
          <w:b/>
          <w:bCs/>
          <w:sz w:val="24"/>
          <w:szCs w:val="24"/>
          <w:shd w:val="clear" w:color="auto" w:fill="FFFFFF"/>
        </w:rPr>
      </w:pPr>
      <w:r w:rsidRPr="005779E4">
        <w:rPr>
          <w:rFonts w:ascii="Arial" w:hAnsi="Arial" w:cs="Arial"/>
          <w:b/>
          <w:bCs/>
          <w:sz w:val="24"/>
          <w:szCs w:val="24"/>
          <w:shd w:val="clear" w:color="auto" w:fill="FFFFFF"/>
        </w:rPr>
        <w:lastRenderedPageBreak/>
        <w:t>Phagocytosis assays</w:t>
      </w:r>
    </w:p>
    <w:p w14:paraId="498434A8" w14:textId="2FA9AEA4" w:rsidR="00A7468B" w:rsidRPr="005779E4" w:rsidRDefault="00A7468B" w:rsidP="00A7468B">
      <w:pPr>
        <w:spacing w:line="360" w:lineRule="auto"/>
        <w:jc w:val="both"/>
        <w:rPr>
          <w:rFonts w:ascii="Arial" w:hAnsi="Arial" w:cs="Arial"/>
          <w:sz w:val="24"/>
          <w:szCs w:val="24"/>
          <w:shd w:val="clear" w:color="auto" w:fill="FFFFFF"/>
          <w:vertAlign w:val="superscript"/>
        </w:rPr>
      </w:pPr>
      <w:r w:rsidRPr="005779E4">
        <w:rPr>
          <w:rFonts w:ascii="Arial" w:hAnsi="Arial" w:cs="Arial"/>
          <w:sz w:val="24"/>
          <w:szCs w:val="24"/>
          <w:shd w:val="clear" w:color="auto" w:fill="FFFFFF"/>
        </w:rPr>
        <w:t>Human primary Mφ were plated in 96-well plates at 4 × 10</w:t>
      </w:r>
      <w:r w:rsidRPr="005779E4">
        <w:rPr>
          <w:rFonts w:ascii="Arial" w:hAnsi="Arial" w:cs="Arial"/>
          <w:sz w:val="24"/>
          <w:szCs w:val="24"/>
          <w:shd w:val="clear" w:color="auto" w:fill="FFFFFF"/>
          <w:vertAlign w:val="superscript"/>
        </w:rPr>
        <w:t>5</w:t>
      </w:r>
      <w:r w:rsidRPr="005779E4">
        <w:rPr>
          <w:rFonts w:ascii="Arial" w:hAnsi="Arial" w:cs="Arial"/>
          <w:sz w:val="24"/>
          <w:szCs w:val="24"/>
          <w:shd w:val="clear" w:color="auto" w:fill="FFFFFF"/>
        </w:rPr>
        <w:t xml:space="preserve"> cells/well and transfected with miR-451a, miR-1228 or control mimics (25 </w:t>
      </w:r>
      <w:proofErr w:type="spellStart"/>
      <w:r w:rsidRPr="005779E4">
        <w:rPr>
          <w:rFonts w:ascii="Arial" w:hAnsi="Arial" w:cs="Arial"/>
          <w:sz w:val="24"/>
          <w:szCs w:val="24"/>
          <w:shd w:val="clear" w:color="auto" w:fill="FFFFFF"/>
        </w:rPr>
        <w:t>nM</w:t>
      </w:r>
      <w:proofErr w:type="spellEnd"/>
      <w:r w:rsidRPr="005779E4">
        <w:rPr>
          <w:rFonts w:ascii="Arial" w:hAnsi="Arial" w:cs="Arial"/>
          <w:sz w:val="24"/>
          <w:szCs w:val="24"/>
          <w:shd w:val="clear" w:color="auto" w:fill="FFFFFF"/>
        </w:rPr>
        <w:t xml:space="preserve"> final concentration). Phagocytosis was assessed 36 h post-transfection using rhodamine conjugated </w:t>
      </w:r>
      <w:r w:rsidRPr="005779E4">
        <w:rPr>
          <w:rFonts w:ascii="Arial" w:hAnsi="Arial" w:cs="Arial"/>
          <w:i/>
          <w:iCs/>
          <w:sz w:val="24"/>
          <w:szCs w:val="24"/>
          <w:shd w:val="clear" w:color="auto" w:fill="FFFFFF"/>
        </w:rPr>
        <w:t>E. coli</w:t>
      </w:r>
      <w:r w:rsidRPr="005779E4">
        <w:rPr>
          <w:rFonts w:ascii="Arial" w:hAnsi="Arial" w:cs="Arial"/>
          <w:sz w:val="24"/>
          <w:szCs w:val="24"/>
          <w:shd w:val="clear" w:color="auto" w:fill="FFFFFF"/>
        </w:rPr>
        <w:t xml:space="preserve"> bioparticles (Invitrogen, Carlsbad, CA, USA), following the manufacturer’s protocol. Briefly, labeled </w:t>
      </w:r>
      <w:r w:rsidRPr="005779E4">
        <w:rPr>
          <w:rFonts w:ascii="Arial" w:hAnsi="Arial" w:cs="Arial"/>
          <w:i/>
          <w:iCs/>
          <w:sz w:val="24"/>
          <w:szCs w:val="24"/>
          <w:shd w:val="clear" w:color="auto" w:fill="FFFFFF"/>
        </w:rPr>
        <w:t>E. coli</w:t>
      </w:r>
      <w:r w:rsidRPr="005779E4">
        <w:rPr>
          <w:rFonts w:ascii="Arial" w:hAnsi="Arial" w:cs="Arial"/>
          <w:sz w:val="24"/>
          <w:szCs w:val="24"/>
          <w:shd w:val="clear" w:color="auto" w:fill="FFFFFF"/>
        </w:rPr>
        <w:t xml:space="preserve"> bioparticles were resuspended in Live Imaging Buffer (Life Technologies) to a final concentration of 1 mg/mL, homogenized by sonication for 2 min, and then diluted in culture medium. Mφ were incubated with the labeled bioparticles for 2 h at 37°C, washed three times with PBS, and fixed with 4% paraformaldehyde. Random fields were imaged for each donor (n = 4) using an EVOS microscopy system (</w:t>
      </w:r>
      <w:proofErr w:type="spellStart"/>
      <w:r w:rsidRPr="005779E4">
        <w:rPr>
          <w:rFonts w:ascii="Arial" w:hAnsi="Arial" w:cs="Arial"/>
          <w:sz w:val="24"/>
          <w:szCs w:val="24"/>
          <w:shd w:val="clear" w:color="auto" w:fill="FFFFFF"/>
        </w:rPr>
        <w:t>Thermo</w:t>
      </w:r>
      <w:proofErr w:type="spellEnd"/>
      <w:r w:rsidRPr="005779E4">
        <w:rPr>
          <w:rFonts w:ascii="Arial" w:hAnsi="Arial" w:cs="Arial"/>
          <w:sz w:val="24"/>
          <w:szCs w:val="24"/>
          <w:shd w:val="clear" w:color="auto" w:fill="FFFFFF"/>
        </w:rPr>
        <w:t xml:space="preserve"> Fisher Scientific, Grand Island, NY, USA). In parallel, uptake of rhodamine-labeled particles was quantified by flow cytometry as previously described</w:t>
      </w:r>
      <w:r w:rsidRPr="005779E4">
        <w:rPr>
          <w:rFonts w:ascii="Arial" w:hAnsi="Arial" w:cs="Arial"/>
          <w:sz w:val="24"/>
          <w:szCs w:val="24"/>
          <w:shd w:val="clear" w:color="auto" w:fill="FFFFFF"/>
          <w:vertAlign w:val="superscript"/>
        </w:rPr>
        <w:t xml:space="preserve"> </w:t>
      </w:r>
      <w:r w:rsidRPr="005779E4">
        <w:rPr>
          <w:rFonts w:ascii="Arial" w:hAnsi="Arial" w:cs="Arial"/>
          <w:sz w:val="24"/>
          <w:szCs w:val="24"/>
          <w:shd w:val="clear" w:color="auto" w:fill="FFFFFF"/>
        </w:rPr>
        <w:t>(Valverde et al., 2024).</w:t>
      </w:r>
    </w:p>
    <w:p w14:paraId="79A9E692" w14:textId="6244CF0F" w:rsidR="00344E0A" w:rsidRPr="005779E4" w:rsidRDefault="00344E0A" w:rsidP="00A17EA8">
      <w:pPr>
        <w:spacing w:line="360" w:lineRule="auto"/>
        <w:jc w:val="both"/>
        <w:rPr>
          <w:rFonts w:ascii="Arial" w:hAnsi="Arial" w:cs="Arial"/>
          <w:sz w:val="24"/>
          <w:szCs w:val="24"/>
          <w:shd w:val="clear" w:color="auto" w:fill="FFFFFF"/>
        </w:rPr>
      </w:pPr>
    </w:p>
    <w:p w14:paraId="18D6BC4A" w14:textId="77777777" w:rsidR="006123B0" w:rsidRPr="005779E4" w:rsidRDefault="006123B0" w:rsidP="006123B0">
      <w:pPr>
        <w:spacing w:line="360" w:lineRule="auto"/>
        <w:jc w:val="both"/>
        <w:rPr>
          <w:rFonts w:ascii="Arial" w:hAnsi="Arial" w:cs="Arial"/>
          <w:b/>
          <w:bCs/>
          <w:sz w:val="24"/>
          <w:szCs w:val="24"/>
          <w:shd w:val="clear" w:color="auto" w:fill="FFFFFF"/>
        </w:rPr>
      </w:pPr>
      <w:r w:rsidRPr="005779E4">
        <w:rPr>
          <w:rFonts w:ascii="Arial" w:hAnsi="Arial" w:cs="Arial"/>
          <w:b/>
          <w:bCs/>
          <w:sz w:val="24"/>
          <w:szCs w:val="24"/>
          <w:shd w:val="clear" w:color="auto" w:fill="FFFFFF"/>
        </w:rPr>
        <w:t>Cloning of miRNA-targeted gene 3' UTRs and dual luciferase assays</w:t>
      </w:r>
    </w:p>
    <w:p w14:paraId="2D293929" w14:textId="1AEDA796" w:rsidR="00711432" w:rsidRPr="005779E4" w:rsidRDefault="006123B0" w:rsidP="00080AD0">
      <w:pPr>
        <w:spacing w:line="360" w:lineRule="auto"/>
        <w:jc w:val="both"/>
        <w:rPr>
          <w:rFonts w:ascii="Arial" w:hAnsi="Arial" w:cs="Arial"/>
          <w:sz w:val="24"/>
          <w:szCs w:val="24"/>
        </w:rPr>
      </w:pPr>
      <w:r w:rsidRPr="005779E4">
        <w:rPr>
          <w:rFonts w:ascii="Arial" w:hAnsi="Arial" w:cs="Arial"/>
          <w:sz w:val="24"/>
          <w:szCs w:val="24"/>
          <w:shd w:val="clear" w:color="auto" w:fill="FFFFFF"/>
        </w:rPr>
        <w:t xml:space="preserve">Bioinformatic prediction of miR-451 binding sites within the 3′UTRs of selected M2-like genes was performed using </w:t>
      </w:r>
      <w:proofErr w:type="spellStart"/>
      <w:r w:rsidRPr="005779E4">
        <w:rPr>
          <w:rFonts w:ascii="Arial" w:hAnsi="Arial" w:cs="Arial"/>
          <w:sz w:val="24"/>
          <w:szCs w:val="24"/>
          <w:shd w:val="clear" w:color="auto" w:fill="FFFFFF"/>
        </w:rPr>
        <w:t>RNAhybrid</w:t>
      </w:r>
      <w:proofErr w:type="spellEnd"/>
      <w:r w:rsidRPr="005779E4">
        <w:rPr>
          <w:rFonts w:ascii="Arial" w:hAnsi="Arial" w:cs="Arial"/>
          <w:sz w:val="24"/>
          <w:szCs w:val="24"/>
          <w:shd w:val="clear" w:color="auto" w:fill="FFFFFF"/>
        </w:rPr>
        <w:t xml:space="preserve"> (https://bibiserv.cebitec.uni-bielefeld.de/rnahybrid/). Full-length 3′UTRs were PCR-amplified using genomic DNA isolated from monocytes as the template and cloned into the psiCHECK-2 dual-luciferase reporter vector (Promega) by ligating each 3′UTR downstream of the Renilla luciferase gene using the </w:t>
      </w:r>
      <w:proofErr w:type="spellStart"/>
      <w:r w:rsidRPr="005779E4">
        <w:rPr>
          <w:rFonts w:ascii="Arial" w:hAnsi="Arial" w:cs="Arial"/>
          <w:sz w:val="24"/>
          <w:szCs w:val="24"/>
          <w:shd w:val="clear" w:color="auto" w:fill="FFFFFF"/>
        </w:rPr>
        <w:t>XhoI</w:t>
      </w:r>
      <w:proofErr w:type="spellEnd"/>
      <w:r w:rsidRPr="005779E4">
        <w:rPr>
          <w:rFonts w:ascii="Arial" w:hAnsi="Arial" w:cs="Arial"/>
          <w:sz w:val="24"/>
          <w:szCs w:val="24"/>
          <w:shd w:val="clear" w:color="auto" w:fill="FFFFFF"/>
        </w:rPr>
        <w:t xml:space="preserve"> and </w:t>
      </w:r>
      <w:proofErr w:type="spellStart"/>
      <w:r w:rsidRPr="005779E4">
        <w:rPr>
          <w:rFonts w:ascii="Arial" w:hAnsi="Arial" w:cs="Arial"/>
          <w:sz w:val="24"/>
          <w:szCs w:val="24"/>
          <w:shd w:val="clear" w:color="auto" w:fill="FFFFFF"/>
        </w:rPr>
        <w:t>NotI</w:t>
      </w:r>
      <w:proofErr w:type="spellEnd"/>
      <w:r w:rsidRPr="005779E4">
        <w:rPr>
          <w:rFonts w:ascii="Arial" w:hAnsi="Arial" w:cs="Arial"/>
          <w:sz w:val="24"/>
          <w:szCs w:val="24"/>
          <w:shd w:val="clear" w:color="auto" w:fill="FFFFFF"/>
        </w:rPr>
        <w:t xml:space="preserve"> restriction sites in the multiple cloning site.</w:t>
      </w:r>
      <w:r w:rsidR="00F46689" w:rsidRPr="005779E4">
        <w:rPr>
          <w:rFonts w:ascii="Arial" w:hAnsi="Arial" w:cs="Arial"/>
          <w:sz w:val="24"/>
          <w:szCs w:val="24"/>
          <w:shd w:val="clear" w:color="auto" w:fill="FFFFFF"/>
        </w:rPr>
        <w:t xml:space="preserve"> </w:t>
      </w:r>
      <w:r w:rsidR="005779E4">
        <w:rPr>
          <w:rFonts w:ascii="Arial" w:hAnsi="Arial" w:cs="Arial"/>
          <w:sz w:val="24"/>
          <w:szCs w:val="24"/>
          <w:shd w:val="clear" w:color="auto" w:fill="FFFFFF"/>
        </w:rPr>
        <w:t xml:space="preserve"> </w:t>
      </w:r>
      <w:r w:rsidRPr="005779E4">
        <w:rPr>
          <w:rFonts w:ascii="Arial" w:hAnsi="Arial" w:cs="Arial"/>
          <w:sz w:val="24"/>
          <w:szCs w:val="24"/>
          <w:shd w:val="clear" w:color="auto" w:fill="FFFFFF"/>
        </w:rPr>
        <w:t>Dual-luciferase reporter assays were carried out as previously described (Naqvi et al., 2014, 2019, Ahmad et al., 2023). HEK293 cells were plated in 96-well plates at 3 × 10</w:t>
      </w:r>
      <w:r w:rsidRPr="005779E4">
        <w:rPr>
          <w:rFonts w:ascii="Arial" w:hAnsi="Arial" w:cs="Arial"/>
          <w:sz w:val="24"/>
          <w:szCs w:val="24"/>
          <w:shd w:val="clear" w:color="auto" w:fill="FFFFFF"/>
          <w:vertAlign w:val="superscript"/>
        </w:rPr>
        <w:t>4</w:t>
      </w:r>
      <w:r w:rsidRPr="005779E4">
        <w:rPr>
          <w:rFonts w:ascii="Arial" w:hAnsi="Arial" w:cs="Arial"/>
          <w:sz w:val="24"/>
          <w:szCs w:val="24"/>
          <w:shd w:val="clear" w:color="auto" w:fill="FFFFFF"/>
        </w:rPr>
        <w:t xml:space="preserve"> cells/well in DMEM supplemented with 10% fetal bovine serum. Cells were co-transfected using Lipofectamine 2000 (Invitrogen; 0.5 µL/well) with 120 ng of the psiCHECK-2 dual-luciferase reporter plasmid containing a target gene 3'UTR harboring the miRNA binding site, together with synthetic hsa-miR-451a and miR-1228 mimics at final concentrations of 10 </w:t>
      </w:r>
      <w:proofErr w:type="spellStart"/>
      <w:r w:rsidRPr="005779E4">
        <w:rPr>
          <w:rFonts w:ascii="Arial" w:hAnsi="Arial" w:cs="Arial"/>
          <w:sz w:val="24"/>
          <w:szCs w:val="24"/>
          <w:shd w:val="clear" w:color="auto" w:fill="FFFFFF"/>
        </w:rPr>
        <w:t>nM</w:t>
      </w:r>
      <w:proofErr w:type="spellEnd"/>
      <w:r w:rsidRPr="005779E4">
        <w:rPr>
          <w:rFonts w:ascii="Arial" w:hAnsi="Arial" w:cs="Arial"/>
          <w:sz w:val="24"/>
          <w:szCs w:val="24"/>
          <w:shd w:val="clear" w:color="auto" w:fill="FFFFFF"/>
        </w:rPr>
        <w:t xml:space="preserve">, 25 </w:t>
      </w:r>
      <w:proofErr w:type="spellStart"/>
      <w:r w:rsidRPr="005779E4">
        <w:rPr>
          <w:rFonts w:ascii="Arial" w:hAnsi="Arial" w:cs="Arial"/>
          <w:sz w:val="24"/>
          <w:szCs w:val="24"/>
          <w:shd w:val="clear" w:color="auto" w:fill="FFFFFF"/>
        </w:rPr>
        <w:t>nM</w:t>
      </w:r>
      <w:proofErr w:type="spellEnd"/>
      <w:r w:rsidRPr="005779E4">
        <w:rPr>
          <w:rFonts w:ascii="Arial" w:hAnsi="Arial" w:cs="Arial"/>
          <w:sz w:val="24"/>
          <w:szCs w:val="24"/>
          <w:shd w:val="clear" w:color="auto" w:fill="FFFFFF"/>
        </w:rPr>
        <w:t xml:space="preserve">, or 50 </w:t>
      </w:r>
      <w:proofErr w:type="spellStart"/>
      <w:r w:rsidRPr="005779E4">
        <w:rPr>
          <w:rFonts w:ascii="Arial" w:hAnsi="Arial" w:cs="Arial"/>
          <w:sz w:val="24"/>
          <w:szCs w:val="24"/>
          <w:shd w:val="clear" w:color="auto" w:fill="FFFFFF"/>
        </w:rPr>
        <w:t>nM.</w:t>
      </w:r>
      <w:proofErr w:type="spellEnd"/>
      <w:r w:rsidRPr="005779E4">
        <w:rPr>
          <w:rFonts w:ascii="Arial" w:hAnsi="Arial" w:cs="Arial"/>
          <w:sz w:val="24"/>
          <w:szCs w:val="24"/>
          <w:shd w:val="clear" w:color="auto" w:fill="FFFFFF"/>
        </w:rPr>
        <w:t xml:space="preserve"> A control mimic was included at 50 </w:t>
      </w:r>
      <w:proofErr w:type="spellStart"/>
      <w:r w:rsidRPr="005779E4">
        <w:rPr>
          <w:rFonts w:ascii="Arial" w:hAnsi="Arial" w:cs="Arial"/>
          <w:sz w:val="24"/>
          <w:szCs w:val="24"/>
          <w:shd w:val="clear" w:color="auto" w:fill="FFFFFF"/>
        </w:rPr>
        <w:t>nM</w:t>
      </w:r>
      <w:proofErr w:type="spellEnd"/>
      <w:r w:rsidRPr="005779E4">
        <w:rPr>
          <w:rFonts w:ascii="Arial" w:hAnsi="Arial" w:cs="Arial"/>
          <w:sz w:val="24"/>
          <w:szCs w:val="24"/>
          <w:shd w:val="clear" w:color="auto" w:fill="FFFFFF"/>
        </w:rPr>
        <w:t xml:space="preserve"> (Qiagen). After 36 h post-transfection, cells were lysed using Passive Lysis Buffer (Promega), and Renilla and firefly luciferase activities were quantified using a Victor™ X5 multilabel plate reader (PerkinElmer 2030; PerkinElmer Health Sciences Inc., Shelton, CT, USA).</w:t>
      </w:r>
    </w:p>
    <w:sectPr w:rsidR="00711432" w:rsidRPr="00577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32"/>
    <w:rsid w:val="00007295"/>
    <w:rsid w:val="0003284E"/>
    <w:rsid w:val="00080AD0"/>
    <w:rsid w:val="00094AEB"/>
    <w:rsid w:val="000964C3"/>
    <w:rsid w:val="00135FB6"/>
    <w:rsid w:val="00142C49"/>
    <w:rsid w:val="00147754"/>
    <w:rsid w:val="001A1842"/>
    <w:rsid w:val="001D451F"/>
    <w:rsid w:val="00221E22"/>
    <w:rsid w:val="00280F3F"/>
    <w:rsid w:val="002E1D23"/>
    <w:rsid w:val="00344E0A"/>
    <w:rsid w:val="0037086E"/>
    <w:rsid w:val="003A3C5C"/>
    <w:rsid w:val="003E2FC4"/>
    <w:rsid w:val="003F5AB5"/>
    <w:rsid w:val="0045791B"/>
    <w:rsid w:val="004A2BBE"/>
    <w:rsid w:val="004B3729"/>
    <w:rsid w:val="00562B43"/>
    <w:rsid w:val="005779E4"/>
    <w:rsid w:val="00582C21"/>
    <w:rsid w:val="005A3600"/>
    <w:rsid w:val="006123B0"/>
    <w:rsid w:val="00634F9A"/>
    <w:rsid w:val="00651712"/>
    <w:rsid w:val="0066681B"/>
    <w:rsid w:val="0067104B"/>
    <w:rsid w:val="006D343C"/>
    <w:rsid w:val="00711432"/>
    <w:rsid w:val="00772FB3"/>
    <w:rsid w:val="007818B7"/>
    <w:rsid w:val="007A5DAA"/>
    <w:rsid w:val="007B084B"/>
    <w:rsid w:val="007B6840"/>
    <w:rsid w:val="007C10F2"/>
    <w:rsid w:val="008371F2"/>
    <w:rsid w:val="00842B01"/>
    <w:rsid w:val="00874171"/>
    <w:rsid w:val="0088298C"/>
    <w:rsid w:val="008B4F1E"/>
    <w:rsid w:val="008D20F4"/>
    <w:rsid w:val="00931952"/>
    <w:rsid w:val="009450E0"/>
    <w:rsid w:val="00950304"/>
    <w:rsid w:val="009B4C5C"/>
    <w:rsid w:val="009C1933"/>
    <w:rsid w:val="009E3717"/>
    <w:rsid w:val="009E7DB6"/>
    <w:rsid w:val="00A17EA8"/>
    <w:rsid w:val="00A7468B"/>
    <w:rsid w:val="00B40C7E"/>
    <w:rsid w:val="00B500F3"/>
    <w:rsid w:val="00BA4FB6"/>
    <w:rsid w:val="00BC35F7"/>
    <w:rsid w:val="00C16504"/>
    <w:rsid w:val="00CE28ED"/>
    <w:rsid w:val="00CF3615"/>
    <w:rsid w:val="00D82C48"/>
    <w:rsid w:val="00D91123"/>
    <w:rsid w:val="00DA6443"/>
    <w:rsid w:val="00E16262"/>
    <w:rsid w:val="00E3105C"/>
    <w:rsid w:val="00E81C46"/>
    <w:rsid w:val="00EC08F5"/>
    <w:rsid w:val="00EC4E66"/>
    <w:rsid w:val="00EC5F3B"/>
    <w:rsid w:val="00F11B6C"/>
    <w:rsid w:val="00F46689"/>
    <w:rsid w:val="00F60E11"/>
    <w:rsid w:val="00FC7084"/>
    <w:rsid w:val="00FD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43FC"/>
  <w15:chartTrackingRefBased/>
  <w15:docId w15:val="{BF0C2CA6-FD13-4F47-910F-5AA05D48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432"/>
    <w:pPr>
      <w:spacing w:line="259" w:lineRule="auto"/>
    </w:pPr>
    <w:rPr>
      <w:kern w:val="0"/>
      <w:sz w:val="22"/>
      <w:szCs w:val="22"/>
      <w14:ligatures w14:val="none"/>
    </w:rPr>
  </w:style>
  <w:style w:type="paragraph" w:styleId="Heading1">
    <w:name w:val="heading 1"/>
    <w:basedOn w:val="Normal"/>
    <w:next w:val="Normal"/>
    <w:link w:val="Heading1Char"/>
    <w:uiPriority w:val="9"/>
    <w:qFormat/>
    <w:rsid w:val="007114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14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143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143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1143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1143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1143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1143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1143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432"/>
    <w:rPr>
      <w:rFonts w:eastAsiaTheme="majorEastAsia" w:cstheme="majorBidi"/>
      <w:color w:val="272727" w:themeColor="text1" w:themeTint="D8"/>
    </w:rPr>
  </w:style>
  <w:style w:type="paragraph" w:styleId="Title">
    <w:name w:val="Title"/>
    <w:basedOn w:val="Normal"/>
    <w:next w:val="Normal"/>
    <w:link w:val="TitleChar"/>
    <w:uiPriority w:val="10"/>
    <w:qFormat/>
    <w:rsid w:val="007114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1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43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1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43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11432"/>
    <w:rPr>
      <w:i/>
      <w:iCs/>
      <w:color w:val="404040" w:themeColor="text1" w:themeTint="BF"/>
    </w:rPr>
  </w:style>
  <w:style w:type="paragraph" w:styleId="ListParagraph">
    <w:name w:val="List Paragraph"/>
    <w:basedOn w:val="Normal"/>
    <w:uiPriority w:val="34"/>
    <w:qFormat/>
    <w:rsid w:val="0071143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11432"/>
    <w:rPr>
      <w:i/>
      <w:iCs/>
      <w:color w:val="0F4761" w:themeColor="accent1" w:themeShade="BF"/>
    </w:rPr>
  </w:style>
  <w:style w:type="paragraph" w:styleId="IntenseQuote">
    <w:name w:val="Intense Quote"/>
    <w:basedOn w:val="Normal"/>
    <w:next w:val="Normal"/>
    <w:link w:val="IntenseQuoteChar"/>
    <w:uiPriority w:val="30"/>
    <w:qFormat/>
    <w:rsid w:val="0071143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11432"/>
    <w:rPr>
      <w:i/>
      <w:iCs/>
      <w:color w:val="0F4761" w:themeColor="accent1" w:themeShade="BF"/>
    </w:rPr>
  </w:style>
  <w:style w:type="character" w:styleId="IntenseReference">
    <w:name w:val="Intense Reference"/>
    <w:basedOn w:val="DefaultParagraphFont"/>
    <w:uiPriority w:val="32"/>
    <w:qFormat/>
    <w:rsid w:val="007114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7538</Characters>
  <Application>Microsoft Office Word</Application>
  <DocSecurity>0</DocSecurity>
  <Lines>62</Lines>
  <Paragraphs>17</Paragraphs>
  <ScaleCrop>false</ScaleCrop>
  <Company>UIC College of Dentistry</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Naqvi, Afsar</dc:creator>
  <cp:keywords/>
  <dc:description/>
  <cp:lastModifiedBy>Naqvi, Afsar</cp:lastModifiedBy>
  <cp:revision>4</cp:revision>
  <dcterms:created xsi:type="dcterms:W3CDTF">2026-03-07T12:30:00Z</dcterms:created>
  <dcterms:modified xsi:type="dcterms:W3CDTF">2026-03-14T03:04:00Z</dcterms:modified>
</cp:coreProperties>
</file>