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AA7C6"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SUPPLEMENTAL STATISTICAL NOTE</w:t>
      </w:r>
    </w:p>
    <w:p w14:paraId="54A35ACD"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Variable selection and model retention threshold</w:t>
      </w:r>
    </w:p>
    <w:p w14:paraId="19DF5EB0"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Candidate predictors for each multivariable model were first screened using a variance-preserving, AIC-based feature selection algorithm [S1] to reduce multicollinearity prior to Firth logistic regression. Selected variables were retained in final models at a prespecified two-tailed threshold of p&lt;0.15. This threshold was chosen to balance parsimony with model discrimination, consistent with purposeful selection strategies in which the goal is predictive performance rather than hypothesis testing of individual coefficients [S2]. A stricter threshold of p&lt;0.05 was evaluated in sensitivity analyses and did not materially alter the direction or magnitude of primary associations.</w:t>
      </w:r>
    </w:p>
    <w:p w14:paraId="29405537"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 xml:space="preserve">Firth </w:t>
      </w:r>
      <w:proofErr w:type="spellStart"/>
      <w:r w:rsidRPr="008F1960">
        <w:rPr>
          <w:rFonts w:ascii="Times New Roman" w:hAnsi="Times New Roman" w:cs="Times New Roman"/>
          <w:b/>
          <w:bCs/>
        </w:rPr>
        <w:t>penalised</w:t>
      </w:r>
      <w:proofErr w:type="spellEnd"/>
      <w:r w:rsidRPr="008F1960">
        <w:rPr>
          <w:rFonts w:ascii="Times New Roman" w:hAnsi="Times New Roman" w:cs="Times New Roman"/>
          <w:b/>
          <w:bCs/>
        </w:rPr>
        <w:t xml:space="preserve"> likelihood</w:t>
      </w:r>
    </w:p>
    <w:p w14:paraId="2411D934"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 xml:space="preserve">Firth's </w:t>
      </w:r>
      <w:proofErr w:type="spellStart"/>
      <w:r w:rsidRPr="008F1960">
        <w:rPr>
          <w:rFonts w:ascii="Times New Roman" w:hAnsi="Times New Roman" w:cs="Times New Roman"/>
        </w:rPr>
        <w:t>penalised</w:t>
      </w:r>
      <w:proofErr w:type="spellEnd"/>
      <w:r w:rsidRPr="008F1960">
        <w:rPr>
          <w:rFonts w:ascii="Times New Roman" w:hAnsi="Times New Roman" w:cs="Times New Roman"/>
        </w:rPr>
        <w:t xml:space="preserve"> likelihood method was used for all primary outcome models because of low event counts in several outcome categories (deferred surgery, n=28; open reduction, n=20; intraoperative complications, n=1) [S3]. Standard maximum likelihood logistic regression produces biased and potentially infinite estimates under these conditions. Firth's method reduces this bias through a </w:t>
      </w:r>
      <w:proofErr w:type="spellStart"/>
      <w:r w:rsidRPr="008F1960">
        <w:rPr>
          <w:rFonts w:ascii="Times New Roman" w:hAnsi="Times New Roman" w:cs="Times New Roman"/>
        </w:rPr>
        <w:t>penalisation</w:t>
      </w:r>
      <w:proofErr w:type="spellEnd"/>
      <w:r w:rsidRPr="008F1960">
        <w:rPr>
          <w:rFonts w:ascii="Times New Roman" w:hAnsi="Times New Roman" w:cs="Times New Roman"/>
        </w:rPr>
        <w:t xml:space="preserve"> of the likelihood function and was applied uniformly across models for consistency rather than selectively based on observed separation.</w:t>
      </w:r>
    </w:p>
    <w:p w14:paraId="5BC65889"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Inpatient admission model: open reduction as covariate</w:t>
      </w:r>
    </w:p>
    <w:p w14:paraId="633F65E5"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 xml:space="preserve">Surgical approach (open vs closed reduction) was included as a covariate in the inpatient admission model despite being determined intraoperatively rather than at presentation. This decision was made to evaluate whether the association between fracture severity and admission persisted after accounting for the additional operative complexity associated </w:t>
      </w:r>
      <w:r w:rsidRPr="008F1960">
        <w:rPr>
          <w:rFonts w:ascii="Times New Roman" w:hAnsi="Times New Roman" w:cs="Times New Roman"/>
        </w:rPr>
        <w:lastRenderedPageBreak/>
        <w:t>with open reduction — that is, to isolate the independent contribution of severity to admission beyond its effect on surgical approach. The association between high-severity fracture and admission remained strong and statistically significant after this adjustment (</w:t>
      </w:r>
      <w:proofErr w:type="spellStart"/>
      <w:r w:rsidRPr="008F1960">
        <w:rPr>
          <w:rFonts w:ascii="Times New Roman" w:hAnsi="Times New Roman" w:cs="Times New Roman"/>
        </w:rPr>
        <w:t>aOR</w:t>
      </w:r>
      <w:proofErr w:type="spellEnd"/>
      <w:r w:rsidRPr="008F1960">
        <w:rPr>
          <w:rFonts w:ascii="Times New Roman" w:hAnsi="Times New Roman" w:cs="Times New Roman"/>
        </w:rPr>
        <w:t xml:space="preserve"> 5.29, 95% CI 2.80–9.99), supporting the interpretation that severity influences admission through mechanisms beyond operative complexity alone.</w:t>
      </w:r>
    </w:p>
    <w:p w14:paraId="1234F223"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 xml:space="preserve">Gartland </w:t>
      </w:r>
      <w:proofErr w:type="spellStart"/>
      <w:r w:rsidRPr="008F1960">
        <w:rPr>
          <w:rFonts w:ascii="Times New Roman" w:hAnsi="Times New Roman" w:cs="Times New Roman"/>
          <w:b/>
          <w:bCs/>
        </w:rPr>
        <w:t>dichotomisation</w:t>
      </w:r>
      <w:proofErr w:type="spellEnd"/>
    </w:p>
    <w:p w14:paraId="1439EA6E"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 xml:space="preserve">Gartland classification was </w:t>
      </w:r>
      <w:proofErr w:type="spellStart"/>
      <w:r w:rsidRPr="008F1960">
        <w:rPr>
          <w:rFonts w:ascii="Times New Roman" w:hAnsi="Times New Roman" w:cs="Times New Roman"/>
        </w:rPr>
        <w:t>dichotomised</w:t>
      </w:r>
      <w:proofErr w:type="spellEnd"/>
      <w:r w:rsidRPr="008F1960">
        <w:rPr>
          <w:rFonts w:ascii="Times New Roman" w:hAnsi="Times New Roman" w:cs="Times New Roman"/>
        </w:rPr>
        <w:t xml:space="preserve"> as low severity (types I–II) versus high severity (types III and above) for primary analyses. This decision was driven by clinical convention, the distribution of the cohort (type III fractures comprised 95.6% of the high-severity group), and the low counts in boundary categories (n=1 type I, n=7 type IV) that precluded reliable estimation of category-specific effects. Ordered or continuous severity </w:t>
      </w:r>
      <w:proofErr w:type="spellStart"/>
      <w:r w:rsidRPr="008F1960">
        <w:rPr>
          <w:rFonts w:ascii="Times New Roman" w:hAnsi="Times New Roman" w:cs="Times New Roman"/>
        </w:rPr>
        <w:t>parameterisations</w:t>
      </w:r>
      <w:proofErr w:type="spellEnd"/>
      <w:r w:rsidRPr="008F1960">
        <w:rPr>
          <w:rFonts w:ascii="Times New Roman" w:hAnsi="Times New Roman" w:cs="Times New Roman"/>
        </w:rPr>
        <w:t xml:space="preserve"> were not pursued given these constraints.</w:t>
      </w:r>
    </w:p>
    <w:p w14:paraId="0CE33CE7"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Model discrimination and cross-validation</w:t>
      </w:r>
    </w:p>
    <w:p w14:paraId="04A43394"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AUC estimates were cross-validated using leave-one-out (jackknife) predicted probabilities rather than apparent (in-sample) estimates to reduce optimism bias. For small samples with low event counts, leave-one-out cross-validation provides a less biased discrimination estimate than bootstrap or split-sample approaches, which are sensitive to random partitioning under these conditions [S2].</w:t>
      </w:r>
    </w:p>
    <w:p w14:paraId="2A5B5716"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b/>
          <w:bCs/>
        </w:rPr>
        <w:t>Missing data</w:t>
      </w:r>
    </w:p>
    <w:p w14:paraId="0D28A1D0" w14:textId="77777777" w:rsidR="00711EA3" w:rsidRPr="008F1960" w:rsidRDefault="00711EA3" w:rsidP="00711EA3">
      <w:pPr>
        <w:pStyle w:val="ListParagraph"/>
        <w:spacing w:after="240" w:line="480" w:lineRule="auto"/>
        <w:rPr>
          <w:rFonts w:ascii="Times New Roman" w:hAnsi="Times New Roman" w:cs="Times New Roman"/>
        </w:rPr>
      </w:pPr>
      <w:r w:rsidRPr="008F1960">
        <w:rPr>
          <w:rFonts w:ascii="Times New Roman" w:hAnsi="Times New Roman" w:cs="Times New Roman"/>
        </w:rPr>
        <w:t xml:space="preserve">Three observations were excluded from multivariable analyses due to missing covariate data (complete-case analysis, n=239). The small number of missing observations and the absence of a clear pattern of missingness did not warrant multiple </w:t>
      </w:r>
      <w:proofErr w:type="gramStart"/>
      <w:r w:rsidRPr="008F1960">
        <w:rPr>
          <w:rFonts w:ascii="Times New Roman" w:hAnsi="Times New Roman" w:cs="Times New Roman"/>
        </w:rPr>
        <w:t>imputation</w:t>
      </w:r>
      <w:proofErr w:type="gramEnd"/>
      <w:r w:rsidRPr="008F1960">
        <w:rPr>
          <w:rFonts w:ascii="Times New Roman" w:hAnsi="Times New Roman" w:cs="Times New Roman"/>
        </w:rPr>
        <w:t xml:space="preserve">; a </w:t>
      </w:r>
      <w:r w:rsidRPr="008F1960">
        <w:rPr>
          <w:rFonts w:ascii="Times New Roman" w:hAnsi="Times New Roman" w:cs="Times New Roman"/>
        </w:rPr>
        <w:lastRenderedPageBreak/>
        <w:t>complete-case sensitivity analysis was considered adequate given the minimal exclusion rate (1.2%).</w:t>
      </w:r>
    </w:p>
    <w:p w14:paraId="6AD47297" w14:textId="24B1523D" w:rsidR="00711EA3" w:rsidRPr="008F1960" w:rsidRDefault="00711EA3" w:rsidP="00711EA3">
      <w:pPr>
        <w:pStyle w:val="ListParagraph"/>
        <w:spacing w:after="240" w:line="480" w:lineRule="auto"/>
        <w:rPr>
          <w:rFonts w:ascii="Times New Roman" w:hAnsi="Times New Roman" w:cs="Times New Roman"/>
        </w:rPr>
      </w:pPr>
    </w:p>
    <w:p w14:paraId="733CF660" w14:textId="41ACACE0" w:rsidR="00711EA3" w:rsidRPr="008F1960" w:rsidRDefault="00711EA3" w:rsidP="00711EA3">
      <w:pPr>
        <w:pStyle w:val="ListParagraph"/>
        <w:spacing w:after="240" w:line="480" w:lineRule="auto"/>
        <w:rPr>
          <w:rFonts w:ascii="Times New Roman" w:hAnsi="Times New Roman" w:cs="Times New Roman"/>
        </w:rPr>
      </w:pPr>
      <w:r w:rsidRPr="00711EA3">
        <w:rPr>
          <w:rFonts w:ascii="Times New Roman" w:hAnsi="Times New Roman" w:cs="Times New Roman"/>
          <w:b/>
          <w:bCs/>
        </w:rPr>
        <w:t>S</w:t>
      </w:r>
      <w:r w:rsidRPr="008F1960">
        <w:rPr>
          <w:rFonts w:ascii="Times New Roman" w:hAnsi="Times New Roman" w:cs="Times New Roman"/>
          <w:b/>
          <w:bCs/>
        </w:rPr>
        <w:t>upplemental references</w:t>
      </w:r>
    </w:p>
    <w:p w14:paraId="04C4B3E5" w14:textId="77777777" w:rsidR="00711EA3" w:rsidRPr="008F1960" w:rsidRDefault="00711EA3" w:rsidP="00711EA3">
      <w:pPr>
        <w:pStyle w:val="ListParagraph"/>
        <w:spacing w:after="240" w:line="480" w:lineRule="auto"/>
        <w:contextualSpacing w:val="0"/>
        <w:rPr>
          <w:rFonts w:ascii="Times New Roman" w:hAnsi="Times New Roman" w:cs="Times New Roman"/>
        </w:rPr>
      </w:pPr>
      <w:r w:rsidRPr="008F1960">
        <w:rPr>
          <w:rFonts w:ascii="Times New Roman" w:hAnsi="Times New Roman" w:cs="Times New Roman"/>
        </w:rPr>
        <w:t xml:space="preserve">[S1] Zhao Z, et al. Massively parallel feature selection: an approach based on variance preservation. </w:t>
      </w:r>
      <w:r w:rsidRPr="008F1960">
        <w:rPr>
          <w:rFonts w:ascii="Times New Roman" w:hAnsi="Times New Roman" w:cs="Times New Roman"/>
          <w:i/>
          <w:iCs/>
        </w:rPr>
        <w:t>Mach Learn.</w:t>
      </w:r>
      <w:r w:rsidRPr="008F1960">
        <w:rPr>
          <w:rFonts w:ascii="Times New Roman" w:hAnsi="Times New Roman" w:cs="Times New Roman"/>
        </w:rPr>
        <w:t xml:space="preserve"> </w:t>
      </w:r>
      <w:proofErr w:type="gramStart"/>
      <w:r w:rsidRPr="008F1960">
        <w:rPr>
          <w:rFonts w:ascii="Times New Roman" w:hAnsi="Times New Roman" w:cs="Times New Roman"/>
        </w:rPr>
        <w:t>2013;92:195</w:t>
      </w:r>
      <w:proofErr w:type="gramEnd"/>
      <w:r w:rsidRPr="008F1960">
        <w:rPr>
          <w:rFonts w:ascii="Times New Roman" w:hAnsi="Times New Roman" w:cs="Times New Roman"/>
        </w:rPr>
        <w:t>–220.</w:t>
      </w:r>
    </w:p>
    <w:p w14:paraId="093604C7" w14:textId="77777777" w:rsidR="00711EA3" w:rsidRPr="008F1960" w:rsidRDefault="00711EA3" w:rsidP="00711EA3">
      <w:pPr>
        <w:pStyle w:val="ListParagraph"/>
        <w:spacing w:after="240" w:line="480" w:lineRule="auto"/>
        <w:contextualSpacing w:val="0"/>
        <w:rPr>
          <w:rFonts w:ascii="Times New Roman" w:hAnsi="Times New Roman" w:cs="Times New Roman"/>
        </w:rPr>
      </w:pPr>
      <w:r w:rsidRPr="008F1960">
        <w:rPr>
          <w:rFonts w:ascii="Times New Roman" w:hAnsi="Times New Roman" w:cs="Times New Roman"/>
        </w:rPr>
        <w:t xml:space="preserve">[S2] Hosmer DW, </w:t>
      </w:r>
      <w:proofErr w:type="spellStart"/>
      <w:r w:rsidRPr="008F1960">
        <w:rPr>
          <w:rFonts w:ascii="Times New Roman" w:hAnsi="Times New Roman" w:cs="Times New Roman"/>
        </w:rPr>
        <w:t>Lemeshow</w:t>
      </w:r>
      <w:proofErr w:type="spellEnd"/>
      <w:r w:rsidRPr="008F1960">
        <w:rPr>
          <w:rFonts w:ascii="Times New Roman" w:hAnsi="Times New Roman" w:cs="Times New Roman"/>
        </w:rPr>
        <w:t xml:space="preserve"> S, Sturdivant RX. </w:t>
      </w:r>
      <w:r w:rsidRPr="008F1960">
        <w:rPr>
          <w:rFonts w:ascii="Times New Roman" w:hAnsi="Times New Roman" w:cs="Times New Roman"/>
          <w:i/>
          <w:iCs/>
        </w:rPr>
        <w:t>Applied Logistic Regression.</w:t>
      </w:r>
      <w:r w:rsidRPr="008F1960">
        <w:rPr>
          <w:rFonts w:ascii="Times New Roman" w:hAnsi="Times New Roman" w:cs="Times New Roman"/>
        </w:rPr>
        <w:t xml:space="preserve"> 3rd ed. Wiley; 2013.</w:t>
      </w:r>
    </w:p>
    <w:p w14:paraId="7861FCB0" w14:textId="77777777" w:rsidR="00711EA3" w:rsidRPr="008F1960" w:rsidRDefault="00711EA3" w:rsidP="00711EA3">
      <w:pPr>
        <w:pStyle w:val="ListParagraph"/>
        <w:spacing w:after="240" w:line="480" w:lineRule="auto"/>
        <w:contextualSpacing w:val="0"/>
        <w:rPr>
          <w:rFonts w:ascii="Times New Roman" w:hAnsi="Times New Roman" w:cs="Times New Roman"/>
        </w:rPr>
      </w:pPr>
      <w:r w:rsidRPr="008F1960">
        <w:rPr>
          <w:rFonts w:ascii="Times New Roman" w:hAnsi="Times New Roman" w:cs="Times New Roman"/>
        </w:rPr>
        <w:t xml:space="preserve">[S3] Firth D. Bias reduction of maximum likelihood estimates. </w:t>
      </w:r>
      <w:proofErr w:type="spellStart"/>
      <w:r w:rsidRPr="008F1960">
        <w:rPr>
          <w:rFonts w:ascii="Times New Roman" w:hAnsi="Times New Roman" w:cs="Times New Roman"/>
          <w:i/>
          <w:iCs/>
        </w:rPr>
        <w:t>Biometrika</w:t>
      </w:r>
      <w:proofErr w:type="spellEnd"/>
      <w:r w:rsidRPr="008F1960">
        <w:rPr>
          <w:rFonts w:ascii="Times New Roman" w:hAnsi="Times New Roman" w:cs="Times New Roman"/>
          <w:i/>
          <w:iCs/>
        </w:rPr>
        <w:t>.</w:t>
      </w:r>
      <w:r w:rsidRPr="008F1960">
        <w:rPr>
          <w:rFonts w:ascii="Times New Roman" w:hAnsi="Times New Roman" w:cs="Times New Roman"/>
        </w:rPr>
        <w:t xml:space="preserve"> </w:t>
      </w:r>
      <w:proofErr w:type="gramStart"/>
      <w:r w:rsidRPr="008F1960">
        <w:rPr>
          <w:rFonts w:ascii="Times New Roman" w:hAnsi="Times New Roman" w:cs="Times New Roman"/>
        </w:rPr>
        <w:t>1993;80:27</w:t>
      </w:r>
      <w:proofErr w:type="gramEnd"/>
      <w:r w:rsidRPr="008F1960">
        <w:rPr>
          <w:rFonts w:ascii="Times New Roman" w:hAnsi="Times New Roman" w:cs="Times New Roman"/>
        </w:rPr>
        <w:t>–38.</w:t>
      </w:r>
    </w:p>
    <w:p w14:paraId="668AFF4F" w14:textId="77777777" w:rsidR="005953C2" w:rsidRDefault="005953C2"/>
    <w:sectPr w:rsidR="005953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3C7EFC"/>
    <w:multiLevelType w:val="multilevel"/>
    <w:tmpl w:val="AB74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9010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EA3"/>
    <w:rsid w:val="000F18A5"/>
    <w:rsid w:val="003D1CCE"/>
    <w:rsid w:val="005953C2"/>
    <w:rsid w:val="00711EA3"/>
    <w:rsid w:val="007B4D55"/>
    <w:rsid w:val="00C7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03D4"/>
  <w15:chartTrackingRefBased/>
  <w15:docId w15:val="{984939B0-977D-439A-91BA-01C2076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1E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1E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1E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1E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1E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1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1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1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1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1E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1E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1E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1E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1E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1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1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1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1EA3"/>
    <w:rPr>
      <w:rFonts w:eastAsiaTheme="majorEastAsia" w:cstheme="majorBidi"/>
      <w:color w:val="272727" w:themeColor="text1" w:themeTint="D8"/>
    </w:rPr>
  </w:style>
  <w:style w:type="paragraph" w:styleId="Title">
    <w:name w:val="Title"/>
    <w:basedOn w:val="Normal"/>
    <w:next w:val="Normal"/>
    <w:link w:val="TitleChar"/>
    <w:uiPriority w:val="10"/>
    <w:qFormat/>
    <w:rsid w:val="00711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1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1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1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1EA3"/>
    <w:pPr>
      <w:spacing w:before="160"/>
      <w:jc w:val="center"/>
    </w:pPr>
    <w:rPr>
      <w:i/>
      <w:iCs/>
      <w:color w:val="404040" w:themeColor="text1" w:themeTint="BF"/>
    </w:rPr>
  </w:style>
  <w:style w:type="character" w:customStyle="1" w:styleId="QuoteChar">
    <w:name w:val="Quote Char"/>
    <w:basedOn w:val="DefaultParagraphFont"/>
    <w:link w:val="Quote"/>
    <w:uiPriority w:val="29"/>
    <w:rsid w:val="00711EA3"/>
    <w:rPr>
      <w:i/>
      <w:iCs/>
      <w:color w:val="404040" w:themeColor="text1" w:themeTint="BF"/>
    </w:rPr>
  </w:style>
  <w:style w:type="paragraph" w:styleId="ListParagraph">
    <w:name w:val="List Paragraph"/>
    <w:basedOn w:val="Normal"/>
    <w:qFormat/>
    <w:rsid w:val="00711EA3"/>
    <w:pPr>
      <w:ind w:left="720"/>
      <w:contextualSpacing/>
    </w:pPr>
  </w:style>
  <w:style w:type="character" w:styleId="IntenseEmphasis">
    <w:name w:val="Intense Emphasis"/>
    <w:basedOn w:val="DefaultParagraphFont"/>
    <w:uiPriority w:val="21"/>
    <w:qFormat/>
    <w:rsid w:val="00711EA3"/>
    <w:rPr>
      <w:i/>
      <w:iCs/>
      <w:color w:val="2F5496" w:themeColor="accent1" w:themeShade="BF"/>
    </w:rPr>
  </w:style>
  <w:style w:type="paragraph" w:styleId="IntenseQuote">
    <w:name w:val="Intense Quote"/>
    <w:basedOn w:val="Normal"/>
    <w:next w:val="Normal"/>
    <w:link w:val="IntenseQuoteChar"/>
    <w:uiPriority w:val="30"/>
    <w:qFormat/>
    <w:rsid w:val="00711E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1EA3"/>
    <w:rPr>
      <w:i/>
      <w:iCs/>
      <w:color w:val="2F5496" w:themeColor="accent1" w:themeShade="BF"/>
    </w:rPr>
  </w:style>
  <w:style w:type="character" w:styleId="IntenseReference">
    <w:name w:val="Intense Reference"/>
    <w:basedOn w:val="DefaultParagraphFont"/>
    <w:uiPriority w:val="32"/>
    <w:qFormat/>
    <w:rsid w:val="00711EA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David R</dc:creator>
  <cp:keywords/>
  <dc:description/>
  <cp:lastModifiedBy>Nelson, David R</cp:lastModifiedBy>
  <cp:revision>1</cp:revision>
  <dcterms:created xsi:type="dcterms:W3CDTF">2026-04-02T20:57:00Z</dcterms:created>
  <dcterms:modified xsi:type="dcterms:W3CDTF">2026-04-02T20:58:00Z</dcterms:modified>
</cp:coreProperties>
</file>