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A0FFA" w14:textId="77777777" w:rsidR="00B756CA" w:rsidRPr="00681618" w:rsidRDefault="00B756CA" w:rsidP="00745532">
      <w:pPr>
        <w:pStyle w:val="Tableofcontents"/>
      </w:pPr>
    </w:p>
    <w:p w14:paraId="06F1D20B" w14:textId="77777777" w:rsidR="00B756CA" w:rsidRPr="00681618" w:rsidRDefault="00B756CA" w:rsidP="00B756CA">
      <w:pPr>
        <w:pStyle w:val="Title2"/>
        <w:spacing w:line="360" w:lineRule="auto"/>
        <w:rPr>
          <w:b w:val="0"/>
          <w:sz w:val="22"/>
          <w:szCs w:val="22"/>
        </w:rPr>
      </w:pPr>
      <w:r w:rsidRPr="00681618">
        <w:rPr>
          <w:b w:val="0"/>
          <w:sz w:val="22"/>
          <w:szCs w:val="22"/>
        </w:rPr>
        <w:t xml:space="preserve">Supporting Information </w:t>
      </w:r>
    </w:p>
    <w:p w14:paraId="06139431" w14:textId="77777777" w:rsidR="00B756CA" w:rsidRPr="00681618" w:rsidRDefault="00B756CA" w:rsidP="00745532">
      <w:pPr>
        <w:pStyle w:val="Tableofcontents"/>
      </w:pPr>
    </w:p>
    <w:p w14:paraId="3828C503" w14:textId="77777777" w:rsidR="00B756CA" w:rsidRPr="00681618" w:rsidRDefault="00B756CA" w:rsidP="00745532">
      <w:pPr>
        <w:pStyle w:val="Tableofcontents"/>
      </w:pPr>
    </w:p>
    <w:p w14:paraId="14310B9A" w14:textId="142E63B2" w:rsidR="00B756CA" w:rsidRPr="00681618" w:rsidRDefault="00882083" w:rsidP="00B756CA">
      <w:pPr>
        <w:pStyle w:val="Title2"/>
        <w:spacing w:line="360" w:lineRule="auto"/>
        <w:rPr>
          <w:b w:val="0"/>
          <w:sz w:val="22"/>
          <w:szCs w:val="22"/>
        </w:rPr>
      </w:pPr>
      <w:r w:rsidRPr="00882083">
        <w:rPr>
          <w:sz w:val="22"/>
          <w:szCs w:val="22"/>
        </w:rPr>
        <w:t>Material Composition and Implantation Site Affect in vivo device degradation Rate, Evaluated via Biomedical Imaging</w:t>
      </w:r>
    </w:p>
    <w:p w14:paraId="3896D435" w14:textId="77777777" w:rsidR="00B756CA" w:rsidRPr="00681618" w:rsidRDefault="00B756CA" w:rsidP="00B756CA">
      <w:pPr>
        <w:pStyle w:val="Title2"/>
        <w:spacing w:line="360" w:lineRule="auto"/>
        <w:rPr>
          <w:b w:val="0"/>
          <w:sz w:val="22"/>
          <w:szCs w:val="22"/>
        </w:rPr>
      </w:pPr>
    </w:p>
    <w:p w14:paraId="0D57D71D" w14:textId="20DD85D8" w:rsidR="00B756CA" w:rsidRPr="00681618" w:rsidRDefault="00B756CA" w:rsidP="00B756CA">
      <w:pPr>
        <w:pStyle w:val="AuthorsFull"/>
        <w:spacing w:line="360" w:lineRule="auto"/>
        <w:rPr>
          <w:sz w:val="22"/>
          <w:szCs w:val="22"/>
        </w:rPr>
      </w:pPr>
      <w:r w:rsidRPr="00681618">
        <w:rPr>
          <w:sz w:val="22"/>
          <w:szCs w:val="22"/>
        </w:rPr>
        <w:t xml:space="preserve">Kendell M Pawelec, Jeremy ML Hix, Arianna Troia, </w:t>
      </w:r>
      <w:r w:rsidRPr="00AA7CF5">
        <w:rPr>
          <w:sz w:val="22"/>
          <w:szCs w:val="22"/>
        </w:rPr>
        <w:t xml:space="preserve">Keith </w:t>
      </w:r>
      <w:proofErr w:type="spellStart"/>
      <w:r w:rsidRPr="00AA7CF5">
        <w:rPr>
          <w:sz w:val="22"/>
          <w:szCs w:val="22"/>
        </w:rPr>
        <w:t>MacRenaris</w:t>
      </w:r>
      <w:proofErr w:type="spellEnd"/>
      <w:r w:rsidRPr="00AA7CF5">
        <w:rPr>
          <w:sz w:val="22"/>
          <w:szCs w:val="22"/>
        </w:rPr>
        <w:t>,</w:t>
      </w:r>
      <w:r w:rsidRPr="00681618">
        <w:rPr>
          <w:sz w:val="22"/>
          <w:szCs w:val="22"/>
        </w:rPr>
        <w:t xml:space="preserve"> Matti </w:t>
      </w:r>
      <w:proofErr w:type="spellStart"/>
      <w:r w:rsidRPr="00681618">
        <w:rPr>
          <w:sz w:val="22"/>
          <w:szCs w:val="22"/>
        </w:rPr>
        <w:t>Kiupel</w:t>
      </w:r>
      <w:proofErr w:type="spellEnd"/>
      <w:r w:rsidRPr="00681618">
        <w:rPr>
          <w:sz w:val="22"/>
          <w:szCs w:val="22"/>
        </w:rPr>
        <w:t xml:space="preserve">, </w:t>
      </w:r>
      <w:r w:rsidR="00882083">
        <w:rPr>
          <w:sz w:val="22"/>
          <w:szCs w:val="22"/>
        </w:rPr>
        <w:t>Adam Alessio</w:t>
      </w:r>
      <w:r w:rsidRPr="00681618">
        <w:rPr>
          <w:sz w:val="22"/>
          <w:szCs w:val="22"/>
        </w:rPr>
        <w:t xml:space="preserve">, Erik M Shapiro* </w:t>
      </w:r>
    </w:p>
    <w:p w14:paraId="4D910DC6" w14:textId="77777777" w:rsidR="00B756CA" w:rsidRPr="00681618" w:rsidRDefault="00B756CA" w:rsidP="00B756CA">
      <w:pPr>
        <w:pStyle w:val="AuthorsFull"/>
        <w:spacing w:line="360" w:lineRule="auto"/>
        <w:rPr>
          <w:sz w:val="22"/>
          <w:szCs w:val="22"/>
        </w:rPr>
      </w:pPr>
    </w:p>
    <w:p w14:paraId="5DF3D3EB" w14:textId="77777777" w:rsidR="00B756CA" w:rsidRPr="00745532" w:rsidRDefault="00B756CA" w:rsidP="00745532">
      <w:pPr>
        <w:pStyle w:val="Tableofcontents"/>
        <w:rPr>
          <w:b/>
          <w:bCs/>
        </w:rPr>
      </w:pPr>
      <w:r w:rsidRPr="00745532">
        <w:rPr>
          <w:b/>
          <w:bCs/>
        </w:rPr>
        <w:t xml:space="preserve">S1. </w:t>
      </w:r>
      <w:proofErr w:type="spellStart"/>
      <w:r w:rsidRPr="00745532">
        <w:rPr>
          <w:b/>
          <w:bCs/>
        </w:rPr>
        <w:t>TaO</w:t>
      </w:r>
      <w:r w:rsidRPr="00745532">
        <w:rPr>
          <w:b/>
          <w:bCs/>
          <w:vertAlign w:val="subscript"/>
        </w:rPr>
        <w:t>x</w:t>
      </w:r>
      <w:proofErr w:type="spellEnd"/>
      <w:r w:rsidRPr="00745532">
        <w:rPr>
          <w:b/>
          <w:bCs/>
        </w:rPr>
        <w:t xml:space="preserve"> Nanoparticle Characterization</w:t>
      </w:r>
    </w:p>
    <w:p w14:paraId="6E15C000" w14:textId="77777777" w:rsidR="00B756CA" w:rsidRPr="00681618" w:rsidRDefault="00B756CA" w:rsidP="00B756CA">
      <w:pPr>
        <w:pStyle w:val="Head1"/>
        <w:rPr>
          <w:sz w:val="22"/>
          <w:szCs w:val="22"/>
        </w:rPr>
      </w:pPr>
      <w:r w:rsidRPr="00681618">
        <w:rPr>
          <w:sz w:val="22"/>
          <w:szCs w:val="22"/>
        </w:rPr>
        <w:t xml:space="preserve">Hydrophobic </w:t>
      </w:r>
      <w:proofErr w:type="spellStart"/>
      <w:r w:rsidRPr="00681618">
        <w:rPr>
          <w:sz w:val="22"/>
          <w:szCs w:val="22"/>
        </w:rPr>
        <w:t>TaO</w:t>
      </w:r>
      <w:r w:rsidRPr="00681618">
        <w:rPr>
          <w:sz w:val="22"/>
          <w:szCs w:val="22"/>
          <w:vertAlign w:val="subscript"/>
        </w:rPr>
        <w:t>x</w:t>
      </w:r>
      <w:proofErr w:type="spellEnd"/>
      <w:r w:rsidRPr="00681618">
        <w:rPr>
          <w:sz w:val="22"/>
          <w:szCs w:val="22"/>
        </w:rPr>
        <w:t xml:space="preserve"> nanoparticles were manufactured based on our previous procedure with one minor change.</w:t>
      </w:r>
      <w:r w:rsidRPr="00681618">
        <w:rPr>
          <w:sz w:val="22"/>
          <w:szCs w:val="22"/>
          <w:vertAlign w:val="superscript"/>
        </w:rPr>
        <w:t xml:space="preserve">[11] </w:t>
      </w:r>
      <w:r w:rsidRPr="00681618">
        <w:rPr>
          <w:sz w:val="22"/>
          <w:szCs w:val="22"/>
        </w:rPr>
        <w:t xml:space="preserve">Hydrophobicity was imparted by coating nanoparticles with </w:t>
      </w:r>
      <w:proofErr w:type="spellStart"/>
      <w:r w:rsidRPr="00681618">
        <w:rPr>
          <w:sz w:val="22"/>
          <w:szCs w:val="22"/>
        </w:rPr>
        <w:t>hexadecyltriethoxysilane</w:t>
      </w:r>
      <w:proofErr w:type="spellEnd"/>
      <w:r w:rsidRPr="00681618">
        <w:rPr>
          <w:sz w:val="22"/>
          <w:szCs w:val="22"/>
        </w:rPr>
        <w:t xml:space="preserve"> (HDTES, </w:t>
      </w:r>
      <w:proofErr w:type="spellStart"/>
      <w:r w:rsidRPr="00681618">
        <w:rPr>
          <w:sz w:val="22"/>
          <w:szCs w:val="22"/>
        </w:rPr>
        <w:t>Gelest</w:t>
      </w:r>
      <w:proofErr w:type="spellEnd"/>
      <w:r w:rsidRPr="00681618">
        <w:rPr>
          <w:sz w:val="22"/>
          <w:szCs w:val="22"/>
        </w:rPr>
        <w:t xml:space="preserve"> Inc, cat no SIH5922.0). The </w:t>
      </w:r>
      <w:proofErr w:type="spellStart"/>
      <w:r w:rsidRPr="00681618">
        <w:rPr>
          <w:sz w:val="22"/>
          <w:szCs w:val="22"/>
        </w:rPr>
        <w:t>TaO</w:t>
      </w:r>
      <w:r w:rsidRPr="00681618">
        <w:rPr>
          <w:sz w:val="22"/>
          <w:szCs w:val="22"/>
          <w:vertAlign w:val="subscript"/>
        </w:rPr>
        <w:t>x</w:t>
      </w:r>
      <w:proofErr w:type="spellEnd"/>
      <w:r w:rsidRPr="00681618">
        <w:rPr>
          <w:sz w:val="22"/>
          <w:szCs w:val="22"/>
        </w:rPr>
        <w:t xml:space="preserve"> nanoparticles were imaged via transmission electron microscopy, </w:t>
      </w:r>
      <w:r w:rsidRPr="00681618">
        <w:rPr>
          <w:b/>
          <w:bCs w:val="0"/>
          <w:sz w:val="22"/>
          <w:szCs w:val="22"/>
        </w:rPr>
        <w:t>Figure S1</w:t>
      </w:r>
      <w:r w:rsidRPr="00681618">
        <w:rPr>
          <w:sz w:val="22"/>
          <w:szCs w:val="22"/>
        </w:rPr>
        <w:t xml:space="preserve">. They were spherical particles, with a mean diameter of 6.5 ± 3nm when analyzed via Image J. </w:t>
      </w:r>
    </w:p>
    <w:p w14:paraId="5373B3D7" w14:textId="77777777" w:rsidR="00B756CA" w:rsidRPr="00681618" w:rsidRDefault="00B756CA" w:rsidP="00B756CA">
      <w:pPr>
        <w:pStyle w:val="Head1"/>
        <w:rPr>
          <w:sz w:val="22"/>
          <w:szCs w:val="22"/>
        </w:rPr>
      </w:pPr>
    </w:p>
    <w:p w14:paraId="18C7120E" w14:textId="77777777" w:rsidR="00B756CA" w:rsidRPr="00681618" w:rsidRDefault="00B756CA" w:rsidP="00B756CA">
      <w:pPr>
        <w:pStyle w:val="Head1"/>
        <w:rPr>
          <w:color w:val="FF0000"/>
          <w:sz w:val="22"/>
          <w:szCs w:val="22"/>
        </w:rPr>
      </w:pPr>
      <w:r w:rsidRPr="00681618">
        <w:rPr>
          <w:noProof/>
          <w:sz w:val="22"/>
          <w:szCs w:val="22"/>
        </w:rPr>
        <w:drawing>
          <wp:inline distT="0" distB="0" distL="0" distR="0" wp14:anchorId="7CD1BEF0" wp14:editId="1596F5AD">
            <wp:extent cx="5760720" cy="1875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1875790"/>
                    </a:xfrm>
                    <a:prstGeom prst="rect">
                      <a:avLst/>
                    </a:prstGeom>
                    <a:noFill/>
                    <a:ln>
                      <a:noFill/>
                    </a:ln>
                  </pic:spPr>
                </pic:pic>
              </a:graphicData>
            </a:graphic>
          </wp:inline>
        </w:drawing>
      </w:r>
    </w:p>
    <w:p w14:paraId="280C597C" w14:textId="77777777" w:rsidR="00B756CA" w:rsidRPr="00681618" w:rsidRDefault="00B756CA" w:rsidP="00B756CA">
      <w:pPr>
        <w:pStyle w:val="Head1"/>
        <w:rPr>
          <w:sz w:val="22"/>
          <w:szCs w:val="22"/>
        </w:rPr>
      </w:pPr>
      <w:r w:rsidRPr="00681618">
        <w:rPr>
          <w:b/>
          <w:sz w:val="22"/>
          <w:szCs w:val="22"/>
        </w:rPr>
        <w:t>Figure S1</w:t>
      </w:r>
      <w:r w:rsidRPr="00681618">
        <w:rPr>
          <w:sz w:val="22"/>
          <w:szCs w:val="22"/>
        </w:rPr>
        <w:t xml:space="preserve">. Hydrophobic </w:t>
      </w:r>
      <w:proofErr w:type="spellStart"/>
      <w:r w:rsidRPr="00681618">
        <w:rPr>
          <w:sz w:val="22"/>
          <w:szCs w:val="22"/>
        </w:rPr>
        <w:t>TaO</w:t>
      </w:r>
      <w:r w:rsidRPr="00681618">
        <w:rPr>
          <w:sz w:val="22"/>
          <w:szCs w:val="22"/>
          <w:vertAlign w:val="subscript"/>
        </w:rPr>
        <w:t>x</w:t>
      </w:r>
      <w:proofErr w:type="spellEnd"/>
      <w:r w:rsidRPr="00681618">
        <w:rPr>
          <w:sz w:val="22"/>
          <w:szCs w:val="22"/>
        </w:rPr>
        <w:t xml:space="preserve"> nanoparticles visualized via transmission electron microscopy. At all magnifications, the particles show a tight distribution in size (3-9nm). </w:t>
      </w:r>
    </w:p>
    <w:p w14:paraId="1455C256" w14:textId="77777777" w:rsidR="00B756CA" w:rsidRPr="00681618" w:rsidRDefault="00B756CA" w:rsidP="00B756CA">
      <w:pPr>
        <w:pStyle w:val="Head1"/>
        <w:rPr>
          <w:sz w:val="22"/>
          <w:szCs w:val="22"/>
        </w:rPr>
      </w:pPr>
    </w:p>
    <w:p w14:paraId="6AD179D8" w14:textId="2993F012" w:rsidR="00B756CA" w:rsidRPr="00681618" w:rsidRDefault="00B756CA" w:rsidP="00B756CA">
      <w:pPr>
        <w:pStyle w:val="Head1"/>
        <w:rPr>
          <w:sz w:val="22"/>
          <w:szCs w:val="22"/>
        </w:rPr>
      </w:pPr>
      <w:r w:rsidRPr="00681618">
        <w:rPr>
          <w:sz w:val="22"/>
          <w:szCs w:val="22"/>
        </w:rPr>
        <w:t>The mass attenuation coefficient for a phantom of polycaprolactone</w:t>
      </w:r>
      <w:r w:rsidR="008E7F99">
        <w:rPr>
          <w:sz w:val="22"/>
          <w:szCs w:val="22"/>
        </w:rPr>
        <w:t xml:space="preserve"> (PCL)</w:t>
      </w:r>
      <w:r w:rsidRPr="00681618">
        <w:rPr>
          <w:sz w:val="22"/>
          <w:szCs w:val="22"/>
        </w:rPr>
        <w:t xml:space="preserve"> with 20wt% </w:t>
      </w:r>
      <w:proofErr w:type="spellStart"/>
      <w:r w:rsidRPr="00681618">
        <w:rPr>
          <w:sz w:val="22"/>
          <w:szCs w:val="22"/>
        </w:rPr>
        <w:t>TaO</w:t>
      </w:r>
      <w:r w:rsidRPr="00681618">
        <w:rPr>
          <w:sz w:val="22"/>
          <w:szCs w:val="22"/>
          <w:vertAlign w:val="subscript"/>
        </w:rPr>
        <w:t>x</w:t>
      </w:r>
      <w:proofErr w:type="spellEnd"/>
      <w:r w:rsidRPr="00681618">
        <w:rPr>
          <w:sz w:val="22"/>
          <w:szCs w:val="22"/>
        </w:rPr>
        <w:t xml:space="preserve"> nanoparticles was calculated using the NIST FFast Physical Reference Database (nist.gov), </w:t>
      </w:r>
      <w:r w:rsidRPr="00681618">
        <w:rPr>
          <w:b/>
          <w:bCs w:val="0"/>
          <w:sz w:val="22"/>
          <w:szCs w:val="22"/>
        </w:rPr>
        <w:t>Figure S2</w:t>
      </w:r>
      <w:r w:rsidRPr="00681618">
        <w:rPr>
          <w:sz w:val="22"/>
          <w:szCs w:val="22"/>
        </w:rPr>
        <w:t xml:space="preserve">. </w:t>
      </w:r>
      <w:r w:rsidRPr="00681618">
        <w:rPr>
          <w:sz w:val="22"/>
          <w:szCs w:val="22"/>
        </w:rPr>
        <w:lastRenderedPageBreak/>
        <w:t xml:space="preserve">The attenuation coefficient was dominated by the </w:t>
      </w:r>
      <w:proofErr w:type="spellStart"/>
      <w:r w:rsidRPr="00681618">
        <w:rPr>
          <w:sz w:val="22"/>
          <w:szCs w:val="22"/>
        </w:rPr>
        <w:t>TaO</w:t>
      </w:r>
      <w:r w:rsidRPr="00681618">
        <w:rPr>
          <w:sz w:val="22"/>
          <w:szCs w:val="22"/>
          <w:vertAlign w:val="subscript"/>
        </w:rPr>
        <w:t>x</w:t>
      </w:r>
      <w:proofErr w:type="spellEnd"/>
      <w:r w:rsidRPr="00681618">
        <w:rPr>
          <w:sz w:val="22"/>
          <w:szCs w:val="22"/>
        </w:rPr>
        <w:t xml:space="preserve"> present. No difference in the coefficient is expected with different polymer matrices, as all are composed of the same basic </w:t>
      </w:r>
      <w:r w:rsidR="00681618" w:rsidRPr="00681618">
        <w:rPr>
          <w:noProof/>
          <w:sz w:val="22"/>
          <w:szCs w:val="22"/>
        </w:rPr>
        <w:drawing>
          <wp:anchor distT="0" distB="0" distL="114300" distR="114300" simplePos="0" relativeHeight="251659264" behindDoc="0" locked="0" layoutInCell="1" allowOverlap="1" wp14:anchorId="240CEABC" wp14:editId="5A849A7E">
            <wp:simplePos x="0" y="0"/>
            <wp:positionH relativeFrom="margin">
              <wp:align>center</wp:align>
            </wp:positionH>
            <wp:positionV relativeFrom="paragraph">
              <wp:posOffset>445135</wp:posOffset>
            </wp:positionV>
            <wp:extent cx="4019550" cy="24193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9550" cy="2419350"/>
                    </a:xfrm>
                    <a:prstGeom prst="rect">
                      <a:avLst/>
                    </a:prstGeom>
                    <a:noFill/>
                    <a:ln>
                      <a:noFill/>
                    </a:ln>
                  </pic:spPr>
                </pic:pic>
              </a:graphicData>
            </a:graphic>
          </wp:anchor>
        </w:drawing>
      </w:r>
      <w:r w:rsidRPr="00681618">
        <w:rPr>
          <w:sz w:val="22"/>
          <w:szCs w:val="22"/>
        </w:rPr>
        <w:t>elements.</w:t>
      </w:r>
    </w:p>
    <w:p w14:paraId="7DAE5557" w14:textId="4D3EB78E" w:rsidR="00B756CA" w:rsidRPr="00681618" w:rsidRDefault="00B756CA" w:rsidP="00681618">
      <w:pPr>
        <w:pStyle w:val="Head1"/>
        <w:rPr>
          <w:sz w:val="22"/>
          <w:szCs w:val="22"/>
        </w:rPr>
      </w:pPr>
      <w:r w:rsidRPr="00681618">
        <w:rPr>
          <w:b/>
          <w:sz w:val="22"/>
          <w:szCs w:val="22"/>
        </w:rPr>
        <w:t>Figure S2.</w:t>
      </w:r>
      <w:r w:rsidRPr="00681618">
        <w:rPr>
          <w:sz w:val="22"/>
          <w:szCs w:val="22"/>
        </w:rPr>
        <w:t xml:space="preserve"> Mass attenuation coefficient calculated for </w:t>
      </w:r>
      <w:r w:rsidR="008E7F99">
        <w:rPr>
          <w:sz w:val="22"/>
          <w:szCs w:val="22"/>
        </w:rPr>
        <w:t>polycaprolactone (</w:t>
      </w:r>
      <w:r w:rsidRPr="00681618">
        <w:rPr>
          <w:sz w:val="22"/>
          <w:szCs w:val="22"/>
        </w:rPr>
        <w:t>PCL</w:t>
      </w:r>
      <w:r w:rsidR="008E7F99">
        <w:rPr>
          <w:sz w:val="22"/>
          <w:szCs w:val="22"/>
        </w:rPr>
        <w:t xml:space="preserve">) with </w:t>
      </w:r>
      <w:r w:rsidRPr="00681618">
        <w:rPr>
          <w:sz w:val="22"/>
          <w:szCs w:val="22"/>
        </w:rPr>
        <w:t xml:space="preserve">20wt% </w:t>
      </w:r>
      <w:proofErr w:type="spellStart"/>
      <w:r w:rsidRPr="00681618">
        <w:rPr>
          <w:sz w:val="22"/>
          <w:szCs w:val="22"/>
        </w:rPr>
        <w:t>TaO</w:t>
      </w:r>
      <w:r w:rsidRPr="00681618">
        <w:rPr>
          <w:sz w:val="22"/>
          <w:szCs w:val="22"/>
          <w:vertAlign w:val="subscript"/>
        </w:rPr>
        <w:t>x</w:t>
      </w:r>
      <w:proofErr w:type="spellEnd"/>
      <w:r w:rsidRPr="00681618">
        <w:rPr>
          <w:sz w:val="22"/>
          <w:szCs w:val="22"/>
        </w:rPr>
        <w:t xml:space="preserve"> phantom. The coefficient is dominated by the </w:t>
      </w:r>
      <w:proofErr w:type="spellStart"/>
      <w:r w:rsidRPr="00681618">
        <w:rPr>
          <w:sz w:val="22"/>
          <w:szCs w:val="22"/>
        </w:rPr>
        <w:t>TaO</w:t>
      </w:r>
      <w:r w:rsidRPr="00681618">
        <w:rPr>
          <w:sz w:val="22"/>
          <w:szCs w:val="22"/>
          <w:vertAlign w:val="subscript"/>
        </w:rPr>
        <w:t>x</w:t>
      </w:r>
      <w:proofErr w:type="spellEnd"/>
      <w:r w:rsidRPr="00681618">
        <w:rPr>
          <w:sz w:val="22"/>
          <w:szCs w:val="22"/>
        </w:rPr>
        <w:t xml:space="preserve"> nanoparticles within the imaging range.</w:t>
      </w:r>
    </w:p>
    <w:p w14:paraId="48471A87" w14:textId="77777777" w:rsidR="00B756CA" w:rsidRPr="00681618" w:rsidRDefault="00B756CA" w:rsidP="00745532">
      <w:pPr>
        <w:pStyle w:val="Tableofcontents"/>
      </w:pPr>
    </w:p>
    <w:p w14:paraId="7BF88CDB" w14:textId="0FA1ABC3" w:rsidR="00B756CA" w:rsidRPr="00745532" w:rsidRDefault="00B756CA" w:rsidP="00745532">
      <w:pPr>
        <w:pStyle w:val="Tableofcontents"/>
        <w:rPr>
          <w:b/>
          <w:bCs/>
        </w:rPr>
      </w:pPr>
      <w:r w:rsidRPr="00745532">
        <w:rPr>
          <w:b/>
          <w:bCs/>
        </w:rPr>
        <w:t>S.2 Composite Characterization</w:t>
      </w:r>
    </w:p>
    <w:p w14:paraId="0940AF43" w14:textId="1A826854" w:rsidR="00B756CA" w:rsidRPr="00745532" w:rsidRDefault="00B756CA" w:rsidP="00745532">
      <w:pPr>
        <w:pStyle w:val="Tableofcontents"/>
      </w:pPr>
      <w:r w:rsidRPr="00745532">
        <w:t xml:space="preserve">Thermogravimetric analysis (TGA) was used to characterize the weight percentage of </w:t>
      </w:r>
      <w:proofErr w:type="spellStart"/>
      <w:r w:rsidRPr="00745532">
        <w:t>TaO</w:t>
      </w:r>
      <w:r w:rsidRPr="00745532">
        <w:rPr>
          <w:vertAlign w:val="subscript"/>
        </w:rPr>
        <w:t>x</w:t>
      </w:r>
      <w:proofErr w:type="spellEnd"/>
      <w:r w:rsidRPr="00745532">
        <w:t xml:space="preserve"> incorporated into polymeric films and devices. Using a TA Q500 (TA Instruments), 12-14 mg of dry film or device was weighed in an alumina pan. The sample was heated from 20 - 600°C at a rate of 10°C/min under a nitrogen environment. The weight percentage of nanoparticles was calculated as the difference between the initial and final mass. A final mass of &lt; 2wt% was considered indicative of successful removal of sucrose and salt in the washing step.</w:t>
      </w:r>
      <w:r w:rsidR="00681618" w:rsidRPr="00745532">
        <w:t xml:space="preserve"> Results of TGA characterization are presented in Table S1.</w:t>
      </w:r>
    </w:p>
    <w:p w14:paraId="49ED40C2" w14:textId="2120B6A5" w:rsidR="004404C4" w:rsidRPr="00681618" w:rsidRDefault="004404C4">
      <w:pPr>
        <w:rPr>
          <w:rFonts w:ascii="Times New Roman" w:hAnsi="Times New Roman" w:cs="Times New Roman"/>
        </w:rPr>
      </w:pPr>
    </w:p>
    <w:p w14:paraId="014D565F" w14:textId="77777777" w:rsidR="00B756CA" w:rsidRPr="00681618" w:rsidRDefault="00B756CA" w:rsidP="00B756CA">
      <w:pPr>
        <w:pStyle w:val="Head1"/>
        <w:rPr>
          <w:b/>
          <w:bCs w:val="0"/>
          <w:sz w:val="22"/>
          <w:szCs w:val="22"/>
        </w:rPr>
      </w:pPr>
      <w:r w:rsidRPr="00681618">
        <w:rPr>
          <w:b/>
          <w:bCs w:val="0"/>
          <w:sz w:val="22"/>
          <w:szCs w:val="22"/>
        </w:rPr>
        <w:t>S3. Phantom Characterization</w:t>
      </w:r>
    </w:p>
    <w:p w14:paraId="0EF73C87" w14:textId="77777777" w:rsidR="00B756CA" w:rsidRPr="00681618" w:rsidRDefault="00B756CA" w:rsidP="00B756CA">
      <w:pPr>
        <w:spacing w:line="360" w:lineRule="auto"/>
        <w:rPr>
          <w:rFonts w:ascii="Times New Roman" w:hAnsi="Times New Roman" w:cs="Times New Roman"/>
        </w:rPr>
      </w:pPr>
      <w:r w:rsidRPr="00681618">
        <w:rPr>
          <w:rFonts w:ascii="Times New Roman" w:hAnsi="Times New Roman" w:cs="Times New Roman"/>
        </w:rPr>
        <w:t xml:space="preserve">Pore size was analyzed from cross-sections of the phantoms, obtained via micro-computed tomography (µCT). All tomography images were obtained using a </w:t>
      </w:r>
      <w:proofErr w:type="gramStart"/>
      <w:r w:rsidRPr="00681618">
        <w:rPr>
          <w:rFonts w:ascii="Times New Roman" w:hAnsi="Times New Roman" w:cs="Times New Roman"/>
        </w:rPr>
        <w:t>Perkin-Elmer Quantum</w:t>
      </w:r>
      <w:proofErr w:type="gramEnd"/>
      <w:r w:rsidRPr="00681618">
        <w:rPr>
          <w:rFonts w:ascii="Times New Roman" w:hAnsi="Times New Roman" w:cs="Times New Roman"/>
        </w:rPr>
        <w:t xml:space="preserve"> GX. Groups of three phantoms were imaged in air, at 90 keV, 88 µA, with a 25 mm field of view at a 50 µm resolution. </w:t>
      </w:r>
    </w:p>
    <w:p w14:paraId="3DD9BB7F" w14:textId="51B9CF77" w:rsidR="00B756CA" w:rsidRPr="00681618" w:rsidRDefault="00B756CA" w:rsidP="00B756CA">
      <w:pPr>
        <w:spacing w:line="360" w:lineRule="auto"/>
        <w:rPr>
          <w:rFonts w:ascii="Times New Roman" w:hAnsi="Times New Roman" w:cs="Times New Roman"/>
        </w:rPr>
      </w:pPr>
      <w:r w:rsidRPr="00681618">
        <w:rPr>
          <w:rFonts w:ascii="Times New Roman" w:hAnsi="Times New Roman" w:cs="Times New Roman"/>
        </w:rPr>
        <w:t xml:space="preserve">To ensure the same process was applied to all percentages of </w:t>
      </w:r>
      <w:proofErr w:type="spellStart"/>
      <w:r w:rsidRPr="00681618">
        <w:rPr>
          <w:rFonts w:ascii="Times New Roman" w:hAnsi="Times New Roman" w:cs="Times New Roman"/>
        </w:rPr>
        <w:t>TaO</w:t>
      </w:r>
      <w:r w:rsidRPr="00681618">
        <w:rPr>
          <w:rFonts w:ascii="Times New Roman" w:hAnsi="Times New Roman" w:cs="Times New Roman"/>
          <w:vertAlign w:val="subscript"/>
        </w:rPr>
        <w:t>x</w:t>
      </w:r>
      <w:proofErr w:type="spellEnd"/>
      <w:r w:rsidRPr="00681618">
        <w:rPr>
          <w:rFonts w:ascii="Times New Roman" w:hAnsi="Times New Roman" w:cs="Times New Roman"/>
        </w:rPr>
        <w:t xml:space="preserve"> incorporation, Image J was used. Cross-sections (3 per phantom) were binarized using Weka trainable Segmentation (a built-in Plug-in). The binary images were then prepared for quantification via processing tools built into Image J: “</w:t>
      </w:r>
      <w:proofErr w:type="spellStart"/>
      <w:r w:rsidRPr="00681618">
        <w:rPr>
          <w:rFonts w:ascii="Times New Roman" w:hAnsi="Times New Roman" w:cs="Times New Roman"/>
        </w:rPr>
        <w:t>despeckle</w:t>
      </w:r>
      <w:proofErr w:type="spellEnd"/>
      <w:r w:rsidRPr="00681618">
        <w:rPr>
          <w:rFonts w:ascii="Times New Roman" w:hAnsi="Times New Roman" w:cs="Times New Roman"/>
        </w:rPr>
        <w:t xml:space="preserve">” was applied to reduce noise, followed by the application of a watershed to close interconnected pores. The size of the segmented pores was then quantified by their corresponding Feret’s diameter. The mean and median of pores sizes for each group is reported in </w:t>
      </w:r>
      <w:r w:rsidR="00681618" w:rsidRPr="00681618">
        <w:rPr>
          <w:rFonts w:ascii="Times New Roman" w:hAnsi="Times New Roman" w:cs="Times New Roman"/>
          <w:b/>
          <w:bCs/>
        </w:rPr>
        <w:t>Table S1</w:t>
      </w:r>
      <w:r w:rsidRPr="00681618">
        <w:rPr>
          <w:rFonts w:ascii="Times New Roman" w:hAnsi="Times New Roman" w:cs="Times New Roman"/>
        </w:rPr>
        <w:t xml:space="preserve"> (n=3 scaffolds per group). No statistical differences in the mean pore size were found. </w:t>
      </w:r>
      <w:bookmarkStart w:id="0" w:name="_Hlk126760904"/>
      <w:r w:rsidRPr="00681618">
        <w:rPr>
          <w:rFonts w:ascii="Times New Roman" w:hAnsi="Times New Roman" w:cs="Times New Roman"/>
        </w:rPr>
        <w:t xml:space="preserve">Variability in the mean pore size </w:t>
      </w:r>
      <w:r w:rsidRPr="00681618">
        <w:rPr>
          <w:rFonts w:ascii="Times New Roman" w:hAnsi="Times New Roman" w:cs="Times New Roman"/>
        </w:rPr>
        <w:lastRenderedPageBreak/>
        <w:t xml:space="preserve">measured was higher with lower </w:t>
      </w:r>
      <w:r w:rsidR="00681618" w:rsidRPr="00681618">
        <w:rPr>
          <w:rFonts w:ascii="Times New Roman" w:hAnsi="Times New Roman" w:cs="Times New Roman"/>
        </w:rPr>
        <w:t xml:space="preserve">incorporation of </w:t>
      </w:r>
      <w:proofErr w:type="spellStart"/>
      <w:r w:rsidR="00681618" w:rsidRPr="00681618">
        <w:rPr>
          <w:rFonts w:ascii="Times New Roman" w:hAnsi="Times New Roman" w:cs="Times New Roman"/>
        </w:rPr>
        <w:t>TaO</w:t>
      </w:r>
      <w:r w:rsidR="00681618" w:rsidRPr="00681618">
        <w:rPr>
          <w:rFonts w:ascii="Times New Roman" w:hAnsi="Times New Roman" w:cs="Times New Roman"/>
          <w:vertAlign w:val="subscript"/>
        </w:rPr>
        <w:t>x</w:t>
      </w:r>
      <w:proofErr w:type="spellEnd"/>
      <w:r w:rsidR="00681618" w:rsidRPr="00681618">
        <w:rPr>
          <w:rFonts w:ascii="Times New Roman" w:hAnsi="Times New Roman" w:cs="Times New Roman"/>
        </w:rPr>
        <w:t xml:space="preserve"> (≤ 5wt%), attributed to greater error in the segmentation procedure. Electron microscopy images taken of cross-sections of the porous phantoms confirmed a uniform porous morphology, </w:t>
      </w:r>
      <w:r w:rsidR="00681618" w:rsidRPr="00681618">
        <w:rPr>
          <w:rFonts w:ascii="Times New Roman" w:hAnsi="Times New Roman" w:cs="Times New Roman"/>
          <w:b/>
          <w:bCs/>
        </w:rPr>
        <w:t>Figure S</w:t>
      </w:r>
      <w:r w:rsidR="00681618">
        <w:rPr>
          <w:rFonts w:ascii="Times New Roman" w:hAnsi="Times New Roman" w:cs="Times New Roman"/>
          <w:b/>
          <w:bCs/>
        </w:rPr>
        <w:t>3</w:t>
      </w:r>
      <w:r w:rsidR="00681618" w:rsidRPr="00681618">
        <w:rPr>
          <w:rFonts w:ascii="Times New Roman" w:hAnsi="Times New Roman" w:cs="Times New Roman"/>
        </w:rPr>
        <w:t>.</w:t>
      </w:r>
    </w:p>
    <w:p w14:paraId="31194216" w14:textId="691D0E43" w:rsidR="00681618" w:rsidRPr="00681618" w:rsidRDefault="00681618" w:rsidP="00681618">
      <w:pPr>
        <w:spacing w:after="0" w:line="360" w:lineRule="auto"/>
        <w:jc w:val="center"/>
        <w:rPr>
          <w:rFonts w:ascii="Times New Roman" w:hAnsi="Times New Roman" w:cs="Times New Roman"/>
          <w:b/>
          <w:bCs/>
        </w:rPr>
      </w:pPr>
      <w:r w:rsidRPr="00681618">
        <w:rPr>
          <w:rFonts w:ascii="Times New Roman" w:hAnsi="Times New Roman" w:cs="Times New Roman"/>
          <w:b/>
          <w:bCs/>
        </w:rPr>
        <w:t>Table S1. Phantom features with varying composition (mean ± standard deviation)</w:t>
      </w:r>
    </w:p>
    <w:p w14:paraId="4B6B6153" w14:textId="1EADD2FC" w:rsidR="00681618" w:rsidRPr="00681618" w:rsidRDefault="00681618" w:rsidP="00B756CA">
      <w:pPr>
        <w:spacing w:line="360" w:lineRule="auto"/>
        <w:rPr>
          <w:rFonts w:ascii="Times New Roman" w:hAnsi="Times New Roman" w:cs="Times New Roman"/>
        </w:rPr>
      </w:pPr>
      <w:r w:rsidRPr="00681618">
        <w:rPr>
          <w:rFonts w:ascii="Times New Roman" w:hAnsi="Times New Roman" w:cs="Times New Roman"/>
          <w:noProof/>
        </w:rPr>
        <w:drawing>
          <wp:anchor distT="0" distB="0" distL="114300" distR="114300" simplePos="0" relativeHeight="251660288" behindDoc="0" locked="0" layoutInCell="1" allowOverlap="1" wp14:anchorId="3489603E" wp14:editId="7C8414D9">
            <wp:simplePos x="0" y="0"/>
            <wp:positionH relativeFrom="margin">
              <wp:align>center</wp:align>
            </wp:positionH>
            <wp:positionV relativeFrom="paragraph">
              <wp:posOffset>1905</wp:posOffset>
            </wp:positionV>
            <wp:extent cx="4705350" cy="1741170"/>
            <wp:effectExtent l="0" t="0" r="0" b="0"/>
            <wp:wrapTopAndBottom/>
            <wp:docPr id="353375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5350" cy="1741170"/>
                    </a:xfrm>
                    <a:prstGeom prst="rect">
                      <a:avLst/>
                    </a:prstGeom>
                    <a:noFill/>
                  </pic:spPr>
                </pic:pic>
              </a:graphicData>
            </a:graphic>
          </wp:anchor>
        </w:drawing>
      </w:r>
    </w:p>
    <w:bookmarkEnd w:id="0"/>
    <w:p w14:paraId="6E81F375" w14:textId="4E97AAAF" w:rsidR="00B756CA" w:rsidRDefault="00E615B1" w:rsidP="00681618">
      <w:pPr>
        <w:pStyle w:val="Head1"/>
        <w:spacing w:line="240" w:lineRule="auto"/>
      </w:pPr>
      <w:r w:rsidRPr="00681618">
        <w:rPr>
          <w:noProof/>
          <w:sz w:val="22"/>
          <w:szCs w:val="22"/>
        </w:rPr>
        <w:drawing>
          <wp:anchor distT="0" distB="0" distL="114300" distR="114300" simplePos="0" relativeHeight="251661312" behindDoc="0" locked="0" layoutInCell="1" allowOverlap="1" wp14:anchorId="4C0BD0C8" wp14:editId="461DC3EA">
            <wp:simplePos x="0" y="0"/>
            <wp:positionH relativeFrom="margin">
              <wp:align>center</wp:align>
            </wp:positionH>
            <wp:positionV relativeFrom="paragraph">
              <wp:posOffset>1905</wp:posOffset>
            </wp:positionV>
            <wp:extent cx="4438650" cy="4106660"/>
            <wp:effectExtent l="0" t="0" r="0" b="8255"/>
            <wp:wrapTopAndBottom/>
            <wp:docPr id="119690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8650" cy="4106660"/>
                    </a:xfrm>
                    <a:prstGeom prst="rect">
                      <a:avLst/>
                    </a:prstGeom>
                    <a:noFill/>
                  </pic:spPr>
                </pic:pic>
              </a:graphicData>
            </a:graphic>
          </wp:anchor>
        </w:drawing>
      </w:r>
      <w:r w:rsidR="00B756CA" w:rsidRPr="00681618">
        <w:rPr>
          <w:b/>
          <w:sz w:val="22"/>
          <w:szCs w:val="22"/>
        </w:rPr>
        <w:t>Figure S</w:t>
      </w:r>
      <w:r w:rsidR="00681618">
        <w:rPr>
          <w:b/>
          <w:sz w:val="22"/>
          <w:szCs w:val="22"/>
        </w:rPr>
        <w:t>3</w:t>
      </w:r>
      <w:r w:rsidR="00B756CA" w:rsidRPr="00681618">
        <w:rPr>
          <w:b/>
          <w:sz w:val="22"/>
          <w:szCs w:val="22"/>
        </w:rPr>
        <w:t>.</w:t>
      </w:r>
      <w:r w:rsidR="00B756CA" w:rsidRPr="00681618">
        <w:rPr>
          <w:sz w:val="22"/>
          <w:szCs w:val="22"/>
        </w:rPr>
        <w:t xml:space="preserve"> Phantom morphology did not change with addition of </w:t>
      </w:r>
      <w:proofErr w:type="spellStart"/>
      <w:r w:rsidR="00B756CA" w:rsidRPr="00681618">
        <w:rPr>
          <w:sz w:val="22"/>
          <w:szCs w:val="22"/>
        </w:rPr>
        <w:t>TaO</w:t>
      </w:r>
      <w:r w:rsidR="00B756CA" w:rsidRPr="00681618">
        <w:rPr>
          <w:sz w:val="22"/>
          <w:szCs w:val="22"/>
          <w:vertAlign w:val="subscript"/>
        </w:rPr>
        <w:t>x</w:t>
      </w:r>
      <w:proofErr w:type="spellEnd"/>
      <w:r w:rsidR="00B756CA" w:rsidRPr="00681618">
        <w:rPr>
          <w:sz w:val="22"/>
          <w:szCs w:val="22"/>
        </w:rPr>
        <w:t xml:space="preserve"> nanoparticles up to </w:t>
      </w:r>
      <w:r w:rsidRPr="00681618">
        <w:rPr>
          <w:sz w:val="22"/>
          <w:szCs w:val="22"/>
        </w:rPr>
        <w:t>2</w:t>
      </w:r>
      <w:r w:rsidR="00B756CA" w:rsidRPr="00681618">
        <w:rPr>
          <w:sz w:val="22"/>
          <w:szCs w:val="22"/>
        </w:rPr>
        <w:t>0wt%, as observed in scanning electron microscopy (SEM): (a-</w:t>
      </w:r>
      <w:r w:rsidRPr="00681618">
        <w:rPr>
          <w:sz w:val="22"/>
          <w:szCs w:val="22"/>
        </w:rPr>
        <w:t>c</w:t>
      </w:r>
      <w:r w:rsidR="00B756CA" w:rsidRPr="00681618">
        <w:rPr>
          <w:sz w:val="22"/>
          <w:szCs w:val="22"/>
        </w:rPr>
        <w:t>) PLGA 85:15, (</w:t>
      </w:r>
      <w:r w:rsidRPr="00681618">
        <w:rPr>
          <w:sz w:val="22"/>
          <w:szCs w:val="22"/>
        </w:rPr>
        <w:t>d</w:t>
      </w:r>
      <w:r w:rsidR="00B756CA" w:rsidRPr="00681618">
        <w:rPr>
          <w:sz w:val="22"/>
          <w:szCs w:val="22"/>
        </w:rPr>
        <w:t>-</w:t>
      </w:r>
      <w:r w:rsidRPr="00681618">
        <w:rPr>
          <w:sz w:val="22"/>
          <w:szCs w:val="22"/>
        </w:rPr>
        <w:t>f</w:t>
      </w:r>
      <w:r w:rsidR="00B756CA" w:rsidRPr="00681618">
        <w:rPr>
          <w:sz w:val="22"/>
          <w:szCs w:val="22"/>
        </w:rPr>
        <w:t>) PLGA 50:50, (</w:t>
      </w:r>
      <w:r w:rsidRPr="00681618">
        <w:rPr>
          <w:sz w:val="22"/>
          <w:szCs w:val="22"/>
        </w:rPr>
        <w:t>g</w:t>
      </w:r>
      <w:r w:rsidR="00B756CA" w:rsidRPr="00681618">
        <w:rPr>
          <w:sz w:val="22"/>
          <w:szCs w:val="22"/>
        </w:rPr>
        <w:t>-</w:t>
      </w:r>
      <w:proofErr w:type="spellStart"/>
      <w:r w:rsidRPr="00681618">
        <w:rPr>
          <w:sz w:val="22"/>
          <w:szCs w:val="22"/>
        </w:rPr>
        <w:t>i</w:t>
      </w:r>
      <w:proofErr w:type="spellEnd"/>
      <w:r w:rsidR="00B756CA" w:rsidRPr="00681618">
        <w:rPr>
          <w:sz w:val="22"/>
          <w:szCs w:val="22"/>
        </w:rPr>
        <w:t xml:space="preserve">) PCL with (a, </w:t>
      </w:r>
      <w:r w:rsidRPr="00681618">
        <w:rPr>
          <w:sz w:val="22"/>
          <w:szCs w:val="22"/>
        </w:rPr>
        <w:t>d</w:t>
      </w:r>
      <w:r w:rsidR="00B756CA" w:rsidRPr="00681618">
        <w:rPr>
          <w:sz w:val="22"/>
          <w:szCs w:val="22"/>
        </w:rPr>
        <w:t xml:space="preserve">, </w:t>
      </w:r>
      <w:r w:rsidRPr="00681618">
        <w:rPr>
          <w:sz w:val="22"/>
          <w:szCs w:val="22"/>
        </w:rPr>
        <w:t>g</w:t>
      </w:r>
      <w:r w:rsidR="00B756CA" w:rsidRPr="00681618">
        <w:rPr>
          <w:sz w:val="22"/>
          <w:szCs w:val="22"/>
        </w:rPr>
        <w:t xml:space="preserve">) 0wt% </w:t>
      </w:r>
      <w:proofErr w:type="spellStart"/>
      <w:r w:rsidR="00B756CA" w:rsidRPr="00681618">
        <w:rPr>
          <w:sz w:val="22"/>
          <w:szCs w:val="22"/>
        </w:rPr>
        <w:t>TaO</w:t>
      </w:r>
      <w:r w:rsidR="00B756CA" w:rsidRPr="00681618">
        <w:rPr>
          <w:sz w:val="22"/>
          <w:szCs w:val="22"/>
          <w:vertAlign w:val="subscript"/>
        </w:rPr>
        <w:t>x</w:t>
      </w:r>
      <w:proofErr w:type="spellEnd"/>
      <w:r w:rsidR="00B756CA" w:rsidRPr="00681618">
        <w:rPr>
          <w:sz w:val="22"/>
          <w:szCs w:val="22"/>
        </w:rPr>
        <w:t xml:space="preserve">, (b, </w:t>
      </w:r>
      <w:r w:rsidRPr="00681618">
        <w:rPr>
          <w:sz w:val="22"/>
          <w:szCs w:val="22"/>
        </w:rPr>
        <w:t>e</w:t>
      </w:r>
      <w:r w:rsidR="00B756CA" w:rsidRPr="00681618">
        <w:rPr>
          <w:sz w:val="22"/>
          <w:szCs w:val="22"/>
        </w:rPr>
        <w:t>,</w:t>
      </w:r>
      <w:r w:rsidRPr="00681618">
        <w:rPr>
          <w:sz w:val="22"/>
          <w:szCs w:val="22"/>
        </w:rPr>
        <w:t xml:space="preserve"> h</w:t>
      </w:r>
      <w:r w:rsidR="00B756CA" w:rsidRPr="00681618">
        <w:rPr>
          <w:sz w:val="22"/>
          <w:szCs w:val="22"/>
        </w:rPr>
        <w:t xml:space="preserve">) 5wt% </w:t>
      </w:r>
      <w:proofErr w:type="spellStart"/>
      <w:r w:rsidR="00B756CA" w:rsidRPr="00681618">
        <w:rPr>
          <w:sz w:val="22"/>
          <w:szCs w:val="22"/>
        </w:rPr>
        <w:t>TaO</w:t>
      </w:r>
      <w:r w:rsidR="00B756CA" w:rsidRPr="00681618">
        <w:rPr>
          <w:sz w:val="22"/>
          <w:szCs w:val="22"/>
          <w:vertAlign w:val="subscript"/>
        </w:rPr>
        <w:t>x</w:t>
      </w:r>
      <w:proofErr w:type="spellEnd"/>
      <w:r w:rsidR="00B756CA" w:rsidRPr="00681618">
        <w:rPr>
          <w:sz w:val="22"/>
          <w:szCs w:val="22"/>
        </w:rPr>
        <w:t xml:space="preserve">, </w:t>
      </w:r>
      <w:r w:rsidRPr="00681618">
        <w:rPr>
          <w:sz w:val="22"/>
          <w:szCs w:val="22"/>
        </w:rPr>
        <w:t xml:space="preserve">and </w:t>
      </w:r>
      <w:r w:rsidR="00B756CA" w:rsidRPr="00681618">
        <w:rPr>
          <w:sz w:val="22"/>
          <w:szCs w:val="22"/>
        </w:rPr>
        <w:t xml:space="preserve">(c, </w:t>
      </w:r>
      <w:r w:rsidRPr="00681618">
        <w:rPr>
          <w:sz w:val="22"/>
          <w:szCs w:val="22"/>
        </w:rPr>
        <w:t>f</w:t>
      </w:r>
      <w:r w:rsidR="00B756CA" w:rsidRPr="00681618">
        <w:rPr>
          <w:sz w:val="22"/>
          <w:szCs w:val="22"/>
        </w:rPr>
        <w:t xml:space="preserve">, </w:t>
      </w:r>
      <w:proofErr w:type="spellStart"/>
      <w:r w:rsidRPr="00681618">
        <w:rPr>
          <w:sz w:val="22"/>
          <w:szCs w:val="22"/>
        </w:rPr>
        <w:t>i</w:t>
      </w:r>
      <w:proofErr w:type="spellEnd"/>
      <w:r w:rsidR="00B756CA" w:rsidRPr="00681618">
        <w:rPr>
          <w:sz w:val="22"/>
          <w:szCs w:val="22"/>
        </w:rPr>
        <w:t xml:space="preserve">) 20wt% </w:t>
      </w:r>
      <w:proofErr w:type="spellStart"/>
      <w:r w:rsidR="00B756CA" w:rsidRPr="00681618">
        <w:rPr>
          <w:sz w:val="22"/>
          <w:szCs w:val="22"/>
        </w:rPr>
        <w:t>TaO</w:t>
      </w:r>
      <w:r w:rsidR="00B756CA" w:rsidRPr="00681618">
        <w:rPr>
          <w:sz w:val="22"/>
          <w:szCs w:val="22"/>
          <w:vertAlign w:val="subscript"/>
        </w:rPr>
        <w:t>x</w:t>
      </w:r>
      <w:proofErr w:type="spellEnd"/>
      <w:r w:rsidR="00B756CA" w:rsidRPr="00681618">
        <w:rPr>
          <w:sz w:val="22"/>
          <w:szCs w:val="22"/>
        </w:rPr>
        <w:t>. All have macropores (&gt;200µm) with microporous walls, seen more clearly at high magnification (</w:t>
      </w:r>
      <w:r w:rsidR="00681618" w:rsidRPr="00681618">
        <w:rPr>
          <w:sz w:val="22"/>
          <w:szCs w:val="22"/>
        </w:rPr>
        <w:t>g</w:t>
      </w:r>
      <w:r w:rsidR="00B756CA" w:rsidRPr="00681618">
        <w:rPr>
          <w:sz w:val="22"/>
          <w:szCs w:val="22"/>
        </w:rPr>
        <w:t>2-</w:t>
      </w:r>
      <w:r w:rsidR="00681618" w:rsidRPr="00681618">
        <w:rPr>
          <w:sz w:val="22"/>
          <w:szCs w:val="22"/>
        </w:rPr>
        <w:t>i</w:t>
      </w:r>
      <w:r w:rsidR="00B756CA" w:rsidRPr="00681618">
        <w:rPr>
          <w:sz w:val="22"/>
          <w:szCs w:val="22"/>
        </w:rPr>
        <w:t>2). Scale bar (a-</w:t>
      </w:r>
      <w:r w:rsidR="00681618" w:rsidRPr="00681618">
        <w:rPr>
          <w:sz w:val="22"/>
          <w:szCs w:val="22"/>
        </w:rPr>
        <w:t>f</w:t>
      </w:r>
      <w:r w:rsidR="00B756CA" w:rsidRPr="00681618">
        <w:rPr>
          <w:sz w:val="22"/>
          <w:szCs w:val="22"/>
        </w:rPr>
        <w:t xml:space="preserve">, </w:t>
      </w:r>
      <w:r w:rsidR="00681618" w:rsidRPr="00681618">
        <w:rPr>
          <w:sz w:val="22"/>
          <w:szCs w:val="22"/>
        </w:rPr>
        <w:t>g</w:t>
      </w:r>
      <w:r w:rsidR="00B756CA" w:rsidRPr="00681618">
        <w:rPr>
          <w:sz w:val="22"/>
          <w:szCs w:val="22"/>
        </w:rPr>
        <w:t>1-</w:t>
      </w:r>
      <w:r w:rsidR="00681618" w:rsidRPr="00681618">
        <w:rPr>
          <w:sz w:val="22"/>
          <w:szCs w:val="22"/>
        </w:rPr>
        <w:t>i</w:t>
      </w:r>
      <w:r w:rsidR="00B756CA" w:rsidRPr="00681618">
        <w:rPr>
          <w:sz w:val="22"/>
          <w:szCs w:val="22"/>
        </w:rPr>
        <w:t>1): 100µm, (</w:t>
      </w:r>
      <w:r w:rsidR="00681618" w:rsidRPr="00681618">
        <w:rPr>
          <w:sz w:val="22"/>
          <w:szCs w:val="22"/>
        </w:rPr>
        <w:t>g</w:t>
      </w:r>
      <w:r w:rsidR="00B756CA" w:rsidRPr="00681618">
        <w:rPr>
          <w:sz w:val="22"/>
          <w:szCs w:val="22"/>
        </w:rPr>
        <w:t>2-</w:t>
      </w:r>
      <w:r w:rsidR="00681618" w:rsidRPr="00681618">
        <w:rPr>
          <w:sz w:val="22"/>
          <w:szCs w:val="22"/>
        </w:rPr>
        <w:t>i</w:t>
      </w:r>
      <w:r w:rsidR="00B756CA" w:rsidRPr="00681618">
        <w:rPr>
          <w:sz w:val="22"/>
          <w:szCs w:val="22"/>
        </w:rPr>
        <w:t>2): 20µm.</w:t>
      </w:r>
    </w:p>
    <w:p w14:paraId="78D2E10F" w14:textId="6AFC2AA4" w:rsidR="000003A5" w:rsidRPr="00681618" w:rsidRDefault="000003A5" w:rsidP="000003A5">
      <w:pPr>
        <w:rPr>
          <w:rFonts w:ascii="Times New Roman" w:hAnsi="Times New Roman" w:cs="Times New Roman"/>
          <w:b/>
          <w:bCs/>
        </w:rPr>
      </w:pPr>
      <w:r w:rsidRPr="00681618">
        <w:rPr>
          <w:rFonts w:ascii="Times New Roman" w:hAnsi="Times New Roman" w:cs="Times New Roman"/>
          <w:b/>
          <w:bCs/>
        </w:rPr>
        <w:lastRenderedPageBreak/>
        <w:t>S.</w:t>
      </w:r>
      <w:r w:rsidR="00681618">
        <w:rPr>
          <w:rFonts w:ascii="Times New Roman" w:hAnsi="Times New Roman" w:cs="Times New Roman"/>
          <w:b/>
          <w:bCs/>
        </w:rPr>
        <w:t>4</w:t>
      </w:r>
      <w:r w:rsidRPr="00681618">
        <w:rPr>
          <w:rFonts w:ascii="Times New Roman" w:hAnsi="Times New Roman" w:cs="Times New Roman"/>
          <w:b/>
          <w:bCs/>
        </w:rPr>
        <w:t xml:space="preserve"> Tissue Pathology</w:t>
      </w:r>
    </w:p>
    <w:p w14:paraId="4D110305" w14:textId="3178A5CC" w:rsidR="000003A5" w:rsidRDefault="000003A5" w:rsidP="000003A5">
      <w:pPr>
        <w:spacing w:line="360" w:lineRule="auto"/>
        <w:rPr>
          <w:rFonts w:ascii="Times New Roman" w:hAnsi="Times New Roman" w:cs="Times New Roman"/>
        </w:rPr>
      </w:pPr>
      <w:r w:rsidRPr="00681618">
        <w:rPr>
          <w:rFonts w:ascii="Times New Roman" w:hAnsi="Times New Roman" w:cs="Times New Roman"/>
        </w:rPr>
        <w:t xml:space="preserve">Tissue samples of the heart, brain, kidney, liver, and spleen were also collected post-euthanasia for histopathological hematoxylin and eosin (H&amp;E) staining to investigate for signs of adverse systemic reactions to either the radiation exposure from CT scanning or the presence of nanoparticles. No signs of pathology were detected due to the devices or nanoparticles. A representative panel of tissues is presented in </w:t>
      </w:r>
      <w:r w:rsidRPr="00681618">
        <w:rPr>
          <w:rFonts w:ascii="Times New Roman" w:hAnsi="Times New Roman" w:cs="Times New Roman"/>
          <w:b/>
          <w:bCs/>
        </w:rPr>
        <w:t>Figure S</w:t>
      </w:r>
      <w:r w:rsidR="00681618">
        <w:rPr>
          <w:rFonts w:ascii="Times New Roman" w:hAnsi="Times New Roman" w:cs="Times New Roman"/>
          <w:b/>
          <w:bCs/>
        </w:rPr>
        <w:t>4</w:t>
      </w:r>
      <w:r w:rsidRPr="00681618">
        <w:rPr>
          <w:rFonts w:ascii="Times New Roman" w:hAnsi="Times New Roman" w:cs="Times New Roman"/>
        </w:rPr>
        <w:t>.</w:t>
      </w:r>
    </w:p>
    <w:p w14:paraId="07FD995D" w14:textId="5D35D9D0" w:rsidR="00681618" w:rsidRDefault="00370316" w:rsidP="000003A5">
      <w:pPr>
        <w:spacing w:line="360" w:lineRule="auto"/>
        <w:rPr>
          <w:rFonts w:ascii="Times New Roman" w:hAnsi="Times New Roman" w:cs="Times New Roman"/>
        </w:rPr>
      </w:pPr>
      <w:r>
        <w:rPr>
          <w:rFonts w:ascii="Times New Roman" w:hAnsi="Times New Roman" w:cs="Times New Roman"/>
        </w:rPr>
        <w:t>Representative histological sections around the implanted phantoms were stained with H&amp;E at 20 weeks post-implantation. These were examined for measures of inflammation, fibrosis</w:t>
      </w:r>
      <w:r w:rsidR="008E7F99">
        <w:rPr>
          <w:rFonts w:ascii="Times New Roman" w:hAnsi="Times New Roman" w:cs="Times New Roman"/>
        </w:rPr>
        <w:t>,</w:t>
      </w:r>
      <w:r>
        <w:rPr>
          <w:rFonts w:ascii="Times New Roman" w:hAnsi="Times New Roman" w:cs="Times New Roman"/>
        </w:rPr>
        <w:t xml:space="preserve"> and mineralization by a certified tissue pathologist. Inflammation at the site was characterized by granulomatous cellulitis</w:t>
      </w:r>
      <w:r w:rsidR="008E7F99">
        <w:rPr>
          <w:rFonts w:ascii="Times New Roman" w:hAnsi="Times New Roman" w:cs="Times New Roman"/>
        </w:rPr>
        <w:t>. The presence of phantoms increased inflammatory reactions at both implantation sites, with the most sustained reactions occurring around PCL phantoms.</w:t>
      </w:r>
    </w:p>
    <w:p w14:paraId="62B163FB" w14:textId="77777777" w:rsidR="004432DD" w:rsidRPr="00681618" w:rsidRDefault="004432DD" w:rsidP="000003A5">
      <w:pPr>
        <w:spacing w:line="360" w:lineRule="auto"/>
        <w:rPr>
          <w:rFonts w:ascii="Times New Roman" w:hAnsi="Times New Roman" w:cs="Times New Roman"/>
        </w:rPr>
      </w:pPr>
    </w:p>
    <w:p w14:paraId="43AC5FB4" w14:textId="769D6AF7" w:rsidR="000003A5" w:rsidRPr="00681618" w:rsidRDefault="00681618" w:rsidP="000003A5">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29669788" wp14:editId="26F14826">
            <wp:simplePos x="0" y="0"/>
            <wp:positionH relativeFrom="column">
              <wp:posOffset>0</wp:posOffset>
            </wp:positionH>
            <wp:positionV relativeFrom="paragraph">
              <wp:posOffset>-3810</wp:posOffset>
            </wp:positionV>
            <wp:extent cx="5486400" cy="3629225"/>
            <wp:effectExtent l="0" t="0" r="0" b="9525"/>
            <wp:wrapTight wrapText="bothSides">
              <wp:wrapPolygon edited="0">
                <wp:start x="75" y="0"/>
                <wp:lineTo x="75" y="21543"/>
                <wp:lineTo x="14550" y="21543"/>
                <wp:lineTo x="14550" y="10998"/>
                <wp:lineTo x="21525" y="10885"/>
                <wp:lineTo x="21525" y="0"/>
                <wp:lineTo x="75" y="0"/>
              </wp:wrapPolygon>
            </wp:wrapTight>
            <wp:docPr id="1863141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29225"/>
                    </a:xfrm>
                    <a:prstGeom prst="rect">
                      <a:avLst/>
                    </a:prstGeom>
                    <a:noFill/>
                  </pic:spPr>
                </pic:pic>
              </a:graphicData>
            </a:graphic>
            <wp14:sizeRelH relativeFrom="page">
              <wp14:pctWidth>0</wp14:pctWidth>
            </wp14:sizeRelH>
            <wp14:sizeRelV relativeFrom="page">
              <wp14:pctHeight>0</wp14:pctHeight>
            </wp14:sizeRelV>
          </wp:anchor>
        </w:drawing>
      </w:r>
    </w:p>
    <w:p w14:paraId="46E04419" w14:textId="63CF151C" w:rsidR="000003A5" w:rsidRPr="00681618" w:rsidRDefault="000003A5" w:rsidP="000003A5">
      <w:pPr>
        <w:spacing w:after="0" w:line="360" w:lineRule="auto"/>
        <w:rPr>
          <w:rFonts w:ascii="Times New Roman" w:hAnsi="Times New Roman" w:cs="Times New Roman"/>
        </w:rPr>
      </w:pPr>
    </w:p>
    <w:p w14:paraId="24A14667" w14:textId="02409058" w:rsidR="000003A5" w:rsidRPr="00681618" w:rsidRDefault="000003A5" w:rsidP="000003A5">
      <w:pPr>
        <w:spacing w:line="240" w:lineRule="auto"/>
        <w:rPr>
          <w:rFonts w:ascii="Times New Roman" w:hAnsi="Times New Roman" w:cs="Times New Roman"/>
        </w:rPr>
      </w:pPr>
      <w:r w:rsidRPr="00681618">
        <w:rPr>
          <w:rFonts w:ascii="Times New Roman" w:hAnsi="Times New Roman" w:cs="Times New Roman"/>
          <w:b/>
          <w:bCs/>
        </w:rPr>
        <w:t>Figure S</w:t>
      </w:r>
      <w:r w:rsidR="00681618">
        <w:rPr>
          <w:rFonts w:ascii="Times New Roman" w:hAnsi="Times New Roman" w:cs="Times New Roman"/>
          <w:b/>
          <w:bCs/>
        </w:rPr>
        <w:t>4</w:t>
      </w:r>
      <w:r w:rsidRPr="00681618">
        <w:rPr>
          <w:rFonts w:ascii="Times New Roman" w:hAnsi="Times New Roman" w:cs="Times New Roman"/>
        </w:rPr>
        <w:t xml:space="preserve">: Histology of target tissues in the body revealed no abnormalities due to radiation exposure or to the presence of nanoparticles. Example tissues from an animal exposed to serial CT monitoring with an implanted device, demonstrating no abnormalities: (a) </w:t>
      </w:r>
      <w:r w:rsidR="00681618">
        <w:rPr>
          <w:rFonts w:ascii="Times New Roman" w:hAnsi="Times New Roman" w:cs="Times New Roman"/>
        </w:rPr>
        <w:t>brain</w:t>
      </w:r>
      <w:r w:rsidRPr="00681618">
        <w:rPr>
          <w:rFonts w:ascii="Times New Roman" w:hAnsi="Times New Roman" w:cs="Times New Roman"/>
        </w:rPr>
        <w:t xml:space="preserve">, (b) </w:t>
      </w:r>
      <w:r w:rsidR="00681618">
        <w:rPr>
          <w:rFonts w:ascii="Times New Roman" w:hAnsi="Times New Roman" w:cs="Times New Roman"/>
        </w:rPr>
        <w:t>heart</w:t>
      </w:r>
      <w:r w:rsidRPr="00681618">
        <w:rPr>
          <w:rFonts w:ascii="Times New Roman" w:hAnsi="Times New Roman" w:cs="Times New Roman"/>
        </w:rPr>
        <w:t xml:space="preserve">, (c) </w:t>
      </w:r>
      <w:r w:rsidR="00681618">
        <w:rPr>
          <w:rFonts w:ascii="Times New Roman" w:hAnsi="Times New Roman" w:cs="Times New Roman"/>
        </w:rPr>
        <w:t>liver</w:t>
      </w:r>
      <w:r w:rsidRPr="00681618">
        <w:rPr>
          <w:rFonts w:ascii="Times New Roman" w:hAnsi="Times New Roman" w:cs="Times New Roman"/>
        </w:rPr>
        <w:t xml:space="preserve">, (d) kidney, (e) </w:t>
      </w:r>
      <w:r w:rsidR="00681618">
        <w:rPr>
          <w:rFonts w:ascii="Times New Roman" w:hAnsi="Times New Roman" w:cs="Times New Roman"/>
        </w:rPr>
        <w:t>spleen</w:t>
      </w:r>
      <w:r w:rsidRPr="00681618">
        <w:rPr>
          <w:rFonts w:ascii="Times New Roman" w:hAnsi="Times New Roman" w:cs="Times New Roman"/>
        </w:rPr>
        <w:t>. Scale bar: 50 µm.</w:t>
      </w:r>
    </w:p>
    <w:p w14:paraId="12409FBE" w14:textId="77777777" w:rsidR="000003A5" w:rsidRPr="00681618" w:rsidRDefault="000003A5" w:rsidP="000003A5">
      <w:pPr>
        <w:rPr>
          <w:rFonts w:ascii="Times New Roman" w:hAnsi="Times New Roman" w:cs="Times New Roman"/>
          <w:b/>
          <w:bCs/>
        </w:rPr>
      </w:pPr>
    </w:p>
    <w:p w14:paraId="7AB95CD5" w14:textId="7E95840E" w:rsidR="00370316" w:rsidRDefault="00DB3F3F" w:rsidP="000003A5">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56C103B9" wp14:editId="707E71E7">
            <wp:extent cx="5184648" cy="3971067"/>
            <wp:effectExtent l="0" t="0" r="0" b="0"/>
            <wp:docPr id="22827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4648" cy="3971067"/>
                    </a:xfrm>
                    <a:prstGeom prst="rect">
                      <a:avLst/>
                    </a:prstGeom>
                    <a:noFill/>
                  </pic:spPr>
                </pic:pic>
              </a:graphicData>
            </a:graphic>
          </wp:inline>
        </w:drawing>
      </w:r>
    </w:p>
    <w:p w14:paraId="763DB7FD" w14:textId="3DE4AABF" w:rsidR="00370316" w:rsidRDefault="00370316" w:rsidP="000003A5">
      <w:pPr>
        <w:rPr>
          <w:rFonts w:ascii="Times New Roman" w:hAnsi="Times New Roman" w:cs="Times New Roman"/>
        </w:rPr>
      </w:pPr>
      <w:r w:rsidRPr="00681618">
        <w:rPr>
          <w:rFonts w:ascii="Times New Roman" w:hAnsi="Times New Roman" w:cs="Times New Roman"/>
          <w:b/>
          <w:bCs/>
        </w:rPr>
        <w:t>Figure S</w:t>
      </w:r>
      <w:r w:rsidRPr="008E3480">
        <w:rPr>
          <w:rFonts w:ascii="Times New Roman" w:hAnsi="Times New Roman" w:cs="Times New Roman"/>
          <w:b/>
        </w:rPr>
        <w:t>3</w:t>
      </w:r>
      <w:r w:rsidRPr="00681618">
        <w:rPr>
          <w:rFonts w:ascii="Times New Roman" w:hAnsi="Times New Roman" w:cs="Times New Roman"/>
          <w:b/>
          <w:bCs/>
        </w:rPr>
        <w:t>.</w:t>
      </w:r>
      <w:r w:rsidRPr="00681618">
        <w:rPr>
          <w:rFonts w:ascii="Times New Roman" w:hAnsi="Times New Roman" w:cs="Times New Roman"/>
        </w:rPr>
        <w:t xml:space="preserve"> </w:t>
      </w:r>
      <w:r>
        <w:rPr>
          <w:rFonts w:ascii="Times New Roman" w:hAnsi="Times New Roman" w:cs="Times New Roman"/>
        </w:rPr>
        <w:t>Inflammation, measured by granulomatous cellulitis, around implanted p</w:t>
      </w:r>
      <w:r w:rsidRPr="00681618">
        <w:rPr>
          <w:rFonts w:ascii="Times New Roman" w:hAnsi="Times New Roman" w:cs="Times New Roman"/>
        </w:rPr>
        <w:t>hantom</w:t>
      </w:r>
      <w:r>
        <w:rPr>
          <w:rFonts w:ascii="Times New Roman" w:hAnsi="Times New Roman" w:cs="Times New Roman"/>
        </w:rPr>
        <w:t>s</w:t>
      </w:r>
      <w:r w:rsidRPr="00681618">
        <w:rPr>
          <w:rFonts w:ascii="Times New Roman" w:hAnsi="Times New Roman" w:cs="Times New Roman"/>
        </w:rPr>
        <w:t xml:space="preserve"> </w:t>
      </w:r>
      <w:r>
        <w:rPr>
          <w:rFonts w:ascii="Times New Roman" w:hAnsi="Times New Roman" w:cs="Times New Roman"/>
        </w:rPr>
        <w:t>after 20 weeks. Phantoms were implanted (a) intramuscularly and (b) intraperitoneally. Each</w:t>
      </w:r>
      <w:r w:rsidR="008E7F99">
        <w:rPr>
          <w:rFonts w:ascii="Times New Roman" w:hAnsi="Times New Roman" w:cs="Times New Roman"/>
        </w:rPr>
        <w:t xml:space="preserve"> phantom was composed of a</w:t>
      </w:r>
      <w:r>
        <w:rPr>
          <w:rFonts w:ascii="Times New Roman" w:hAnsi="Times New Roman" w:cs="Times New Roman"/>
        </w:rPr>
        <w:t xml:space="preserve"> matrix polymer</w:t>
      </w:r>
      <w:r w:rsidR="008E7F99">
        <w:rPr>
          <w:rFonts w:ascii="Times New Roman" w:hAnsi="Times New Roman" w:cs="Times New Roman"/>
        </w:rPr>
        <w:t xml:space="preserve"> and the incorporation</w:t>
      </w:r>
      <w:r w:rsidRPr="00681618">
        <w:rPr>
          <w:rFonts w:ascii="Times New Roman" w:hAnsi="Times New Roman" w:cs="Times New Roman"/>
        </w:rPr>
        <w:t xml:space="preserve"> of </w:t>
      </w:r>
      <w:proofErr w:type="spellStart"/>
      <w:r w:rsidRPr="00681618">
        <w:rPr>
          <w:rFonts w:ascii="Times New Roman" w:hAnsi="Times New Roman" w:cs="Times New Roman"/>
        </w:rPr>
        <w:t>TaO</w:t>
      </w:r>
      <w:r w:rsidRPr="00681618">
        <w:rPr>
          <w:rFonts w:ascii="Times New Roman" w:hAnsi="Times New Roman" w:cs="Times New Roman"/>
          <w:vertAlign w:val="subscript"/>
        </w:rPr>
        <w:t>x</w:t>
      </w:r>
      <w:proofErr w:type="spellEnd"/>
      <w:r w:rsidRPr="00681618">
        <w:rPr>
          <w:rFonts w:ascii="Times New Roman" w:hAnsi="Times New Roman" w:cs="Times New Roman"/>
        </w:rPr>
        <w:t xml:space="preserve"> nanoparticles up to 20wt</w:t>
      </w:r>
      <w:r w:rsidR="008E7F99">
        <w:rPr>
          <w:rFonts w:ascii="Times New Roman" w:hAnsi="Times New Roman" w:cs="Times New Roman"/>
        </w:rPr>
        <w:t>%.</w:t>
      </w:r>
      <w:r w:rsidRPr="00681618">
        <w:rPr>
          <w:rFonts w:ascii="Times New Roman" w:hAnsi="Times New Roman" w:cs="Times New Roman"/>
        </w:rPr>
        <w:t xml:space="preserve"> </w:t>
      </w:r>
      <w:r w:rsidR="008E7F99">
        <w:rPr>
          <w:rFonts w:ascii="Times New Roman" w:hAnsi="Times New Roman" w:cs="Times New Roman"/>
        </w:rPr>
        <w:t>Naïve tissue was included as a control.</w:t>
      </w:r>
    </w:p>
    <w:p w14:paraId="1CA458B0" w14:textId="39BCBE61" w:rsidR="00370316" w:rsidRDefault="00370316" w:rsidP="000003A5">
      <w:pPr>
        <w:rPr>
          <w:rFonts w:ascii="Times New Roman" w:hAnsi="Times New Roman" w:cs="Times New Roman"/>
          <w:b/>
          <w:bCs/>
        </w:rPr>
      </w:pPr>
    </w:p>
    <w:p w14:paraId="61948C74" w14:textId="657D8D58" w:rsidR="000003A5" w:rsidRPr="00681618" w:rsidRDefault="000003A5" w:rsidP="000003A5">
      <w:pPr>
        <w:rPr>
          <w:rFonts w:ascii="Times New Roman" w:hAnsi="Times New Roman" w:cs="Times New Roman"/>
          <w:b/>
          <w:bCs/>
        </w:rPr>
      </w:pPr>
      <w:r w:rsidRPr="00681618">
        <w:rPr>
          <w:rFonts w:ascii="Times New Roman" w:hAnsi="Times New Roman" w:cs="Times New Roman"/>
          <w:b/>
          <w:bCs/>
        </w:rPr>
        <w:t>S.</w:t>
      </w:r>
      <w:r w:rsidR="00681618">
        <w:rPr>
          <w:rFonts w:ascii="Times New Roman" w:hAnsi="Times New Roman" w:cs="Times New Roman"/>
          <w:b/>
          <w:bCs/>
        </w:rPr>
        <w:t>5</w:t>
      </w:r>
      <w:r w:rsidRPr="00681618">
        <w:rPr>
          <w:rFonts w:ascii="Times New Roman" w:hAnsi="Times New Roman" w:cs="Times New Roman"/>
          <w:b/>
          <w:bCs/>
        </w:rPr>
        <w:t xml:space="preserve"> In vivo study: Blood Analysis</w:t>
      </w:r>
    </w:p>
    <w:p w14:paraId="6D566272" w14:textId="0A811D7E" w:rsidR="00B756CA" w:rsidRPr="00681618" w:rsidRDefault="000003A5" w:rsidP="00370316">
      <w:pPr>
        <w:spacing w:line="360" w:lineRule="auto"/>
        <w:rPr>
          <w:rFonts w:ascii="Times New Roman" w:hAnsi="Times New Roman" w:cs="Times New Roman"/>
        </w:rPr>
      </w:pPr>
      <w:r w:rsidRPr="00681618">
        <w:rPr>
          <w:rFonts w:ascii="Times New Roman" w:hAnsi="Times New Roman" w:cs="Times New Roman"/>
        </w:rPr>
        <w:t xml:space="preserve">At the end of the study, following euthanasia, blood was collected from all animals. The blood was used for complete blood cell count (CBC) and clinical pathology. In the CBC analysis, no significant changes were noted in the white blood cell count (WBC), although significant differences in relative amount of blood components, such as monocytes and </w:t>
      </w:r>
      <w:r w:rsidR="00F77D72">
        <w:rPr>
          <w:rFonts w:ascii="Times New Roman" w:hAnsi="Times New Roman" w:cs="Times New Roman"/>
        </w:rPr>
        <w:t>lymphocytes</w:t>
      </w:r>
      <w:r w:rsidRPr="00681618">
        <w:rPr>
          <w:rFonts w:ascii="Times New Roman" w:hAnsi="Times New Roman" w:cs="Times New Roman"/>
        </w:rPr>
        <w:t xml:space="preserve"> was noted, </w:t>
      </w:r>
      <w:r w:rsidRPr="00681618">
        <w:rPr>
          <w:rFonts w:ascii="Times New Roman" w:hAnsi="Times New Roman" w:cs="Times New Roman"/>
          <w:b/>
          <w:bCs/>
        </w:rPr>
        <w:t>Table S</w:t>
      </w:r>
      <w:r w:rsidR="00106E7D">
        <w:rPr>
          <w:rFonts w:ascii="Times New Roman" w:hAnsi="Times New Roman" w:cs="Times New Roman"/>
          <w:b/>
          <w:bCs/>
        </w:rPr>
        <w:t>2</w:t>
      </w:r>
      <w:r w:rsidRPr="00681618">
        <w:rPr>
          <w:rFonts w:ascii="Times New Roman" w:hAnsi="Times New Roman" w:cs="Times New Roman"/>
        </w:rPr>
        <w:t>.</w:t>
      </w:r>
      <w:r w:rsidR="00F77D72">
        <w:rPr>
          <w:rFonts w:ascii="Times New Roman" w:hAnsi="Times New Roman" w:cs="Times New Roman"/>
        </w:rPr>
        <w:t xml:space="preserve"> Changes in blood cell count were not linked to µCT scanning or incorporation of </w:t>
      </w:r>
      <w:proofErr w:type="spellStart"/>
      <w:r w:rsidR="00F77D72" w:rsidRPr="00681618">
        <w:rPr>
          <w:rFonts w:ascii="Times New Roman" w:hAnsi="Times New Roman" w:cs="Times New Roman"/>
        </w:rPr>
        <w:t>TaO</w:t>
      </w:r>
      <w:r w:rsidR="00F77D72" w:rsidRPr="00681618">
        <w:rPr>
          <w:rFonts w:ascii="Times New Roman" w:hAnsi="Times New Roman" w:cs="Times New Roman"/>
          <w:vertAlign w:val="subscript"/>
        </w:rPr>
        <w:t>x</w:t>
      </w:r>
      <w:proofErr w:type="spellEnd"/>
      <w:r w:rsidR="00F77D72" w:rsidRPr="00681618">
        <w:rPr>
          <w:rFonts w:ascii="Times New Roman" w:hAnsi="Times New Roman" w:cs="Times New Roman"/>
        </w:rPr>
        <w:t xml:space="preserve"> nanoparticles</w:t>
      </w:r>
      <w:r w:rsidR="00F77D72">
        <w:rPr>
          <w:rFonts w:ascii="Times New Roman" w:hAnsi="Times New Roman" w:cs="Times New Roman"/>
        </w:rPr>
        <w:t>.</w:t>
      </w:r>
    </w:p>
    <w:p w14:paraId="71BBDEF9" w14:textId="77777777" w:rsidR="000E3CF7" w:rsidRDefault="000E3CF7">
      <w:pPr>
        <w:rPr>
          <w:rFonts w:ascii="Times New Roman" w:hAnsi="Times New Roman" w:cs="Times New Roman"/>
        </w:rPr>
      </w:pPr>
      <w:r>
        <w:rPr>
          <w:rFonts w:ascii="Times New Roman" w:hAnsi="Times New Roman" w:cs="Times New Roman"/>
        </w:rPr>
        <w:br w:type="page"/>
      </w:r>
    </w:p>
    <w:p w14:paraId="6C451BA8" w14:textId="77777777" w:rsidR="000E3CF7" w:rsidRDefault="000E3CF7" w:rsidP="000003A5">
      <w:pPr>
        <w:rPr>
          <w:rFonts w:ascii="Times New Roman" w:hAnsi="Times New Roman" w:cs="Times New Roman"/>
        </w:rPr>
        <w:sectPr w:rsidR="000E3CF7">
          <w:pgSz w:w="12240" w:h="15840"/>
          <w:pgMar w:top="1440" w:right="1440" w:bottom="1440" w:left="1440" w:header="720" w:footer="720" w:gutter="0"/>
          <w:cols w:space="720"/>
          <w:docGrid w:linePitch="360"/>
        </w:sectPr>
      </w:pPr>
    </w:p>
    <w:p w14:paraId="5AE3DB10" w14:textId="53B776CE" w:rsidR="002C02C7" w:rsidRPr="00681618" w:rsidRDefault="00E57EB7" w:rsidP="000003A5">
      <w:pPr>
        <w:rPr>
          <w:rFonts w:ascii="Times New Roman" w:hAnsi="Times New Roman" w:cs="Times New Roman"/>
        </w:rPr>
      </w:pPr>
      <w:r>
        <w:rPr>
          <w:rFonts w:ascii="Times New Roman" w:hAnsi="Times New Roman" w:cs="Times New Roman"/>
          <w:noProof/>
        </w:rPr>
        <w:lastRenderedPageBreak/>
        <w:drawing>
          <wp:inline distT="0" distB="0" distL="0" distR="0" wp14:anchorId="5A8B9355" wp14:editId="635F1AA0">
            <wp:extent cx="9272016" cy="4314826"/>
            <wp:effectExtent l="0" t="0" r="7620" b="7620"/>
            <wp:docPr id="1014241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272016" cy="4314826"/>
                    </a:xfrm>
                    <a:prstGeom prst="rect">
                      <a:avLst/>
                    </a:prstGeom>
                    <a:noFill/>
                  </pic:spPr>
                </pic:pic>
              </a:graphicData>
            </a:graphic>
          </wp:inline>
        </w:drawing>
      </w:r>
    </w:p>
    <w:sectPr w:rsidR="002C02C7" w:rsidRPr="00681618" w:rsidSect="000E3CF7">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6CA"/>
    <w:rsid w:val="000003A5"/>
    <w:rsid w:val="000B2A2A"/>
    <w:rsid w:val="000E3CF7"/>
    <w:rsid w:val="00106E7D"/>
    <w:rsid w:val="00237A99"/>
    <w:rsid w:val="002C02C7"/>
    <w:rsid w:val="00370316"/>
    <w:rsid w:val="004404C4"/>
    <w:rsid w:val="004432DD"/>
    <w:rsid w:val="00595F72"/>
    <w:rsid w:val="00681618"/>
    <w:rsid w:val="00745532"/>
    <w:rsid w:val="00882083"/>
    <w:rsid w:val="008E3480"/>
    <w:rsid w:val="008E7F99"/>
    <w:rsid w:val="00AA7CF5"/>
    <w:rsid w:val="00B45942"/>
    <w:rsid w:val="00B756CA"/>
    <w:rsid w:val="00DB3F3F"/>
    <w:rsid w:val="00E57EB7"/>
    <w:rsid w:val="00E615B1"/>
    <w:rsid w:val="00F77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83EDD"/>
  <w15:chartTrackingRefBased/>
  <w15:docId w15:val="{D4E48F14-8367-4D2C-A2AA-93528003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
    <w:name w:val="Table of contents"/>
    <w:basedOn w:val="Normal"/>
    <w:autoRedefine/>
    <w:rsid w:val="00745532"/>
    <w:pPr>
      <w:spacing w:after="0" w:line="360" w:lineRule="auto"/>
    </w:pPr>
    <w:rPr>
      <w:rFonts w:ascii="Times New Roman" w:eastAsia="MS Mincho" w:hAnsi="Times New Roman" w:cs="Times New Roman"/>
      <w:kern w:val="0"/>
      <w:lang w:eastAsia="ja-JP"/>
      <w14:ligatures w14:val="none"/>
    </w:rPr>
  </w:style>
  <w:style w:type="paragraph" w:customStyle="1" w:styleId="Head1">
    <w:name w:val="Head 1"/>
    <w:basedOn w:val="Normal"/>
    <w:autoRedefine/>
    <w:rsid w:val="00B756CA"/>
    <w:pPr>
      <w:spacing w:after="0" w:line="360" w:lineRule="auto"/>
    </w:pPr>
    <w:rPr>
      <w:rFonts w:ascii="Times New Roman" w:eastAsia="Times New Roman" w:hAnsi="Times New Roman" w:cs="Times New Roman"/>
      <w:bCs/>
      <w:kern w:val="0"/>
      <w:sz w:val="24"/>
      <w:szCs w:val="24"/>
      <w:lang w:eastAsia="ja-JP"/>
      <w14:ligatures w14:val="none"/>
    </w:rPr>
  </w:style>
  <w:style w:type="paragraph" w:styleId="ListParagraph">
    <w:name w:val="List Paragraph"/>
    <w:basedOn w:val="Normal"/>
    <w:uiPriority w:val="34"/>
    <w:qFormat/>
    <w:rsid w:val="00B756CA"/>
    <w:pPr>
      <w:ind w:left="720"/>
      <w:contextualSpacing/>
    </w:pPr>
    <w:rPr>
      <w:kern w:val="0"/>
      <w14:ligatures w14:val="none"/>
    </w:rPr>
  </w:style>
  <w:style w:type="paragraph" w:customStyle="1" w:styleId="AuthorsFull">
    <w:name w:val="Authors Full"/>
    <w:basedOn w:val="Normal"/>
    <w:rsid w:val="00B756CA"/>
    <w:pPr>
      <w:spacing w:after="0" w:line="240" w:lineRule="auto"/>
    </w:pPr>
    <w:rPr>
      <w:rFonts w:ascii="Times New Roman" w:eastAsia="MS Mincho" w:hAnsi="Times New Roman" w:cs="Times New Roman"/>
      <w:i/>
      <w:kern w:val="0"/>
      <w:sz w:val="24"/>
      <w:szCs w:val="24"/>
      <w:lang w:eastAsia="ja-JP"/>
      <w14:ligatures w14:val="none"/>
    </w:rPr>
  </w:style>
  <w:style w:type="paragraph" w:customStyle="1" w:styleId="Title2">
    <w:name w:val="Title2"/>
    <w:basedOn w:val="Normal"/>
    <w:rsid w:val="00B756CA"/>
    <w:pPr>
      <w:spacing w:after="0" w:line="240" w:lineRule="auto"/>
    </w:pPr>
    <w:rPr>
      <w:rFonts w:ascii="Times New Roman" w:eastAsia="MS Mincho" w:hAnsi="Times New Roman" w:cs="Times New Roman"/>
      <w:b/>
      <w:kern w:val="0"/>
      <w:sz w:val="24"/>
      <w:szCs w:val="24"/>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6</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Pawelec, Kendell</dc:creator>
  <cp:keywords/>
  <dc:description/>
  <cp:lastModifiedBy>Pawelec, Kendell</cp:lastModifiedBy>
  <cp:revision>13</cp:revision>
  <dcterms:created xsi:type="dcterms:W3CDTF">2024-07-31T12:28:00Z</dcterms:created>
  <dcterms:modified xsi:type="dcterms:W3CDTF">2026-02-11T14:57:00Z</dcterms:modified>
</cp:coreProperties>
</file>