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360" w:lineRule="auto"/>
        <w:jc w:val="both"/>
        <w:rPr>
          <w:b w:val="1"/>
          <w:bCs w:val="1"/>
        </w:rPr>
      </w:pPr>
      <w:r w:rsidDel="00000000" w:rsidR="00000000" w:rsidRPr="00000000">
        <w:rPr>
          <w:b w:val="1"/>
          <w:bCs w:val="1"/>
          <w:rtl w:val="0"/>
        </w:rPr>
        <w:t xml:space="preserve">Supplement to:</w:t>
      </w:r>
    </w:p>
    <w:p w:rsidR="00000000" w:rsidDel="00000000" w:rsidP="00000000" w:rsidRDefault="00000000" w:rsidRPr="00000000" w14:paraId="00000002">
      <w:pPr>
        <w:spacing w:after="0" w:before="0" w:line="360" w:lineRule="auto"/>
        <w:jc w:val="both"/>
        <w:rPr>
          <w:b w:val="1"/>
          <w:bCs w:val="1"/>
          <w:color w:val="000000"/>
        </w:rPr>
      </w:pPr>
      <w:r w:rsidDel="00000000" w:rsidR="00000000" w:rsidRPr="00000000">
        <w:rPr>
          <w:b w:val="1"/>
          <w:bCs w:val="1"/>
          <w:color w:val="000000"/>
          <w:rtl w:val="0"/>
        </w:rPr>
        <w:t xml:space="preserve">Expert panel consensus guidelines of the German Society of Neuroradiology on the use of magnetic resonance imaging in the diagnosis and monitoring of multiple sclerosis</w:t>
      </w:r>
      <w:r w:rsidDel="00000000" w:rsidR="00000000" w:rsidRPr="00000000">
        <w:rPr>
          <w:rtl w:val="0"/>
        </w:rPr>
      </w:r>
    </w:p>
    <w:p w:rsidR="00000000" w:rsidDel="00000000" w:rsidP="00000000" w:rsidRDefault="00000000" w:rsidRPr="00000000" w14:paraId="00000003">
      <w:pPr>
        <w:spacing w:after="0" w:before="0" w:line="360" w:lineRule="auto"/>
        <w:jc w:val="both"/>
        <w:rPr/>
      </w:pPr>
      <w:r w:rsidDel="00000000" w:rsidR="00000000" w:rsidRPr="00000000">
        <w:rPr>
          <w:rtl w:val="0"/>
        </w:rPr>
      </w:r>
    </w:p>
    <w:p w:rsidR="00000000" w:rsidDel="00000000" w:rsidP="00000000" w:rsidRDefault="00000000" w:rsidRPr="00000000" w14:paraId="00000004">
      <w:pPr>
        <w:spacing w:after="0" w:line="360" w:lineRule="auto"/>
        <w:jc w:val="both"/>
        <w:rPr>
          <w:i w:val="1"/>
          <w:iCs w:val="1"/>
        </w:rPr>
      </w:pPr>
      <w:r w:rsidDel="00000000" w:rsidR="00000000" w:rsidRPr="00000000">
        <w:rPr>
          <w:i w:val="1"/>
          <w:iCs w:val="1"/>
          <w:rtl w:val="0"/>
        </w:rPr>
        <w:t xml:space="preserve">Quality Assurance and Control (QA/QC) of MS-MRIs</w:t>
      </w:r>
      <w:r w:rsidDel="00000000" w:rsidR="00000000" w:rsidRPr="00000000">
        <w:rPr>
          <w:rtl w:val="0"/>
        </w:rPr>
      </w:r>
    </w:p>
    <w:p w:rsidR="00000000" w:rsidDel="00000000" w:rsidP="00000000" w:rsidRDefault="00000000" w:rsidRPr="00000000" w14:paraId="00000005">
      <w:pPr>
        <w:spacing w:after="0" w:line="360" w:lineRule="auto"/>
        <w:jc w:val="both"/>
        <w:rPr/>
      </w:pPr>
      <w:r w:rsidDel="00000000" w:rsidR="00000000" w:rsidRPr="00000000">
        <w:rPr>
          <w:rtl w:val="0"/>
        </w:rPr>
        <w:t xml:space="preserve">Quality assurance and control (QA/QC) of MRI scans are fundamental to the accurate diagnosis and monitoring of MS and to ensure high standards of neuroradiological performance</w:t>
      </w:r>
      <w:r w:rsidDel="00000000" w:rsidR="00000000" w:rsidRPr="00000000">
        <w:rPr>
          <w:rtl w:val="0"/>
        </w:rPr>
        <w:t xml:space="preserve">. QA / QC should entail standardized assessments and evaluation of:</w:t>
      </w:r>
    </w:p>
    <w:p w:rsidR="00000000" w:rsidDel="00000000" w:rsidP="00000000" w:rsidRDefault="00000000" w:rsidRPr="00000000" w14:paraId="00000006">
      <w:pPr>
        <w:spacing w:after="0" w:line="360" w:lineRule="auto"/>
        <w:ind w:left="1080" w:hanging="360"/>
        <w:jc w:val="both"/>
        <w:rPr/>
      </w:pPr>
      <w:r w:rsidDel="00000000" w:rsidR="00000000" w:rsidRPr="00000000">
        <w:rPr>
          <w:rtl w:val="0"/>
        </w:rPr>
        <w:t xml:space="preserve">-   </w:t>
        <w:tab/>
        <w:t xml:space="preserve">physical properties of MRIs,</w:t>
      </w:r>
    </w:p>
    <w:p w:rsidR="00000000" w:rsidDel="00000000" w:rsidP="00000000" w:rsidRDefault="00000000" w:rsidRPr="00000000" w14:paraId="00000007">
      <w:pPr>
        <w:spacing w:after="0" w:line="360" w:lineRule="auto"/>
        <w:ind w:left="1080" w:hanging="360"/>
        <w:jc w:val="both"/>
        <w:rPr/>
      </w:pPr>
      <w:r w:rsidDel="00000000" w:rsidR="00000000" w:rsidRPr="00000000">
        <w:rPr>
          <w:rtl w:val="0"/>
        </w:rPr>
        <w:t xml:space="preserve">-   </w:t>
        <w:tab/>
        <w:t xml:space="preserve">clinical indication for scanning and</w:t>
      </w:r>
    </w:p>
    <w:p w:rsidR="00000000" w:rsidDel="00000000" w:rsidP="00000000" w:rsidRDefault="00000000" w:rsidRPr="00000000" w14:paraId="00000008">
      <w:pPr>
        <w:spacing w:after="0" w:line="360" w:lineRule="auto"/>
        <w:ind w:left="1080" w:hanging="360"/>
        <w:jc w:val="both"/>
        <w:rPr/>
      </w:pPr>
      <w:r w:rsidDel="00000000" w:rsidR="00000000" w:rsidRPr="00000000">
        <w:rPr>
          <w:rtl w:val="0"/>
        </w:rPr>
        <w:t xml:space="preserve">-   </w:t>
        <w:tab/>
        <w:t xml:space="preserve">radiological reporting accuracy.</w:t>
      </w:r>
    </w:p>
    <w:p w:rsidR="00000000" w:rsidDel="00000000" w:rsidP="00000000" w:rsidRDefault="00000000" w:rsidRPr="00000000" w14:paraId="00000009">
      <w:pPr>
        <w:spacing w:after="0" w:line="360" w:lineRule="auto"/>
        <w:jc w:val="both"/>
        <w:rPr/>
      </w:pPr>
      <w:r w:rsidDel="00000000" w:rsidR="00000000" w:rsidRPr="00000000">
        <w:rPr>
          <w:rtl w:val="0"/>
        </w:rPr>
        <w:t xml:space="preserve">Core physical MRI properties include signal-to-noise ratio (SNR), contrast-to-noise ratio (CNR), image homogeneity, blurring/smoothness, motion (within and between slices and volumes), and artifacts (especially those from various acceleration methods).</w:t>
      </w:r>
    </w:p>
    <w:p w:rsidR="00000000" w:rsidDel="00000000" w:rsidP="00000000" w:rsidRDefault="00000000" w:rsidRPr="00000000" w14:paraId="0000000A">
      <w:pPr>
        <w:spacing w:after="0" w:line="360" w:lineRule="auto"/>
        <w:jc w:val="both"/>
        <w:rPr/>
      </w:pPr>
      <w:r w:rsidDel="00000000" w:rsidR="00000000" w:rsidRPr="00000000">
        <w:rPr>
          <w:rtl w:val="0"/>
        </w:rPr>
        <w:t xml:space="preserve">MRI requisitions and radiology reports should contain basic information to render the exam useful and should preferably be structured. The patient's clinical presentation, questions to be addressed by the ordered MRI, previous imaging records and data, and medication history are indispensable components of the scan request.</w:t>
      </w:r>
    </w:p>
    <w:p w:rsidR="00000000" w:rsidDel="00000000" w:rsidP="00000000" w:rsidRDefault="00000000" w:rsidRPr="00000000" w14:paraId="0000000B">
      <w:pPr>
        <w:spacing w:after="0" w:line="360" w:lineRule="auto"/>
        <w:jc w:val="both"/>
        <w:rPr/>
      </w:pPr>
      <w:r w:rsidDel="00000000" w:rsidR="00000000" w:rsidRPr="00000000">
        <w:rPr>
          <w:rtl w:val="0"/>
        </w:rPr>
        <w:t xml:space="preserve">In case of initial work-ups for suspected MS, the qualified radiology report should, in one way or the other, specify number, topography and size of T2 lesions (T2Ls), and, when examined by SWI (cf. Fig. 5 in the main manuscript), presence and number of central vein signs (CVS) and paramagnetic rim lesions (PRLs). Then, it should be stated if DIS / DIT criteria are met, if there is focal or global atrophy of the brain and/or spinal cord, and the appropriate diagnostic conclusions along with differential diagnostic considerations should be derived. For follow-up and disease monitoring, number, location and size of new T2Ls (NT2Ls) and enlarging T2Ls (ET2Ls), including SELs (= slowly enlarging/expanding/evolving T2Ls) and especially SEL-PRLs, as well as evolution of focal/global atrophy should be noted, and attention must be tuned to the development of potential complications (classic or inflammatory progressive multifocal leukoencephalopathy: c/i-PML, immune reconstitution inflammatory syndrome: IRIS, simultaneous or deteriorating PML co-occurrence with IRIS: PML-s/d-IRIS, JC virus granule cell neuronopathy etc.).</w:t>
      </w:r>
    </w:p>
    <w:p w:rsidR="00000000" w:rsidDel="00000000" w:rsidP="00000000" w:rsidRDefault="00000000" w:rsidRPr="00000000" w14:paraId="0000000C">
      <w:pPr>
        <w:spacing w:after="0" w:line="360" w:lineRule="auto"/>
        <w:jc w:val="both"/>
        <w:rPr/>
      </w:pPr>
      <w:r w:rsidDel="00000000" w:rsidR="00000000" w:rsidRPr="00000000">
        <w:rPr>
          <w:rtl w:val="0"/>
        </w:rPr>
        <w:t xml:space="preserve">As of today, there is no formal, standardized, or unified quality assessment of MS-MRIs across the various institutions providing radiological services for both outpatient and inpatient care in Germany and most, if not all, other countries worldwide. Thus, QA/QC remains, at best, limited to in-house protocols and is often rudimentary or mostly even nonexistent.</w:t>
      </w:r>
    </w:p>
    <w:p w:rsidR="00000000" w:rsidDel="00000000" w:rsidP="00000000" w:rsidRDefault="00000000" w:rsidRPr="00000000" w14:paraId="0000000D">
      <w:pPr>
        <w:spacing w:after="0" w:line="360" w:lineRule="auto"/>
        <w:jc w:val="both"/>
        <w:rPr/>
      </w:pPr>
      <w:r w:rsidDel="00000000" w:rsidR="00000000" w:rsidRPr="00000000">
        <w:rPr>
          <w:rtl w:val="0"/>
        </w:rPr>
        <w:t xml:space="preserve">For example, SNR and CNR of MS-MRIs are, although crucial for diagnostic sensitivity, not usually controlled or evaluated, and cutoff criteria for minimally acceptable SNR / CNR metrics have not been established for broad application to MS-MRIs. Subtle protocol changes, even from simple scanning software updates, can affect physical MRI properties and hamper, or even preclude, the diagnostic utility of, for example, appropriately co-registered longitudinal within-contrast (FLAIR, PD-, T2- or T1-weighted) scan subtractions </w:t>
      </w:r>
      <w:hyperlink r:id="rId7">
        <w:r w:rsidDel="00000000" w:rsidR="00000000" w:rsidRPr="00000000">
          <w:rPr>
            <w:rtl w:val="0"/>
          </w:rPr>
          <w:t xml:space="preserve">[1,2]</w:t>
        </w:r>
      </w:hyperlink>
      <w:r w:rsidDel="00000000" w:rsidR="00000000" w:rsidRPr="00000000">
        <w:rPr>
          <w:rtl w:val="0"/>
        </w:rPr>
        <w:t xml:space="preserve">. On the other hand, advanced QA / QC scripts for structural MRI processing and evaluation have been published and are publicly available for brain </w:t>
      </w:r>
      <w:hyperlink r:id="rId8">
        <w:r w:rsidDel="00000000" w:rsidR="00000000" w:rsidRPr="00000000">
          <w:rPr>
            <w:rtl w:val="0"/>
          </w:rPr>
          <w:t xml:space="preserve">[3,4]</w:t>
        </w:r>
      </w:hyperlink>
      <w:r w:rsidDel="00000000" w:rsidR="00000000" w:rsidRPr="00000000">
        <w:rPr>
          <w:rtl w:val="0"/>
        </w:rPr>
        <w:t xml:space="preserve"> and spinal cord </w:t>
      </w:r>
      <w:hyperlink r:id="rId9">
        <w:r w:rsidDel="00000000" w:rsidR="00000000" w:rsidRPr="00000000">
          <w:rPr>
            <w:rtl w:val="0"/>
          </w:rPr>
          <w:t xml:space="preserve">[5,6]</w:t>
        </w:r>
      </w:hyperlink>
      <w:r w:rsidDel="00000000" w:rsidR="00000000" w:rsidRPr="00000000">
        <w:rPr>
          <w:rtl w:val="0"/>
        </w:rPr>
        <w:t xml:space="preserve">. These generate a range of extremely useful QA/QC metrics and can serve as templates for systematic, automated QA/QC of MS-MRIs. Our consortium explicitly encourages translating these or similar approaches into clinical practice for systematic QA/QC and data harmonization of MS-MRIs. Such future efforts should be orchestrated, and MRI vendors could support these with high impact.</w:t>
      </w:r>
    </w:p>
    <w:p w:rsidR="00000000" w:rsidDel="00000000" w:rsidP="00000000" w:rsidRDefault="00000000" w:rsidRPr="00000000" w14:paraId="0000000E">
      <w:pPr>
        <w:spacing w:after="0" w:line="360" w:lineRule="auto"/>
        <w:jc w:val="both"/>
        <w:rPr/>
      </w:pPr>
      <w:r w:rsidDel="00000000" w:rsidR="00000000" w:rsidRPr="00000000">
        <w:rPr>
          <w:rtl w:val="0"/>
        </w:rPr>
        <w:t xml:space="preserve">Although standard criteria for MRI quality control are released by the Federal Joint Committee (G-BA = “Gemeinsamer Bundesausschuss”)</w:t>
      </w:r>
      <w:r w:rsidDel="00000000" w:rsidR="00000000" w:rsidRPr="00000000">
        <w:rPr>
          <w:vertAlign w:val="superscript"/>
        </w:rPr>
        <w:footnoteReference w:customMarkFollows="0" w:id="0"/>
      </w:r>
      <w:r w:rsidDel="00000000" w:rsidR="00000000" w:rsidRPr="00000000">
        <w:rPr>
          <w:rtl w:val="0"/>
        </w:rPr>
        <w:t xml:space="preserve"> in Germany, these apply only to statutorily health-insured outpatients. In other words, there is no and has never been any mandatory and regular MRI quality control for inpatients or privately insured outpatients in Germany. This is both regrettable and obviously not desirable. Furthermore, the G-BA has currently suspended any MRI quality control by random samples until 2030, even for statutory health insurances (</w:t>
      </w:r>
      <w:hyperlink r:id="rId10">
        <w:r w:rsidDel="00000000" w:rsidR="00000000" w:rsidRPr="00000000">
          <w:rPr>
            <w:color w:val="1155cc"/>
            <w:u w:val="single"/>
            <w:rtl w:val="0"/>
          </w:rPr>
          <w:t xml:space="preserve">https://www.g-ba.de/beschluesse/6928/</w:t>
        </w:r>
      </w:hyperlink>
      <w:r w:rsidDel="00000000" w:rsidR="00000000" w:rsidRPr="00000000">
        <w:rPr>
          <w:rtl w:val="0"/>
        </w:rPr>
        <w:t xml:space="preserve">). Random sampling for MRI QA/QC was performed by the authorized Regional Associations of Statutory Health Insurance Physicians (“Kassenärztliche Vereinigungen,” KVs), and only the current MRI was sampled; i.e., previous exams were not requested for QA/QC. Such practice is insufficient in the case of MS follow-ups, where especially NT2Ls / ET2Ls have to be assessed with respect to previous MRI examinations, as well as in the case of SELs (and now SEL-PRLs), where it may be necessary to consider not just the most recent MRI of the patient but also others dating back longer. This is laborious and currently not reimbursed.</w:t>
      </w:r>
    </w:p>
    <w:p w:rsidR="00000000" w:rsidDel="00000000" w:rsidP="00000000" w:rsidRDefault="00000000" w:rsidRPr="00000000" w14:paraId="0000000F">
      <w:pPr>
        <w:spacing w:after="0" w:line="360" w:lineRule="auto"/>
        <w:jc w:val="both"/>
        <w:rPr/>
      </w:pPr>
      <w:r w:rsidDel="00000000" w:rsidR="00000000" w:rsidRPr="00000000">
        <w:rPr>
          <w:rtl w:val="0"/>
        </w:rPr>
        <w:t xml:space="preserve">German standard G-BA criteria for MRI quality control are issued according to § 135b para. 2 SGB V – QBK-RL (“G-BA Richtlinie über Kriterien zur Qualitätsbeurteilung in der Kernspintomographie“ = standard procedures on criteria for quality control in magnetic resonance tomography). The most recent version took effect in 2025 and can be found here:</w:t>
      </w:r>
      <w:hyperlink r:id="rId11">
        <w:r w:rsidDel="00000000" w:rsidR="00000000" w:rsidRPr="00000000">
          <w:rPr>
            <w:color w:val="1155cc"/>
            <w:u w:val="single"/>
            <w:rtl w:val="0"/>
          </w:rPr>
          <w:t xml:space="preserve"> https://www.g-ba.de/downloads/62-492-3687/QBK-RL_2024-11-22_iK_2025-01-01.pdf</w:t>
        </w:r>
      </w:hyperlink>
      <w:r w:rsidDel="00000000" w:rsidR="00000000" w:rsidRPr="00000000">
        <w:rPr>
          <w:rtl w:val="0"/>
        </w:rPr>
        <w:t xml:space="preserve">. These criteria remain effective to avoid potential claims of recourse and regress indemnities.</w:t>
      </w:r>
    </w:p>
    <w:p w:rsidR="00000000" w:rsidDel="00000000" w:rsidP="00000000" w:rsidRDefault="00000000" w:rsidRPr="00000000" w14:paraId="00000010">
      <w:pPr>
        <w:spacing w:after="0" w:line="360" w:lineRule="auto"/>
        <w:jc w:val="both"/>
        <w:rPr/>
      </w:pPr>
      <w:r w:rsidDel="00000000" w:rsidR="00000000" w:rsidRPr="00000000">
        <w:rPr>
          <w:rtl w:val="0"/>
        </w:rPr>
        <w:t xml:space="preserve">Although the QBK-RL has been revised recently, the corresponding MRI scan specifications for MS and inflammatory CNS diseases (section 1.1.4, pp. 8+9) fall far below the standards set by the previous 2021 and the current 2024 MAGNIMS-CMSC-NAIMS [7,8] as well as our consensus recommendations laid out here, while, at the same time, formally requiring unnecessary scans and sequences  (at least one native T1w is always required according to QBK-RL, also for follow-up/disease monitoring). For example, the QBK-RL does not specify a recommended field strength, and the requested spatial resolution is generally lower (e.g., 1x1x5 mm3 for 2D, 1.5 mm3 isotropic for 3D brain exams) than the consensus recommendations of the MS specialists’ associations, and there is no statement on interslice gaps. SWI for CVS and PRL detection is not part of the QBK-RL brain MS protocol, and there are no dedicated protocols for optic nerve (ON) or spinal cord MRI, according to QBK-RL. Table S1 summarizes the differences between the current 2024 MAGNIMS-CMSC-NAIMS consensus recommendations </w:t>
      </w:r>
      <w:hyperlink r:id="rId12">
        <w:r w:rsidDel="00000000" w:rsidR="00000000" w:rsidRPr="00000000">
          <w:rPr>
            <w:rtl w:val="0"/>
          </w:rPr>
          <w:t xml:space="preserve">[7]</w:t>
        </w:r>
      </w:hyperlink>
      <w:r w:rsidDel="00000000" w:rsidR="00000000" w:rsidRPr="00000000">
        <w:rPr>
          <w:rtl w:val="0"/>
        </w:rPr>
        <w:t xml:space="preserve"> and the effective QBK-RL standards for MS-MRIs. Such disparities should be discontinued. QBK-RL protocols need to be reconciled in line with the relevant consensus recommendations. The quality of MS-MRIs should be independently audited regularly for both out- and inpatients, regardless of their statutory or private health insurance. This is crucial to ensure accurate, cost-effective diagnostic work-ups and follow-ups.</w:t>
      </w:r>
    </w:p>
    <w:p w:rsidR="00000000" w:rsidDel="00000000" w:rsidP="00000000" w:rsidRDefault="00000000" w:rsidRPr="00000000" w14:paraId="00000011">
      <w:pPr>
        <w:spacing w:after="0" w:line="360" w:lineRule="auto"/>
        <w:jc w:val="both"/>
        <w:rPr/>
      </w:pPr>
      <w:r w:rsidDel="00000000" w:rsidR="00000000" w:rsidRPr="00000000">
        <w:rPr>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12">
      <w:pPr>
        <w:spacing w:after="0" w:line="360" w:lineRule="auto"/>
        <w:jc w:val="both"/>
        <w:rPr>
          <w:b w:val="1"/>
          <w:bCs w:val="1"/>
        </w:rPr>
      </w:pPr>
      <w:r w:rsidDel="00000000" w:rsidR="00000000" w:rsidRPr="00000000">
        <w:rPr>
          <w:b w:val="1"/>
          <w:bCs w:val="1"/>
          <w:rtl w:val="0"/>
        </w:rPr>
        <w:t xml:space="preserve">Supplementary Table S1. Disparities between the 2024 MAGNIMS-CMSC-NAIMS consensus recommendations and the QBK-RL standards for MS-MRIs in Germany, with main differences highlighted in red. Both pertain only to the diagnosis, not follow-up or therapeutic monitoring of MS.</w:t>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3.488372093023"/>
        <w:gridCol w:w="2095.116279069767"/>
        <w:gridCol w:w="2612.093023255814"/>
        <w:gridCol w:w="2639.302325581395"/>
        <w:tblGridChange w:id="0">
          <w:tblGrid>
            <w:gridCol w:w="2013.488372093023"/>
            <w:gridCol w:w="2095.116279069767"/>
            <w:gridCol w:w="2612.093023255814"/>
            <w:gridCol w:w="2639.302325581395"/>
          </w:tblGrid>
        </w:tblGridChange>
      </w:tblGrid>
      <w:tr>
        <w:trPr>
          <w:cantSplit w:val="0"/>
          <w:trHeight w:val="570" w:hRule="atLeast"/>
          <w:tblHeader w:val="0"/>
        </w:trPr>
        <w:tc>
          <w:tcPr>
            <w:tcBorders>
              <w:top w:color="00b0f0" w:space="0" w:sz="6" w:val="single"/>
              <w:left w:color="ffffff" w:space="0" w:sz="6" w:val="single"/>
              <w:bottom w:color="000000" w:space="0" w:sz="6" w:val="single"/>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3">
            <w:pPr>
              <w:spacing w:after="0" w:line="360" w:lineRule="auto"/>
              <w:jc w:val="both"/>
              <w:rPr/>
            </w:pPr>
            <w:r w:rsidDel="00000000" w:rsidR="00000000" w:rsidRPr="00000000">
              <w:rPr>
                <w:rtl w:val="0"/>
              </w:rPr>
              <w:t xml:space="preserve"> </w:t>
            </w:r>
          </w:p>
        </w:tc>
        <w:tc>
          <w:tcPr>
            <w:tcBorders>
              <w:top w:color="00b0f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4">
            <w:pPr>
              <w:spacing w:after="0" w:line="360" w:lineRule="auto"/>
              <w:jc w:val="both"/>
              <w:rPr/>
            </w:pPr>
            <w:r w:rsidDel="00000000" w:rsidR="00000000" w:rsidRPr="00000000">
              <w:rPr>
                <w:rtl w:val="0"/>
              </w:rPr>
              <w:t xml:space="preserve"> </w:t>
            </w:r>
          </w:p>
        </w:tc>
        <w:tc>
          <w:tcPr>
            <w:tcBorders>
              <w:top w:color="00b0f0" w:space="0" w:sz="6" w:val="single"/>
              <w:left w:color="000000" w:space="0" w:sz="0" w:val="nil"/>
              <w:bottom w:color="000000" w:space="0" w:sz="6" w:val="single"/>
              <w:right w:color="000000" w:space="0" w:sz="6" w:val="single"/>
            </w:tcBorders>
            <w:shd w:fill="00b0f0" w:val="clear"/>
            <w:tcMar>
              <w:top w:w="0.0" w:type="dxa"/>
              <w:left w:w="100.0" w:type="dxa"/>
              <w:bottom w:w="0.0" w:type="dxa"/>
              <w:right w:w="100.0" w:type="dxa"/>
            </w:tcMar>
            <w:vAlign w:val="top"/>
          </w:tcPr>
          <w:p w:rsidR="00000000" w:rsidDel="00000000" w:rsidP="00000000" w:rsidRDefault="00000000" w:rsidRPr="00000000" w14:paraId="00000015">
            <w:pPr>
              <w:spacing w:after="0" w:line="360" w:lineRule="auto"/>
              <w:jc w:val="center"/>
              <w:rPr/>
            </w:pPr>
            <w:r w:rsidDel="00000000" w:rsidR="00000000" w:rsidRPr="00000000">
              <w:rPr>
                <w:rtl w:val="0"/>
              </w:rPr>
              <w:t xml:space="preserve">MAGNIMS-CMSC-NAIMS 2024*</w:t>
            </w:r>
          </w:p>
        </w:tc>
        <w:tc>
          <w:tcPr>
            <w:tcBorders>
              <w:top w:color="00b0f0" w:space="0" w:sz="6" w:val="single"/>
              <w:left w:color="000000" w:space="0" w:sz="0" w:val="nil"/>
              <w:bottom w:color="000000" w:space="0" w:sz="6" w:val="single"/>
              <w:right w:color="000000" w:space="0" w:sz="6" w:val="single"/>
            </w:tcBorders>
            <w:shd w:fill="00b0f0" w:val="clear"/>
            <w:tcMar>
              <w:top w:w="0.0" w:type="dxa"/>
              <w:left w:w="100.0" w:type="dxa"/>
              <w:bottom w:w="0.0" w:type="dxa"/>
              <w:right w:w="100.0" w:type="dxa"/>
            </w:tcMar>
            <w:vAlign w:val="top"/>
          </w:tcPr>
          <w:p w:rsidR="00000000" w:rsidDel="00000000" w:rsidP="00000000" w:rsidRDefault="00000000" w:rsidRPr="00000000" w14:paraId="00000016">
            <w:pPr>
              <w:spacing w:after="0" w:line="360" w:lineRule="auto"/>
              <w:jc w:val="center"/>
              <w:rPr/>
            </w:pPr>
            <w:r w:rsidDel="00000000" w:rsidR="00000000" w:rsidRPr="00000000">
              <w:rPr>
                <w:rtl w:val="0"/>
              </w:rPr>
              <w:t xml:space="preserve">QBK-RL 2025**</w:t>
            </w:r>
          </w:p>
        </w:tc>
      </w:tr>
      <w:tr>
        <w:trPr>
          <w:cantSplit w:val="0"/>
          <w:trHeight w:val="315" w:hRule="atLeast"/>
          <w:tblHeader w:val="0"/>
        </w:trPr>
        <w:tc>
          <w:tcPr>
            <w:tcBorders>
              <w:top w:color="000000" w:space="0" w:sz="0" w:val="nil"/>
              <w:left w:color="000000" w:space="0" w:sz="6" w:val="single"/>
              <w:bottom w:color="000000" w:space="0" w:sz="0" w:val="nil"/>
              <w:right w:color="000000" w:space="0" w:sz="6" w:val="single"/>
            </w:tcBorders>
            <w:shd w:fill="00b0f0" w:val="clear"/>
            <w:tcMar>
              <w:top w:w="0.0" w:type="dxa"/>
              <w:left w:w="100.0" w:type="dxa"/>
              <w:bottom w:w="0.0" w:type="dxa"/>
              <w:right w:w="100.0" w:type="dxa"/>
            </w:tcMar>
            <w:vAlign w:val="top"/>
          </w:tcPr>
          <w:p w:rsidR="00000000" w:rsidDel="00000000" w:rsidP="00000000" w:rsidRDefault="00000000" w:rsidRPr="00000000" w14:paraId="00000017">
            <w:pPr>
              <w:spacing w:after="0" w:line="360" w:lineRule="auto"/>
              <w:jc w:val="center"/>
              <w:rPr/>
            </w:pPr>
            <w:r w:rsidDel="00000000" w:rsidR="00000000" w:rsidRPr="00000000">
              <w:rPr>
                <w:rtl w:val="0"/>
              </w:rPr>
              <w:t xml:space="preserve">Brain</w:t>
            </w:r>
          </w:p>
        </w:tc>
        <w:tc>
          <w:tcPr>
            <w:tcBorders>
              <w:top w:color="000000" w:space="0" w:sz="0" w:val="nil"/>
              <w:left w:color="000000" w:space="0" w:sz="0" w:val="nil"/>
              <w:bottom w:color="000000" w:space="0" w:sz="6" w:val="single"/>
              <w:right w:color="000000" w:space="0" w:sz="6" w:val="single"/>
            </w:tcBorders>
            <w:shd w:fill="73feff" w:val="clear"/>
            <w:tcMar>
              <w:top w:w="0.0" w:type="dxa"/>
              <w:left w:w="100.0" w:type="dxa"/>
              <w:bottom w:w="0.0" w:type="dxa"/>
              <w:right w:w="100.0" w:type="dxa"/>
            </w:tcMar>
            <w:vAlign w:val="top"/>
          </w:tcPr>
          <w:p w:rsidR="00000000" w:rsidDel="00000000" w:rsidP="00000000" w:rsidRDefault="00000000" w:rsidRPr="00000000" w14:paraId="00000018">
            <w:pPr>
              <w:spacing w:after="0" w:line="360" w:lineRule="auto"/>
              <w:jc w:val="center"/>
              <w:rPr/>
            </w:pPr>
            <w:r w:rsidDel="00000000" w:rsidR="00000000" w:rsidRPr="00000000">
              <w:rPr>
                <w:rtl w:val="0"/>
              </w:rPr>
              <w:t xml:space="preserve">Field strength</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9">
            <w:pPr>
              <w:spacing w:after="0" w:line="360" w:lineRule="auto"/>
              <w:jc w:val="center"/>
              <w:rPr/>
            </w:pPr>
            <w:r w:rsidDel="00000000" w:rsidR="00000000" w:rsidRPr="00000000">
              <w:rPr>
                <w:rtl w:val="0"/>
              </w:rPr>
              <w:t xml:space="preserve">≥ 1.5 Tesla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A">
            <w:pPr>
              <w:spacing w:after="0" w:line="360" w:lineRule="auto"/>
              <w:jc w:val="center"/>
              <w:rPr>
                <w:color w:val="ff0000"/>
              </w:rPr>
            </w:pPr>
            <w:r w:rsidDel="00000000" w:rsidR="00000000" w:rsidRPr="00000000">
              <w:rPr>
                <w:color w:val="ff0000"/>
                <w:rtl w:val="0"/>
              </w:rPr>
              <w:t xml:space="preserve">not specified</w:t>
            </w:r>
          </w:p>
        </w:tc>
      </w:tr>
      <w:tr>
        <w:trPr>
          <w:cantSplit w:val="0"/>
          <w:trHeight w:val="300" w:hRule="atLeast"/>
          <w:tblHeader w:val="0"/>
        </w:trPr>
        <w:tc>
          <w:tcPr>
            <w:tcBorders>
              <w:top w:color="000000" w:space="0" w:sz="0" w:val="nil"/>
              <w:left w:color="000000" w:space="0" w:sz="6" w:val="single"/>
              <w:bottom w:color="000000" w:space="0" w:sz="0" w:val="nil"/>
              <w:right w:color="000000" w:space="0" w:sz="6" w:val="single"/>
            </w:tcBorders>
            <w:shd w:fill="00b0f0" w:val="clear"/>
            <w:tcMar>
              <w:top w:w="0.0" w:type="dxa"/>
              <w:left w:w="100.0" w:type="dxa"/>
              <w:bottom w:w="0.0" w:type="dxa"/>
              <w:right w:w="100.0" w:type="dxa"/>
            </w:tcMar>
            <w:vAlign w:val="top"/>
          </w:tcPr>
          <w:p w:rsidR="00000000" w:rsidDel="00000000" w:rsidP="00000000" w:rsidRDefault="00000000" w:rsidRPr="00000000" w14:paraId="0000001B">
            <w:pPr>
              <w:spacing w:after="0" w:line="360" w:lineRule="auto"/>
              <w:jc w:val="center"/>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73feff" w:val="clear"/>
            <w:tcMar>
              <w:top w:w="0.0" w:type="dxa"/>
              <w:left w:w="100.0" w:type="dxa"/>
              <w:bottom w:w="0.0" w:type="dxa"/>
              <w:right w:w="100.0" w:type="dxa"/>
            </w:tcMar>
            <w:vAlign w:val="top"/>
          </w:tcPr>
          <w:p w:rsidR="00000000" w:rsidDel="00000000" w:rsidP="00000000" w:rsidRDefault="00000000" w:rsidRPr="00000000" w14:paraId="0000001C">
            <w:pPr>
              <w:spacing w:after="0" w:line="360" w:lineRule="auto"/>
              <w:jc w:val="center"/>
              <w:rPr/>
            </w:pPr>
            <w:r w:rsidDel="00000000" w:rsidR="00000000" w:rsidRPr="00000000">
              <w:rPr>
                <w:rtl w:val="0"/>
              </w:rPr>
              <w:t xml:space="preserve">GBCA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D">
            <w:pPr>
              <w:spacing w:after="0" w:line="360" w:lineRule="auto"/>
              <w:jc w:val="center"/>
              <w:rPr/>
            </w:pPr>
            <w:r w:rsidDel="00000000" w:rsidR="00000000" w:rsidRPr="00000000">
              <w:rPr>
                <w:rtl w:val="0"/>
              </w:rPr>
              <w:t xml:space="preserve">recommended</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E">
            <w:pPr>
              <w:spacing w:after="0" w:line="360" w:lineRule="auto"/>
              <w:jc w:val="center"/>
              <w:rPr/>
            </w:pPr>
            <w:r w:rsidDel="00000000" w:rsidR="00000000" w:rsidRPr="00000000">
              <w:rPr>
                <w:rtl w:val="0"/>
              </w:rPr>
              <w:t xml:space="preserve">mandatory</w:t>
            </w:r>
          </w:p>
        </w:tc>
      </w:tr>
      <w:tr>
        <w:trPr>
          <w:cantSplit w:val="0"/>
          <w:trHeight w:val="1410" w:hRule="atLeast"/>
          <w:tblHeader w:val="0"/>
        </w:trPr>
        <w:tc>
          <w:tcPr>
            <w:tcBorders>
              <w:top w:color="000000" w:space="0" w:sz="0" w:val="nil"/>
              <w:left w:color="000000" w:space="0" w:sz="6" w:val="single"/>
              <w:bottom w:color="000000" w:space="0" w:sz="0" w:val="nil"/>
              <w:right w:color="000000" w:space="0" w:sz="6" w:val="single"/>
            </w:tcBorders>
            <w:shd w:fill="00b0f0" w:val="clear"/>
            <w:tcMar>
              <w:top w:w="0.0" w:type="dxa"/>
              <w:left w:w="100.0" w:type="dxa"/>
              <w:bottom w:w="0.0" w:type="dxa"/>
              <w:right w:w="100.0" w:type="dxa"/>
            </w:tcMar>
            <w:vAlign w:val="top"/>
          </w:tcPr>
          <w:p w:rsidR="00000000" w:rsidDel="00000000" w:rsidP="00000000" w:rsidRDefault="00000000" w:rsidRPr="00000000" w14:paraId="0000001F">
            <w:pPr>
              <w:spacing w:after="0" w:line="360" w:lineRule="auto"/>
              <w:jc w:val="center"/>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73feff" w:val="clear"/>
            <w:tcMar>
              <w:top w:w="0.0" w:type="dxa"/>
              <w:left w:w="100.0" w:type="dxa"/>
              <w:bottom w:w="0.0" w:type="dxa"/>
              <w:right w:w="100.0" w:type="dxa"/>
            </w:tcMar>
            <w:vAlign w:val="top"/>
          </w:tcPr>
          <w:p w:rsidR="00000000" w:rsidDel="00000000" w:rsidP="00000000" w:rsidRDefault="00000000" w:rsidRPr="00000000" w14:paraId="00000020">
            <w:pPr>
              <w:spacing w:after="0" w:line="360" w:lineRule="auto"/>
              <w:jc w:val="center"/>
              <w:rPr/>
            </w:pPr>
            <w:r w:rsidDel="00000000" w:rsidR="00000000" w:rsidRPr="00000000">
              <w:rPr>
                <w:rtl w:val="0"/>
              </w:rPr>
              <w:t xml:space="preserve">Sequences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1">
            <w:pPr>
              <w:spacing w:after="0" w:line="360" w:lineRule="auto"/>
              <w:jc w:val="center"/>
              <w:rPr/>
            </w:pPr>
            <w:r w:rsidDel="00000000" w:rsidR="00000000" w:rsidRPr="00000000">
              <w:rPr>
                <w:rtl w:val="0"/>
              </w:rPr>
              <w:t xml:space="preserve">3D preferred</w:t>
            </w:r>
          </w:p>
          <w:p w:rsidR="00000000" w:rsidDel="00000000" w:rsidP="00000000" w:rsidRDefault="00000000" w:rsidRPr="00000000" w14:paraId="00000022">
            <w:pPr>
              <w:spacing w:after="0" w:line="360" w:lineRule="auto"/>
              <w:jc w:val="center"/>
              <w:rPr/>
            </w:pPr>
            <w:r w:rsidDel="00000000" w:rsidR="00000000" w:rsidRPr="00000000">
              <w:rPr>
                <w:u w:val="single"/>
                <w:rtl w:val="0"/>
              </w:rPr>
              <w:t xml:space="preserve">core:</w:t>
            </w:r>
            <w:r w:rsidDel="00000000" w:rsidR="00000000" w:rsidRPr="00000000">
              <w:rPr>
                <w:rtl w:val="0"/>
              </w:rPr>
              <w:t xml:space="preserve"> T2-FLAIR, axial T2, </w:t>
            </w:r>
            <w:r w:rsidDel="00000000" w:rsidR="00000000" w:rsidRPr="00000000">
              <w:rPr>
                <w:color w:val="ff0000"/>
                <w:rtl w:val="0"/>
              </w:rPr>
              <w:t xml:space="preserve">SWI</w:t>
            </w:r>
            <w:r w:rsidDel="00000000" w:rsidR="00000000" w:rsidRPr="00000000">
              <w:rPr>
                <w:rtl w:val="0"/>
              </w:rPr>
              <w:t xml:space="preserve">, CE-T1</w:t>
            </w:r>
          </w:p>
          <w:p w:rsidR="00000000" w:rsidDel="00000000" w:rsidP="00000000" w:rsidRDefault="00000000" w:rsidRPr="00000000" w14:paraId="00000023">
            <w:pPr>
              <w:spacing w:after="0" w:line="360" w:lineRule="auto"/>
              <w:jc w:val="center"/>
              <w:rPr/>
            </w:pPr>
            <w:r w:rsidDel="00000000" w:rsidR="00000000" w:rsidRPr="00000000">
              <w:rPr>
                <w:u w:val="single"/>
                <w:rtl w:val="0"/>
              </w:rPr>
              <w:t xml:space="preserve">additional:</w:t>
            </w:r>
            <w:r w:rsidDel="00000000" w:rsidR="00000000" w:rsidRPr="00000000">
              <w:rPr>
                <w:rtl w:val="0"/>
              </w:rPr>
              <w:t xml:space="preserve"> DWI, DIR or PSIR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4">
            <w:pPr>
              <w:spacing w:after="0" w:line="360" w:lineRule="auto"/>
              <w:jc w:val="center"/>
              <w:rPr/>
            </w:pPr>
            <w:r w:rsidDel="00000000" w:rsidR="00000000" w:rsidRPr="00000000">
              <w:rPr>
                <w:rtl w:val="0"/>
              </w:rPr>
              <w:t xml:space="preserve">2D / 3D equivalent</w:t>
            </w:r>
          </w:p>
          <w:p w:rsidR="00000000" w:rsidDel="00000000" w:rsidP="00000000" w:rsidRDefault="00000000" w:rsidRPr="00000000" w14:paraId="00000025">
            <w:pPr>
              <w:spacing w:after="0" w:line="360" w:lineRule="auto"/>
              <w:jc w:val="center"/>
              <w:rPr>
                <w:color w:val="ff0000"/>
              </w:rPr>
            </w:pPr>
            <w:r w:rsidDel="00000000" w:rsidR="00000000" w:rsidRPr="00000000">
              <w:rPr>
                <w:color w:val="ff0000"/>
                <w:u w:val="single"/>
                <w:rtl w:val="0"/>
              </w:rPr>
              <w:t xml:space="preserve">core:</w:t>
            </w:r>
            <w:r w:rsidDel="00000000" w:rsidR="00000000" w:rsidRPr="00000000">
              <w:rPr>
                <w:color w:val="ff0000"/>
                <w:rtl w:val="0"/>
              </w:rPr>
              <w:t xml:space="preserve"> Axial T2+PD (dual echo) or FLAIR + T1 + sagittal T2 [sic!]</w:t>
            </w:r>
          </w:p>
        </w:tc>
      </w:tr>
      <w:tr>
        <w:trPr>
          <w:cantSplit w:val="0"/>
          <w:trHeight w:val="975" w:hRule="atLeast"/>
          <w:tblHeader w:val="0"/>
        </w:trPr>
        <w:tc>
          <w:tcPr>
            <w:tcBorders>
              <w:top w:color="000000" w:space="0" w:sz="0" w:val="nil"/>
              <w:left w:color="000000" w:space="0" w:sz="6" w:val="single"/>
              <w:bottom w:color="000000" w:space="0" w:sz="6" w:val="single"/>
              <w:right w:color="000000" w:space="0" w:sz="6" w:val="single"/>
            </w:tcBorders>
            <w:shd w:fill="00b0f0" w:val="clear"/>
            <w:tcMar>
              <w:top w:w="0.0" w:type="dxa"/>
              <w:left w:w="100.0" w:type="dxa"/>
              <w:bottom w:w="0.0" w:type="dxa"/>
              <w:right w:w="100.0" w:type="dxa"/>
            </w:tcMar>
            <w:vAlign w:val="top"/>
          </w:tcPr>
          <w:p w:rsidR="00000000" w:rsidDel="00000000" w:rsidP="00000000" w:rsidRDefault="00000000" w:rsidRPr="00000000" w14:paraId="00000026">
            <w:pPr>
              <w:spacing w:after="0" w:line="360" w:lineRule="auto"/>
              <w:jc w:val="center"/>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73feff" w:val="clear"/>
            <w:tcMar>
              <w:top w:w="0.0" w:type="dxa"/>
              <w:left w:w="100.0" w:type="dxa"/>
              <w:bottom w:w="0.0" w:type="dxa"/>
              <w:right w:w="100.0" w:type="dxa"/>
            </w:tcMar>
            <w:vAlign w:val="top"/>
          </w:tcPr>
          <w:p w:rsidR="00000000" w:rsidDel="00000000" w:rsidP="00000000" w:rsidRDefault="00000000" w:rsidRPr="00000000" w14:paraId="00000027">
            <w:pPr>
              <w:spacing w:after="0" w:line="360" w:lineRule="auto"/>
              <w:jc w:val="center"/>
              <w:rPr/>
            </w:pPr>
            <w:r w:rsidDel="00000000" w:rsidR="00000000" w:rsidRPr="00000000">
              <w:rPr>
                <w:rtl w:val="0"/>
              </w:rPr>
              <w:t xml:space="preserve">Spatial resolution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8">
            <w:pPr>
              <w:spacing w:after="0" w:line="360" w:lineRule="auto"/>
              <w:jc w:val="center"/>
              <w:rPr>
                <w:vertAlign w:val="superscript"/>
              </w:rPr>
            </w:pPr>
            <w:r w:rsidDel="00000000" w:rsidR="00000000" w:rsidRPr="00000000">
              <w:rPr>
                <w:rtl w:val="0"/>
              </w:rPr>
              <w:t xml:space="preserve">3D: 1x1x1 mm</w:t>
            </w:r>
            <w:r w:rsidDel="00000000" w:rsidR="00000000" w:rsidRPr="00000000">
              <w:rPr>
                <w:vertAlign w:val="superscript"/>
                <w:rtl w:val="0"/>
              </w:rPr>
              <w:t xml:space="preserve">3</w:t>
            </w:r>
          </w:p>
          <w:p w:rsidR="00000000" w:rsidDel="00000000" w:rsidP="00000000" w:rsidRDefault="00000000" w:rsidRPr="00000000" w14:paraId="00000029">
            <w:pPr>
              <w:spacing w:after="0" w:line="360" w:lineRule="auto"/>
              <w:jc w:val="center"/>
              <w:rPr/>
            </w:pPr>
            <w:r w:rsidDel="00000000" w:rsidR="00000000" w:rsidRPr="00000000">
              <w:rPr>
                <w:rtl w:val="0"/>
              </w:rPr>
              <w:t xml:space="preserve">2D: 1x1x3 mm</w:t>
            </w:r>
            <w:r w:rsidDel="00000000" w:rsidR="00000000" w:rsidRPr="00000000">
              <w:rPr>
                <w:vertAlign w:val="superscript"/>
                <w:rtl w:val="0"/>
              </w:rPr>
              <w:t xml:space="preserve">3</w:t>
            </w:r>
            <w:r w:rsidDel="00000000" w:rsidR="00000000" w:rsidRPr="00000000">
              <w:rPr>
                <w:rtl w:val="0"/>
              </w:rPr>
              <w:t xml:space="preserve">, no interslice gap</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A">
            <w:pPr>
              <w:spacing w:after="0" w:line="360" w:lineRule="auto"/>
              <w:jc w:val="center"/>
              <w:rPr>
                <w:color w:val="ff0000"/>
                <w:vertAlign w:val="superscript"/>
              </w:rPr>
            </w:pPr>
            <w:r w:rsidDel="00000000" w:rsidR="00000000" w:rsidRPr="00000000">
              <w:rPr>
                <w:color w:val="ff0000"/>
                <w:rtl w:val="0"/>
              </w:rPr>
              <w:t xml:space="preserve">3D: 1.5x1.5x1.5 mm</w:t>
            </w:r>
            <w:r w:rsidDel="00000000" w:rsidR="00000000" w:rsidRPr="00000000">
              <w:rPr>
                <w:color w:val="ff0000"/>
                <w:vertAlign w:val="superscript"/>
                <w:rtl w:val="0"/>
              </w:rPr>
              <w:t xml:space="preserve">3</w:t>
            </w:r>
          </w:p>
          <w:p w:rsidR="00000000" w:rsidDel="00000000" w:rsidP="00000000" w:rsidRDefault="00000000" w:rsidRPr="00000000" w14:paraId="0000002B">
            <w:pPr>
              <w:spacing w:after="0" w:line="360" w:lineRule="auto"/>
              <w:jc w:val="center"/>
              <w:rPr>
                <w:color w:val="ff0000"/>
              </w:rPr>
            </w:pPr>
            <w:r w:rsidDel="00000000" w:rsidR="00000000" w:rsidRPr="00000000">
              <w:rPr>
                <w:color w:val="ff0000"/>
                <w:rtl w:val="0"/>
              </w:rPr>
              <w:t xml:space="preserve">2D: 1x1x5 mm</w:t>
            </w:r>
            <w:r w:rsidDel="00000000" w:rsidR="00000000" w:rsidRPr="00000000">
              <w:rPr>
                <w:color w:val="ff0000"/>
                <w:vertAlign w:val="superscript"/>
                <w:rtl w:val="0"/>
              </w:rPr>
              <w:t xml:space="preserve">3</w:t>
            </w:r>
            <w:r w:rsidDel="00000000" w:rsidR="00000000" w:rsidRPr="00000000">
              <w:rPr>
                <w:color w:val="ff0000"/>
                <w:rtl w:val="0"/>
              </w:rPr>
              <w:t xml:space="preserve">, unspecified gap</w:t>
            </w:r>
          </w:p>
        </w:tc>
      </w:tr>
      <w:tr>
        <w:trPr>
          <w:cantSplit w:val="0"/>
          <w:trHeight w:val="315" w:hRule="atLeast"/>
          <w:tblHeader w:val="0"/>
        </w:trPr>
        <w:tc>
          <w:tcPr>
            <w:tcBorders>
              <w:top w:color="000000" w:space="0" w:sz="0" w:val="nil"/>
              <w:left w:color="000000" w:space="0" w:sz="6" w:val="single"/>
              <w:bottom w:color="000000" w:space="0" w:sz="0" w:val="nil"/>
              <w:right w:color="000000" w:space="0" w:sz="6" w:val="single"/>
            </w:tcBorders>
            <w:shd w:fill="00b0f0" w:val="clear"/>
            <w:tcMar>
              <w:top w:w="0.0" w:type="dxa"/>
              <w:left w:w="100.0" w:type="dxa"/>
              <w:bottom w:w="0.0" w:type="dxa"/>
              <w:right w:w="100.0" w:type="dxa"/>
            </w:tcMar>
            <w:vAlign w:val="top"/>
          </w:tcPr>
          <w:p w:rsidR="00000000" w:rsidDel="00000000" w:rsidP="00000000" w:rsidRDefault="00000000" w:rsidRPr="00000000" w14:paraId="0000002C">
            <w:pPr>
              <w:spacing w:after="0" w:line="360" w:lineRule="auto"/>
              <w:jc w:val="center"/>
              <w:rPr/>
            </w:pPr>
            <w:r w:rsidDel="00000000" w:rsidR="00000000" w:rsidRPr="00000000">
              <w:rPr>
                <w:rtl w:val="0"/>
              </w:rPr>
              <w:t xml:space="preserve">Optic nerve^</w:t>
            </w:r>
          </w:p>
        </w:tc>
        <w:tc>
          <w:tcPr>
            <w:tcBorders>
              <w:top w:color="000000" w:space="0" w:sz="0" w:val="nil"/>
              <w:left w:color="000000" w:space="0" w:sz="0" w:val="nil"/>
              <w:bottom w:color="000000" w:space="0" w:sz="6" w:val="single"/>
              <w:right w:color="000000" w:space="0" w:sz="6" w:val="single"/>
            </w:tcBorders>
            <w:shd w:fill="73feff" w:val="clear"/>
            <w:tcMar>
              <w:top w:w="0.0" w:type="dxa"/>
              <w:left w:w="100.0" w:type="dxa"/>
              <w:bottom w:w="0.0" w:type="dxa"/>
              <w:right w:w="100.0" w:type="dxa"/>
            </w:tcMar>
            <w:vAlign w:val="top"/>
          </w:tcPr>
          <w:p w:rsidR="00000000" w:rsidDel="00000000" w:rsidP="00000000" w:rsidRDefault="00000000" w:rsidRPr="00000000" w14:paraId="0000002D">
            <w:pPr>
              <w:spacing w:after="0" w:line="360" w:lineRule="auto"/>
              <w:jc w:val="center"/>
              <w:rPr/>
            </w:pPr>
            <w:r w:rsidDel="00000000" w:rsidR="00000000" w:rsidRPr="00000000">
              <w:rPr>
                <w:rtl w:val="0"/>
              </w:rPr>
              <w:t xml:space="preserve">Field strength</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E">
            <w:pPr>
              <w:spacing w:after="0" w:line="360" w:lineRule="auto"/>
              <w:jc w:val="center"/>
              <w:rPr/>
            </w:pPr>
            <w:r w:rsidDel="00000000" w:rsidR="00000000" w:rsidRPr="00000000">
              <w:rPr>
                <w:rtl w:val="0"/>
              </w:rPr>
              <w:t xml:space="preserve">≥ 1.5 Tesla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F">
            <w:pPr>
              <w:spacing w:after="0" w:line="360" w:lineRule="auto"/>
              <w:jc w:val="center"/>
              <w:rPr>
                <w:color w:val="ff0000"/>
              </w:rPr>
            </w:pPr>
            <w:r w:rsidDel="00000000" w:rsidR="00000000" w:rsidRPr="00000000">
              <w:rPr>
                <w:color w:val="ff0000"/>
                <w:rtl w:val="0"/>
              </w:rPr>
              <w:t xml:space="preserve">not specified</w:t>
            </w:r>
          </w:p>
        </w:tc>
      </w:tr>
      <w:tr>
        <w:trPr>
          <w:cantSplit w:val="0"/>
          <w:trHeight w:val="855" w:hRule="atLeast"/>
          <w:tblHeader w:val="0"/>
        </w:trPr>
        <w:tc>
          <w:tcPr>
            <w:tcBorders>
              <w:top w:color="000000" w:space="0" w:sz="0" w:val="nil"/>
              <w:left w:color="000000" w:space="0" w:sz="6" w:val="single"/>
              <w:bottom w:color="000000" w:space="0" w:sz="0" w:val="nil"/>
              <w:right w:color="000000" w:space="0" w:sz="6" w:val="single"/>
            </w:tcBorders>
            <w:shd w:fill="00b0f0" w:val="clear"/>
            <w:tcMar>
              <w:top w:w="0.0" w:type="dxa"/>
              <w:left w:w="100.0" w:type="dxa"/>
              <w:bottom w:w="0.0" w:type="dxa"/>
              <w:right w:w="100.0" w:type="dxa"/>
            </w:tcMar>
            <w:vAlign w:val="top"/>
          </w:tcPr>
          <w:p w:rsidR="00000000" w:rsidDel="00000000" w:rsidP="00000000" w:rsidRDefault="00000000" w:rsidRPr="00000000" w14:paraId="00000030">
            <w:pPr>
              <w:spacing w:after="0" w:line="360" w:lineRule="auto"/>
              <w:jc w:val="center"/>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73feff" w:val="clear"/>
            <w:tcMar>
              <w:top w:w="0.0" w:type="dxa"/>
              <w:left w:w="100.0" w:type="dxa"/>
              <w:bottom w:w="0.0" w:type="dxa"/>
              <w:right w:w="100.0" w:type="dxa"/>
            </w:tcMar>
            <w:vAlign w:val="top"/>
          </w:tcPr>
          <w:p w:rsidR="00000000" w:rsidDel="00000000" w:rsidP="00000000" w:rsidRDefault="00000000" w:rsidRPr="00000000" w14:paraId="00000031">
            <w:pPr>
              <w:spacing w:after="0" w:line="360" w:lineRule="auto"/>
              <w:jc w:val="center"/>
              <w:rPr/>
            </w:pPr>
            <w:r w:rsidDel="00000000" w:rsidR="00000000" w:rsidRPr="00000000">
              <w:rPr>
                <w:rtl w:val="0"/>
              </w:rPr>
              <w:t xml:space="preserve">GBCA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2">
            <w:pPr>
              <w:spacing w:after="0" w:line="360" w:lineRule="auto"/>
              <w:jc w:val="center"/>
              <w:rPr/>
            </w:pPr>
            <w:r w:rsidDel="00000000" w:rsidR="00000000" w:rsidRPr="00000000">
              <w:rPr>
                <w:rtl w:val="0"/>
              </w:rPr>
              <w:t xml:space="preserve">recommended</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3">
            <w:pPr>
              <w:spacing w:after="0" w:line="360" w:lineRule="auto"/>
              <w:jc w:val="center"/>
              <w:rPr/>
            </w:pPr>
            <w:r w:rsidDel="00000000" w:rsidR="00000000" w:rsidRPr="00000000">
              <w:rPr>
                <w:color w:val="ff0000"/>
                <w:rtl w:val="0"/>
              </w:rPr>
              <w:t xml:space="preserve">optional</w:t>
            </w:r>
            <w:r w:rsidDel="00000000" w:rsidR="00000000" w:rsidRPr="00000000">
              <w:rPr>
                <w:rtl w:val="0"/>
              </w:rPr>
              <w:t xml:space="preserve">, if applied at least 2 CE planes required</w:t>
            </w:r>
          </w:p>
        </w:tc>
      </w:tr>
      <w:tr>
        <w:trPr>
          <w:cantSplit w:val="0"/>
          <w:trHeight w:val="1965" w:hRule="atLeast"/>
          <w:tblHeader w:val="0"/>
        </w:trPr>
        <w:tc>
          <w:tcPr>
            <w:tcBorders>
              <w:top w:color="000000" w:space="0" w:sz="0" w:val="nil"/>
              <w:left w:color="000000" w:space="0" w:sz="6" w:val="single"/>
              <w:bottom w:color="000000" w:space="0" w:sz="0" w:val="nil"/>
              <w:right w:color="000000" w:space="0" w:sz="6" w:val="single"/>
            </w:tcBorders>
            <w:shd w:fill="00b0f0" w:val="clear"/>
            <w:tcMar>
              <w:top w:w="0.0" w:type="dxa"/>
              <w:left w:w="100.0" w:type="dxa"/>
              <w:bottom w:w="0.0" w:type="dxa"/>
              <w:right w:w="100.0" w:type="dxa"/>
            </w:tcMar>
            <w:vAlign w:val="top"/>
          </w:tcPr>
          <w:p w:rsidR="00000000" w:rsidDel="00000000" w:rsidP="00000000" w:rsidRDefault="00000000" w:rsidRPr="00000000" w14:paraId="00000034">
            <w:pPr>
              <w:spacing w:after="0" w:line="360" w:lineRule="auto"/>
              <w:jc w:val="center"/>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73feff" w:val="clear"/>
            <w:tcMar>
              <w:top w:w="0.0" w:type="dxa"/>
              <w:left w:w="100.0" w:type="dxa"/>
              <w:bottom w:w="0.0" w:type="dxa"/>
              <w:right w:w="100.0" w:type="dxa"/>
            </w:tcMar>
            <w:vAlign w:val="top"/>
          </w:tcPr>
          <w:p w:rsidR="00000000" w:rsidDel="00000000" w:rsidP="00000000" w:rsidRDefault="00000000" w:rsidRPr="00000000" w14:paraId="00000035">
            <w:pPr>
              <w:spacing w:after="0" w:line="360" w:lineRule="auto"/>
              <w:jc w:val="center"/>
              <w:rPr/>
            </w:pPr>
            <w:r w:rsidDel="00000000" w:rsidR="00000000" w:rsidRPr="00000000">
              <w:rPr>
                <w:rtl w:val="0"/>
              </w:rPr>
              <w:t xml:space="preserve">Sequences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6">
            <w:pPr>
              <w:spacing w:after="0" w:line="360" w:lineRule="auto"/>
              <w:jc w:val="center"/>
              <w:rPr/>
            </w:pPr>
            <w:r w:rsidDel="00000000" w:rsidR="00000000" w:rsidRPr="00000000">
              <w:rPr>
                <w:rtl w:val="0"/>
              </w:rPr>
              <w:t xml:space="preserve">2D or 3D</w:t>
            </w:r>
          </w:p>
          <w:p w:rsidR="00000000" w:rsidDel="00000000" w:rsidP="00000000" w:rsidRDefault="00000000" w:rsidRPr="00000000" w14:paraId="00000037">
            <w:pPr>
              <w:spacing w:after="0" w:line="360" w:lineRule="auto"/>
              <w:jc w:val="center"/>
              <w:rPr/>
            </w:pPr>
            <w:r w:rsidDel="00000000" w:rsidR="00000000" w:rsidRPr="00000000">
              <w:rPr>
                <w:u w:val="single"/>
                <w:rtl w:val="0"/>
              </w:rPr>
              <w:t xml:space="preserve">core:</w:t>
            </w:r>
            <w:r w:rsidDel="00000000" w:rsidR="00000000" w:rsidRPr="00000000">
              <w:rPr>
                <w:rtl w:val="0"/>
              </w:rPr>
              <w:t xml:space="preserve"> coronal FS-T2 or STIR, coronal CE-FS-T1</w:t>
            </w:r>
          </w:p>
          <w:p w:rsidR="00000000" w:rsidDel="00000000" w:rsidP="00000000" w:rsidRDefault="00000000" w:rsidRPr="00000000" w14:paraId="00000038">
            <w:pPr>
              <w:spacing w:after="0" w:line="360" w:lineRule="auto"/>
              <w:jc w:val="center"/>
              <w:rPr/>
            </w:pPr>
            <w:r w:rsidDel="00000000" w:rsidR="00000000" w:rsidRPr="00000000">
              <w:rPr>
                <w:u w:val="single"/>
                <w:rtl w:val="0"/>
              </w:rPr>
              <w:t xml:space="preserve">additional:</w:t>
            </w:r>
            <w:r w:rsidDel="00000000" w:rsidR="00000000" w:rsidRPr="00000000">
              <w:rPr>
                <w:rtl w:val="0"/>
              </w:rPr>
              <w:t xml:space="preserve"> axial FS-T2 or STIR and CE-FS-T1, 3D DIR (brain &amp; ON)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9">
            <w:pPr>
              <w:spacing w:after="0" w:line="360" w:lineRule="auto"/>
              <w:jc w:val="center"/>
              <w:rPr>
                <w:color w:val="ff0000"/>
              </w:rPr>
            </w:pPr>
            <w:r w:rsidDel="00000000" w:rsidR="00000000" w:rsidRPr="00000000">
              <w:rPr>
                <w:color w:val="ff0000"/>
                <w:rtl w:val="0"/>
              </w:rPr>
              <w:t xml:space="preserve">2D / 3D equivalent</w:t>
            </w:r>
          </w:p>
          <w:p w:rsidR="00000000" w:rsidDel="00000000" w:rsidP="00000000" w:rsidRDefault="00000000" w:rsidRPr="00000000" w14:paraId="0000003A">
            <w:pPr>
              <w:spacing w:after="0" w:line="360" w:lineRule="auto"/>
              <w:jc w:val="center"/>
              <w:rPr>
                <w:color w:val="ff0000"/>
              </w:rPr>
            </w:pPr>
            <w:r w:rsidDel="00000000" w:rsidR="00000000" w:rsidRPr="00000000">
              <w:rPr>
                <w:color w:val="ff0000"/>
                <w:u w:val="single"/>
                <w:rtl w:val="0"/>
              </w:rPr>
              <w:t xml:space="preserve">core:</w:t>
            </w:r>
            <w:r w:rsidDel="00000000" w:rsidR="00000000" w:rsidRPr="00000000">
              <w:rPr>
                <w:color w:val="ff0000"/>
                <w:rtl w:val="0"/>
              </w:rPr>
              <w:t xml:space="preserve"> axial &amp; coronal or sagittal T2 with or without [sic!] FS, T1 without and with FS (presumably for CE scans)</w:t>
            </w:r>
          </w:p>
        </w:tc>
      </w:tr>
      <w:tr>
        <w:trPr>
          <w:cantSplit w:val="0"/>
          <w:trHeight w:val="1530" w:hRule="atLeast"/>
          <w:tblHeader w:val="0"/>
        </w:trPr>
        <w:tc>
          <w:tcPr>
            <w:tcBorders>
              <w:top w:color="000000" w:space="0" w:sz="0" w:val="nil"/>
              <w:left w:color="000000" w:space="0" w:sz="6" w:val="single"/>
              <w:bottom w:color="000000" w:space="0" w:sz="6" w:val="single"/>
              <w:right w:color="000000" w:space="0" w:sz="6" w:val="single"/>
            </w:tcBorders>
            <w:shd w:fill="00b0f0" w:val="clear"/>
            <w:tcMar>
              <w:top w:w="0.0" w:type="dxa"/>
              <w:left w:w="100.0" w:type="dxa"/>
              <w:bottom w:w="0.0" w:type="dxa"/>
              <w:right w:w="100.0" w:type="dxa"/>
            </w:tcMar>
            <w:vAlign w:val="top"/>
          </w:tcPr>
          <w:p w:rsidR="00000000" w:rsidDel="00000000" w:rsidP="00000000" w:rsidRDefault="00000000" w:rsidRPr="00000000" w14:paraId="0000003B">
            <w:pPr>
              <w:spacing w:after="0" w:line="360" w:lineRule="auto"/>
              <w:jc w:val="center"/>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73feff" w:val="clear"/>
            <w:tcMar>
              <w:top w:w="0.0" w:type="dxa"/>
              <w:left w:w="100.0" w:type="dxa"/>
              <w:bottom w:w="0.0" w:type="dxa"/>
              <w:right w:w="100.0" w:type="dxa"/>
            </w:tcMar>
            <w:vAlign w:val="top"/>
          </w:tcPr>
          <w:p w:rsidR="00000000" w:rsidDel="00000000" w:rsidP="00000000" w:rsidRDefault="00000000" w:rsidRPr="00000000" w14:paraId="0000003C">
            <w:pPr>
              <w:spacing w:after="0" w:line="360" w:lineRule="auto"/>
              <w:jc w:val="center"/>
              <w:rPr/>
            </w:pPr>
            <w:r w:rsidDel="00000000" w:rsidR="00000000" w:rsidRPr="00000000">
              <w:rPr>
                <w:rtl w:val="0"/>
              </w:rPr>
              <w:t xml:space="preserve">Spatial resolution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D">
            <w:pPr>
              <w:spacing w:after="0" w:line="360" w:lineRule="auto"/>
              <w:jc w:val="center"/>
              <w:rPr/>
            </w:pPr>
            <w:r w:rsidDel="00000000" w:rsidR="00000000" w:rsidRPr="00000000">
              <w:rPr>
                <w:rtl w:val="0"/>
              </w:rPr>
              <w:t xml:space="preserve">1x1x2-3 mm</w:t>
            </w:r>
            <w:r w:rsidDel="00000000" w:rsidR="00000000" w:rsidRPr="00000000">
              <w:rPr>
                <w:vertAlign w:val="superscript"/>
                <w:rtl w:val="0"/>
              </w:rPr>
              <w:t xml:space="preserve">3</w:t>
            </w:r>
            <w:r w:rsidDel="00000000" w:rsidR="00000000" w:rsidRPr="00000000">
              <w:rPr>
                <w:rtl w:val="0"/>
              </w:rPr>
              <w:t xml:space="preserve"> (2D / 3D not discriminated but 3D DIR for brain &amp; ON 1x1x1 mm</w:t>
            </w:r>
            <w:r w:rsidDel="00000000" w:rsidR="00000000" w:rsidRPr="00000000">
              <w:rPr>
                <w:vertAlign w:val="superscript"/>
                <w:rtl w:val="0"/>
              </w:rPr>
              <w:t xml:space="preserve">3</w:t>
            </w:r>
            <w:r w:rsidDel="00000000" w:rsidR="00000000" w:rsidRPr="00000000">
              <w:rPr>
                <w:rtl w:val="0"/>
              </w:rPr>
              <w:t xml:space="preserve">),</w:t>
            </w:r>
          </w:p>
          <w:p w:rsidR="00000000" w:rsidDel="00000000" w:rsidP="00000000" w:rsidRDefault="00000000" w:rsidRPr="00000000" w14:paraId="0000003E">
            <w:pPr>
              <w:spacing w:after="0" w:line="360" w:lineRule="auto"/>
              <w:jc w:val="center"/>
              <w:rPr/>
            </w:pPr>
            <w:r w:rsidDel="00000000" w:rsidR="00000000" w:rsidRPr="00000000">
              <w:rPr>
                <w:rtl w:val="0"/>
              </w:rPr>
              <w:t xml:space="preserve">no interslice gap</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F">
            <w:pPr>
              <w:spacing w:after="0" w:line="360" w:lineRule="auto"/>
              <w:jc w:val="center"/>
              <w:rPr/>
            </w:pPr>
            <w:r w:rsidDel="00000000" w:rsidR="00000000" w:rsidRPr="00000000">
              <w:rPr>
                <w:color w:val="ff0000"/>
                <w:rtl w:val="0"/>
              </w:rPr>
              <w:t xml:space="preserve">2D: 1x1x3 mm</w:t>
            </w:r>
            <w:r w:rsidDel="00000000" w:rsidR="00000000" w:rsidRPr="00000000">
              <w:rPr>
                <w:color w:val="ff0000"/>
                <w:vertAlign w:val="superscript"/>
                <w:rtl w:val="0"/>
              </w:rPr>
              <w:t xml:space="preserve">3</w:t>
            </w:r>
            <w:r w:rsidDel="00000000" w:rsidR="00000000" w:rsidRPr="00000000">
              <w:rPr>
                <w:rtl w:val="0"/>
              </w:rPr>
              <w:t xml:space="preserve">,</w:t>
            </w:r>
          </w:p>
          <w:p w:rsidR="00000000" w:rsidDel="00000000" w:rsidP="00000000" w:rsidRDefault="00000000" w:rsidRPr="00000000" w14:paraId="00000040">
            <w:pPr>
              <w:spacing w:after="0" w:line="360" w:lineRule="auto"/>
              <w:jc w:val="center"/>
              <w:rPr/>
            </w:pPr>
            <w:r w:rsidDel="00000000" w:rsidR="00000000" w:rsidRPr="00000000">
              <w:rPr>
                <w:rtl w:val="0"/>
              </w:rPr>
              <w:t xml:space="preserve">3D: 1x1x1 mm</w:t>
            </w:r>
            <w:r w:rsidDel="00000000" w:rsidR="00000000" w:rsidRPr="00000000">
              <w:rPr>
                <w:vertAlign w:val="superscript"/>
                <w:rtl w:val="0"/>
              </w:rPr>
              <w:t xml:space="preserve">3</w:t>
            </w:r>
            <w:r w:rsidDel="00000000" w:rsidR="00000000" w:rsidRPr="00000000">
              <w:rPr>
                <w:rtl w:val="0"/>
              </w:rPr>
              <w:t xml:space="preserve">,</w:t>
            </w:r>
          </w:p>
          <w:p w:rsidR="00000000" w:rsidDel="00000000" w:rsidP="00000000" w:rsidRDefault="00000000" w:rsidRPr="00000000" w14:paraId="00000041">
            <w:pPr>
              <w:spacing w:after="0" w:line="360" w:lineRule="auto"/>
              <w:jc w:val="center"/>
              <w:rPr>
                <w:color w:val="ff0000"/>
              </w:rPr>
            </w:pPr>
            <w:r w:rsidDel="00000000" w:rsidR="00000000" w:rsidRPr="00000000">
              <w:rPr>
                <w:color w:val="ff0000"/>
                <w:rtl w:val="0"/>
              </w:rPr>
              <w:t xml:space="preserve">unspecified gap</w:t>
            </w:r>
          </w:p>
        </w:tc>
      </w:tr>
      <w:tr>
        <w:trPr>
          <w:cantSplit w:val="0"/>
          <w:trHeight w:val="330" w:hRule="atLeast"/>
          <w:tblHeader w:val="0"/>
        </w:trPr>
        <w:tc>
          <w:tcPr>
            <w:tcBorders>
              <w:top w:color="000000" w:space="0" w:sz="0" w:val="nil"/>
              <w:left w:color="000000" w:space="0" w:sz="6" w:val="single"/>
              <w:bottom w:color="000000" w:space="0" w:sz="0" w:val="nil"/>
              <w:right w:color="000000" w:space="0" w:sz="6" w:val="single"/>
            </w:tcBorders>
            <w:shd w:fill="00b0f0" w:val="clear"/>
            <w:tcMar>
              <w:top w:w="0.0" w:type="dxa"/>
              <w:left w:w="100.0" w:type="dxa"/>
              <w:bottom w:w="0.0" w:type="dxa"/>
              <w:right w:w="100.0" w:type="dxa"/>
            </w:tcMar>
            <w:vAlign w:val="top"/>
          </w:tcPr>
          <w:p w:rsidR="00000000" w:rsidDel="00000000" w:rsidP="00000000" w:rsidRDefault="00000000" w:rsidRPr="00000000" w14:paraId="00000042">
            <w:pPr>
              <w:spacing w:after="0" w:line="360" w:lineRule="auto"/>
              <w:jc w:val="center"/>
              <w:rPr>
                <w:vertAlign w:val="superscript"/>
              </w:rPr>
            </w:pPr>
            <w:r w:rsidDel="00000000" w:rsidR="00000000" w:rsidRPr="00000000">
              <w:rPr>
                <w:rtl w:val="0"/>
              </w:rPr>
              <w:t xml:space="preserve">Spinal cord</w:t>
            </w:r>
            <w:r w:rsidDel="00000000" w:rsidR="00000000" w:rsidRPr="00000000">
              <w:rPr>
                <w:vertAlign w:val="superscript"/>
                <w:rtl w:val="0"/>
              </w:rPr>
              <w:t xml:space="preserve">#</w:t>
            </w:r>
          </w:p>
        </w:tc>
        <w:tc>
          <w:tcPr>
            <w:tcBorders>
              <w:top w:color="000000" w:space="0" w:sz="0" w:val="nil"/>
              <w:left w:color="000000" w:space="0" w:sz="0" w:val="nil"/>
              <w:bottom w:color="000000" w:space="0" w:sz="6" w:val="single"/>
              <w:right w:color="000000" w:space="0" w:sz="6" w:val="single"/>
            </w:tcBorders>
            <w:shd w:fill="73feff" w:val="clear"/>
            <w:tcMar>
              <w:top w:w="0.0" w:type="dxa"/>
              <w:left w:w="100.0" w:type="dxa"/>
              <w:bottom w:w="0.0" w:type="dxa"/>
              <w:right w:w="100.0" w:type="dxa"/>
            </w:tcMar>
            <w:vAlign w:val="top"/>
          </w:tcPr>
          <w:p w:rsidR="00000000" w:rsidDel="00000000" w:rsidP="00000000" w:rsidRDefault="00000000" w:rsidRPr="00000000" w14:paraId="00000043">
            <w:pPr>
              <w:spacing w:after="0" w:line="360" w:lineRule="auto"/>
              <w:jc w:val="center"/>
              <w:rPr/>
            </w:pPr>
            <w:r w:rsidDel="00000000" w:rsidR="00000000" w:rsidRPr="00000000">
              <w:rPr>
                <w:rtl w:val="0"/>
              </w:rPr>
              <w:t xml:space="preserve">Field strength</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4">
            <w:pPr>
              <w:spacing w:after="0" w:line="360" w:lineRule="auto"/>
              <w:jc w:val="center"/>
              <w:rPr/>
            </w:pPr>
            <w:r w:rsidDel="00000000" w:rsidR="00000000" w:rsidRPr="00000000">
              <w:rPr>
                <w:rtl w:val="0"/>
              </w:rPr>
              <w:t xml:space="preserve">≥ 1.5 Tesla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5">
            <w:pPr>
              <w:spacing w:after="0" w:line="360" w:lineRule="auto"/>
              <w:jc w:val="center"/>
              <w:rPr>
                <w:color w:val="ff0000"/>
              </w:rPr>
            </w:pPr>
            <w:r w:rsidDel="00000000" w:rsidR="00000000" w:rsidRPr="00000000">
              <w:rPr>
                <w:color w:val="ff0000"/>
                <w:rtl w:val="0"/>
              </w:rPr>
              <w:t xml:space="preserve">not specified</w:t>
            </w:r>
          </w:p>
        </w:tc>
      </w:tr>
      <w:tr>
        <w:trPr>
          <w:cantSplit w:val="0"/>
          <w:trHeight w:val="855" w:hRule="atLeast"/>
          <w:tblHeader w:val="0"/>
        </w:trPr>
        <w:tc>
          <w:tcPr>
            <w:tcBorders>
              <w:top w:color="000000" w:space="0" w:sz="0" w:val="nil"/>
              <w:left w:color="000000" w:space="0" w:sz="6" w:val="single"/>
              <w:bottom w:color="000000" w:space="0" w:sz="0" w:val="nil"/>
              <w:right w:color="000000" w:space="0" w:sz="6" w:val="single"/>
            </w:tcBorders>
            <w:shd w:fill="00b0f0" w:val="clear"/>
            <w:tcMar>
              <w:top w:w="0.0" w:type="dxa"/>
              <w:left w:w="100.0" w:type="dxa"/>
              <w:bottom w:w="0.0" w:type="dxa"/>
              <w:right w:w="100.0" w:type="dxa"/>
            </w:tcMar>
            <w:vAlign w:val="top"/>
          </w:tcPr>
          <w:p w:rsidR="00000000" w:rsidDel="00000000" w:rsidP="00000000" w:rsidRDefault="00000000" w:rsidRPr="00000000" w14:paraId="00000046">
            <w:pPr>
              <w:spacing w:after="0" w:line="360" w:lineRule="auto"/>
              <w:jc w:val="center"/>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73feff" w:val="clear"/>
            <w:tcMar>
              <w:top w:w="0.0" w:type="dxa"/>
              <w:left w:w="100.0" w:type="dxa"/>
              <w:bottom w:w="0.0" w:type="dxa"/>
              <w:right w:w="100.0" w:type="dxa"/>
            </w:tcMar>
            <w:vAlign w:val="top"/>
          </w:tcPr>
          <w:p w:rsidR="00000000" w:rsidDel="00000000" w:rsidP="00000000" w:rsidRDefault="00000000" w:rsidRPr="00000000" w14:paraId="00000047">
            <w:pPr>
              <w:spacing w:after="0" w:line="360" w:lineRule="auto"/>
              <w:jc w:val="center"/>
              <w:rPr/>
            </w:pPr>
            <w:r w:rsidDel="00000000" w:rsidR="00000000" w:rsidRPr="00000000">
              <w:rPr>
                <w:rtl w:val="0"/>
              </w:rPr>
              <w:t xml:space="preserve">GBCA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8">
            <w:pPr>
              <w:spacing w:after="0" w:line="360" w:lineRule="auto"/>
              <w:jc w:val="center"/>
              <w:rPr/>
            </w:pPr>
            <w:r w:rsidDel="00000000" w:rsidR="00000000" w:rsidRPr="00000000">
              <w:rPr>
                <w:rtl w:val="0"/>
              </w:rPr>
              <w:t xml:space="preserve">recommended</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9">
            <w:pPr>
              <w:spacing w:after="0" w:line="360" w:lineRule="auto"/>
              <w:jc w:val="center"/>
              <w:rPr/>
            </w:pPr>
            <w:r w:rsidDel="00000000" w:rsidR="00000000" w:rsidRPr="00000000">
              <w:rPr>
                <w:color w:val="ff0000"/>
                <w:rtl w:val="0"/>
              </w:rPr>
              <w:t xml:space="preserve">optional</w:t>
            </w:r>
            <w:r w:rsidDel="00000000" w:rsidR="00000000" w:rsidRPr="00000000">
              <w:rPr>
                <w:rtl w:val="0"/>
              </w:rPr>
              <w:t xml:space="preserve">, if applied at least 2 CE planes required</w:t>
            </w:r>
          </w:p>
        </w:tc>
      </w:tr>
      <w:tr>
        <w:trPr>
          <w:cantSplit w:val="0"/>
          <w:trHeight w:val="2895" w:hRule="atLeast"/>
          <w:tblHeader w:val="0"/>
        </w:trPr>
        <w:tc>
          <w:tcPr>
            <w:tcBorders>
              <w:top w:color="000000" w:space="0" w:sz="0" w:val="nil"/>
              <w:left w:color="000000" w:space="0" w:sz="6" w:val="single"/>
              <w:bottom w:color="000000" w:space="0" w:sz="0" w:val="nil"/>
              <w:right w:color="000000" w:space="0" w:sz="6" w:val="single"/>
            </w:tcBorders>
            <w:shd w:fill="00b0f0" w:val="clear"/>
            <w:tcMar>
              <w:top w:w="0.0" w:type="dxa"/>
              <w:left w:w="100.0" w:type="dxa"/>
              <w:bottom w:w="0.0" w:type="dxa"/>
              <w:right w:w="100.0" w:type="dxa"/>
            </w:tcMar>
            <w:vAlign w:val="top"/>
          </w:tcPr>
          <w:p w:rsidR="00000000" w:rsidDel="00000000" w:rsidP="00000000" w:rsidRDefault="00000000" w:rsidRPr="00000000" w14:paraId="0000004A">
            <w:pPr>
              <w:spacing w:after="0" w:line="360" w:lineRule="auto"/>
              <w:jc w:val="center"/>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73feff" w:val="clear"/>
            <w:tcMar>
              <w:top w:w="0.0" w:type="dxa"/>
              <w:left w:w="100.0" w:type="dxa"/>
              <w:bottom w:w="0.0" w:type="dxa"/>
              <w:right w:w="100.0" w:type="dxa"/>
            </w:tcMar>
            <w:vAlign w:val="top"/>
          </w:tcPr>
          <w:p w:rsidR="00000000" w:rsidDel="00000000" w:rsidP="00000000" w:rsidRDefault="00000000" w:rsidRPr="00000000" w14:paraId="0000004B">
            <w:pPr>
              <w:spacing w:after="0" w:line="360" w:lineRule="auto"/>
              <w:jc w:val="center"/>
              <w:rPr/>
            </w:pPr>
            <w:r w:rsidDel="00000000" w:rsidR="00000000" w:rsidRPr="00000000">
              <w:rPr>
                <w:rtl w:val="0"/>
              </w:rPr>
              <w:t xml:space="preserve">Sequences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C">
            <w:pPr>
              <w:spacing w:after="0" w:line="360" w:lineRule="auto"/>
              <w:jc w:val="center"/>
              <w:rPr/>
            </w:pPr>
            <w:r w:rsidDel="00000000" w:rsidR="00000000" w:rsidRPr="00000000">
              <w:rPr>
                <w:u w:val="single"/>
                <w:rtl w:val="0"/>
              </w:rPr>
              <w:t xml:space="preserve">core:</w:t>
            </w:r>
            <w:r w:rsidDel="00000000" w:rsidR="00000000" w:rsidRPr="00000000">
              <w:rPr>
                <w:rtl w:val="0"/>
              </w:rPr>
              <w:t xml:space="preserve"> 2 of 5 sagittal complementary sequences (T2, PD, STIR</w:t>
            </w:r>
            <w:r w:rsidDel="00000000" w:rsidR="00000000" w:rsidRPr="00000000">
              <w:rPr>
                <w:vertAlign w:val="superscript"/>
                <w:rtl w:val="0"/>
              </w:rPr>
              <w:t xml:space="preserve">†</w:t>
            </w:r>
            <w:r w:rsidDel="00000000" w:rsidR="00000000" w:rsidRPr="00000000">
              <w:rPr>
                <w:rtl w:val="0"/>
              </w:rPr>
              <w:t xml:space="preserve">, PSIR &amp; MP[2]RAGE), axial T2-(T)SE/GRE or multiplanar MP[2]RAGE reconstructions</w:t>
            </w:r>
            <w:r w:rsidDel="00000000" w:rsidR="00000000" w:rsidRPr="00000000">
              <w:rPr>
                <w:vertAlign w:val="superscript"/>
                <w:rtl w:val="0"/>
              </w:rPr>
              <w:t xml:space="preserve">‡</w:t>
            </w:r>
            <w:r w:rsidDel="00000000" w:rsidR="00000000" w:rsidRPr="00000000">
              <w:rPr>
                <w:rtl w:val="0"/>
              </w:rPr>
              <w:t xml:space="preserve">, sagittal CE-T1</w:t>
            </w:r>
          </w:p>
          <w:p w:rsidR="00000000" w:rsidDel="00000000" w:rsidP="00000000" w:rsidRDefault="00000000" w:rsidRPr="00000000" w14:paraId="0000004D">
            <w:pPr>
              <w:spacing w:after="0" w:line="360" w:lineRule="auto"/>
              <w:jc w:val="center"/>
              <w:rPr/>
            </w:pPr>
            <w:r w:rsidDel="00000000" w:rsidR="00000000" w:rsidRPr="00000000">
              <w:rPr>
                <w:u w:val="single"/>
                <w:rtl w:val="0"/>
              </w:rPr>
              <w:t xml:space="preserve">additional:</w:t>
            </w:r>
            <w:r w:rsidDel="00000000" w:rsidR="00000000" w:rsidRPr="00000000">
              <w:rPr>
                <w:rtl w:val="0"/>
              </w:rPr>
              <w:t xml:space="preserve"> axial CE-T1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E">
            <w:pPr>
              <w:spacing w:after="0" w:line="360" w:lineRule="auto"/>
              <w:jc w:val="center"/>
              <w:rPr>
                <w:color w:val="ff0000"/>
              </w:rPr>
            </w:pPr>
            <w:r w:rsidDel="00000000" w:rsidR="00000000" w:rsidRPr="00000000">
              <w:rPr>
                <w:color w:val="ff0000"/>
                <w:u w:val="single"/>
                <w:rtl w:val="0"/>
              </w:rPr>
              <w:t xml:space="preserve">core:</w:t>
            </w:r>
            <w:r w:rsidDel="00000000" w:rsidR="00000000" w:rsidRPr="00000000">
              <w:rPr>
                <w:color w:val="ff0000"/>
                <w:rtl w:val="0"/>
              </w:rPr>
              <w:t xml:space="preserve"> Sagittal &amp; axial T1 + T2, coronar or other angulations optional,</w:t>
            </w:r>
          </w:p>
          <w:p w:rsidR="00000000" w:rsidDel="00000000" w:rsidP="00000000" w:rsidRDefault="00000000" w:rsidRPr="00000000" w14:paraId="0000004F">
            <w:pPr>
              <w:spacing w:after="0" w:line="360" w:lineRule="auto"/>
              <w:jc w:val="center"/>
              <w:rPr>
                <w:color w:val="ff0000"/>
              </w:rPr>
            </w:pPr>
            <w:r w:rsidDel="00000000" w:rsidR="00000000" w:rsidRPr="00000000">
              <w:rPr>
                <w:color w:val="ff0000"/>
                <w:u w:val="single"/>
                <w:rtl w:val="0"/>
              </w:rPr>
              <w:t xml:space="preserve">additional:</w:t>
            </w:r>
            <w:r w:rsidDel="00000000" w:rsidR="00000000" w:rsidRPr="00000000">
              <w:rPr>
                <w:color w:val="ff0000"/>
                <w:rtl w:val="0"/>
              </w:rPr>
              <w:t xml:space="preserve"> T2*, [PS]IR and FS-PD for cervical &amp; thoracic spine; PD, T2* &amp; T2-FS for lumbar spine</w:t>
            </w:r>
          </w:p>
        </w:tc>
      </w:tr>
      <w:tr>
        <w:trPr>
          <w:cantSplit w:val="0"/>
          <w:trHeight w:val="1875" w:hRule="atLeast"/>
          <w:tblHeader w:val="0"/>
        </w:trPr>
        <w:tc>
          <w:tcPr>
            <w:tcBorders>
              <w:top w:color="000000" w:space="0" w:sz="0" w:val="nil"/>
              <w:left w:color="000000" w:space="0" w:sz="6" w:val="single"/>
              <w:bottom w:color="000000" w:space="0" w:sz="6" w:val="single"/>
              <w:right w:color="000000" w:space="0" w:sz="6" w:val="single"/>
            </w:tcBorders>
            <w:shd w:fill="00b0f0" w:val="clear"/>
            <w:tcMar>
              <w:top w:w="0.0" w:type="dxa"/>
              <w:left w:w="100.0" w:type="dxa"/>
              <w:bottom w:w="0.0" w:type="dxa"/>
              <w:right w:w="100.0" w:type="dxa"/>
            </w:tcMar>
            <w:vAlign w:val="top"/>
          </w:tcPr>
          <w:p w:rsidR="00000000" w:rsidDel="00000000" w:rsidP="00000000" w:rsidRDefault="00000000" w:rsidRPr="00000000" w14:paraId="00000050">
            <w:pPr>
              <w:spacing w:after="0" w:line="360" w:lineRule="auto"/>
              <w:jc w:val="center"/>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73feff" w:val="clear"/>
            <w:tcMar>
              <w:top w:w="0.0" w:type="dxa"/>
              <w:left w:w="100.0" w:type="dxa"/>
              <w:bottom w:w="0.0" w:type="dxa"/>
              <w:right w:w="100.0" w:type="dxa"/>
            </w:tcMar>
            <w:vAlign w:val="top"/>
          </w:tcPr>
          <w:p w:rsidR="00000000" w:rsidDel="00000000" w:rsidP="00000000" w:rsidRDefault="00000000" w:rsidRPr="00000000" w14:paraId="00000051">
            <w:pPr>
              <w:spacing w:after="0" w:line="360" w:lineRule="auto"/>
              <w:jc w:val="center"/>
              <w:rPr/>
            </w:pPr>
            <w:r w:rsidDel="00000000" w:rsidR="00000000" w:rsidRPr="00000000">
              <w:rPr>
                <w:rtl w:val="0"/>
              </w:rPr>
              <w:t xml:space="preserve">Spatial resolution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2">
            <w:pPr>
              <w:spacing w:after="0" w:line="360" w:lineRule="auto"/>
              <w:jc w:val="center"/>
              <w:rPr/>
            </w:pPr>
            <w:r w:rsidDel="00000000" w:rsidR="00000000" w:rsidRPr="00000000">
              <w:rPr>
                <w:rtl w:val="0"/>
              </w:rPr>
              <w:t xml:space="preserve">1x1x3 mm</w:t>
            </w:r>
            <w:r w:rsidDel="00000000" w:rsidR="00000000" w:rsidRPr="00000000">
              <w:rPr>
                <w:vertAlign w:val="superscript"/>
                <w:rtl w:val="0"/>
              </w:rPr>
              <w:t xml:space="preserve">3</w:t>
            </w:r>
            <w:r w:rsidDel="00000000" w:rsidR="00000000" w:rsidRPr="00000000">
              <w:rPr>
                <w:rtl w:val="0"/>
              </w:rPr>
              <w:t xml:space="preserve"> for sagittal,</w:t>
            </w:r>
          </w:p>
          <w:p w:rsidR="00000000" w:rsidDel="00000000" w:rsidP="00000000" w:rsidRDefault="00000000" w:rsidRPr="00000000" w14:paraId="00000053">
            <w:pPr>
              <w:spacing w:after="0" w:line="360" w:lineRule="auto"/>
              <w:jc w:val="center"/>
              <w:rPr/>
            </w:pPr>
            <w:r w:rsidDel="00000000" w:rsidR="00000000" w:rsidRPr="00000000">
              <w:rPr>
                <w:rtl w:val="0"/>
              </w:rPr>
              <w:t xml:space="preserve">1x1x5 mm</w:t>
            </w:r>
            <w:r w:rsidDel="00000000" w:rsidR="00000000" w:rsidRPr="00000000">
              <w:rPr>
                <w:vertAlign w:val="superscript"/>
                <w:rtl w:val="0"/>
              </w:rPr>
              <w:t xml:space="preserve">3</w:t>
            </w:r>
            <w:r w:rsidDel="00000000" w:rsidR="00000000" w:rsidRPr="00000000">
              <w:rPr>
                <w:rtl w:val="0"/>
              </w:rPr>
              <w:t xml:space="preserve"> for axial,</w:t>
            </w:r>
          </w:p>
          <w:p w:rsidR="00000000" w:rsidDel="00000000" w:rsidP="00000000" w:rsidRDefault="00000000" w:rsidRPr="00000000" w14:paraId="00000054">
            <w:pPr>
              <w:spacing w:after="0" w:line="360" w:lineRule="auto"/>
              <w:jc w:val="center"/>
              <w:rPr/>
            </w:pPr>
            <w:r w:rsidDel="00000000" w:rsidR="00000000" w:rsidRPr="00000000">
              <w:rPr>
                <w:rtl w:val="0"/>
              </w:rPr>
              <w:t xml:space="preserve"> no interslice gap</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5">
            <w:pPr>
              <w:spacing w:after="0" w:line="360" w:lineRule="auto"/>
              <w:jc w:val="center"/>
              <w:rPr/>
            </w:pPr>
            <w:r w:rsidDel="00000000" w:rsidR="00000000" w:rsidRPr="00000000">
              <w:rPr>
                <w:color w:val="ff0000"/>
                <w:rtl w:val="0"/>
              </w:rPr>
              <w:t xml:space="preserve">2D: 1x1x3 mm</w:t>
            </w:r>
            <w:r w:rsidDel="00000000" w:rsidR="00000000" w:rsidRPr="00000000">
              <w:rPr>
                <w:color w:val="ff0000"/>
                <w:vertAlign w:val="superscript"/>
                <w:rtl w:val="0"/>
              </w:rPr>
              <w:t xml:space="preserve">3</w:t>
            </w:r>
            <w:r w:rsidDel="00000000" w:rsidR="00000000" w:rsidRPr="00000000">
              <w:rPr>
                <w:rtl w:val="0"/>
              </w:rPr>
              <w:t xml:space="preserve"> for </w:t>
            </w:r>
            <w:r w:rsidDel="00000000" w:rsidR="00000000" w:rsidRPr="00000000">
              <w:rPr>
                <w:color w:val="ff0000"/>
                <w:rtl w:val="0"/>
              </w:rPr>
              <w:t xml:space="preserve">cervical</w:t>
            </w:r>
            <w:r w:rsidDel="00000000" w:rsidR="00000000" w:rsidRPr="00000000">
              <w:rPr>
                <w:rtl w:val="0"/>
              </w:rPr>
              <w:t xml:space="preserve"> spine,</w:t>
            </w:r>
          </w:p>
          <w:p w:rsidR="00000000" w:rsidDel="00000000" w:rsidP="00000000" w:rsidRDefault="00000000" w:rsidRPr="00000000" w14:paraId="00000056">
            <w:pPr>
              <w:spacing w:after="0" w:line="360" w:lineRule="auto"/>
              <w:jc w:val="center"/>
              <w:rPr/>
            </w:pPr>
            <w:r w:rsidDel="00000000" w:rsidR="00000000" w:rsidRPr="00000000">
              <w:rPr>
                <w:color w:val="ff0000"/>
                <w:rtl w:val="0"/>
              </w:rPr>
              <w:t xml:space="preserve">1x1x4 mm</w:t>
            </w:r>
            <w:r w:rsidDel="00000000" w:rsidR="00000000" w:rsidRPr="00000000">
              <w:rPr>
                <w:color w:val="ff0000"/>
                <w:vertAlign w:val="superscript"/>
                <w:rtl w:val="0"/>
              </w:rPr>
              <w:t xml:space="preserve">3</w:t>
            </w:r>
            <w:r w:rsidDel="00000000" w:rsidR="00000000" w:rsidRPr="00000000">
              <w:rPr>
                <w:rtl w:val="0"/>
              </w:rPr>
              <w:t xml:space="preserve"> for </w:t>
            </w:r>
            <w:r w:rsidDel="00000000" w:rsidR="00000000" w:rsidRPr="00000000">
              <w:rPr>
                <w:color w:val="ff0000"/>
                <w:rtl w:val="0"/>
              </w:rPr>
              <w:t xml:space="preserve">thoracic &amp; lumbar</w:t>
            </w:r>
            <w:r w:rsidDel="00000000" w:rsidR="00000000" w:rsidRPr="00000000">
              <w:rPr>
                <w:rtl w:val="0"/>
              </w:rPr>
              <w:t xml:space="preserve"> spine;</w:t>
            </w:r>
          </w:p>
          <w:p w:rsidR="00000000" w:rsidDel="00000000" w:rsidP="00000000" w:rsidRDefault="00000000" w:rsidRPr="00000000" w14:paraId="00000057">
            <w:pPr>
              <w:spacing w:after="0" w:line="360" w:lineRule="auto"/>
              <w:jc w:val="center"/>
              <w:rPr/>
            </w:pPr>
            <w:r w:rsidDel="00000000" w:rsidR="00000000" w:rsidRPr="00000000">
              <w:rPr>
                <w:rtl w:val="0"/>
              </w:rPr>
              <w:t xml:space="preserve">3D: 1.5x1.5x1.5 mm</w:t>
            </w:r>
            <w:r w:rsidDel="00000000" w:rsidR="00000000" w:rsidRPr="00000000">
              <w:rPr>
                <w:vertAlign w:val="superscript"/>
                <w:rtl w:val="0"/>
              </w:rPr>
              <w:t xml:space="preserve">3</w:t>
            </w:r>
            <w:r w:rsidDel="00000000" w:rsidR="00000000" w:rsidRPr="00000000">
              <w:rPr>
                <w:rtl w:val="0"/>
              </w:rPr>
              <w:t xml:space="preserve">;</w:t>
            </w:r>
          </w:p>
          <w:p w:rsidR="00000000" w:rsidDel="00000000" w:rsidP="00000000" w:rsidRDefault="00000000" w:rsidRPr="00000000" w14:paraId="00000058">
            <w:pPr>
              <w:spacing w:after="0" w:line="360" w:lineRule="auto"/>
              <w:jc w:val="center"/>
              <w:rPr>
                <w:color w:val="ff0000"/>
              </w:rPr>
            </w:pPr>
            <w:r w:rsidDel="00000000" w:rsidR="00000000" w:rsidRPr="00000000">
              <w:rPr>
                <w:color w:val="ff0000"/>
                <w:rtl w:val="0"/>
              </w:rPr>
              <w:t xml:space="preserve">unspecified gap</w:t>
            </w:r>
          </w:p>
        </w:tc>
      </w:tr>
    </w:tbl>
    <w:p w:rsidR="00000000" w:rsidDel="00000000" w:rsidP="00000000" w:rsidRDefault="00000000" w:rsidRPr="00000000" w14:paraId="00000059">
      <w:pPr>
        <w:spacing w:after="0" w:line="360" w:lineRule="auto"/>
        <w:jc w:val="both"/>
        <w:rPr/>
      </w:pPr>
      <w:r w:rsidDel="00000000" w:rsidR="00000000" w:rsidRPr="00000000">
        <w:rPr>
          <w:rtl w:val="0"/>
        </w:rPr>
        <w:t xml:space="preserve">CE…contrast (agent) enhanced, DIR…double inversion recovery, GBCA…gadolinium-based contrast agents, GRE…gradient echo, FS…fat saturation, MP[2]RAGE…magnetization-prepared [2] rapid [acquisition] gradient echo[s], ON…optic nerve, PD…proton (spin) density, PSIR…phase-sensitive inversion recovery (or PCIR…phase-corrected inversion recovery), STIR…short tau inversion recovery, (T)SE…(turbo) spin echo</w:t>
      </w:r>
    </w:p>
    <w:p w:rsidR="00000000" w:rsidDel="00000000" w:rsidP="00000000" w:rsidRDefault="00000000" w:rsidRPr="00000000" w14:paraId="0000005A">
      <w:pPr>
        <w:spacing w:after="0" w:line="360" w:lineRule="auto"/>
        <w:jc w:val="both"/>
        <w:rPr/>
      </w:pPr>
      <w:r w:rsidDel="00000000" w:rsidR="00000000" w:rsidRPr="00000000">
        <w:rPr>
          <w:rtl w:val="0"/>
        </w:rPr>
        <w:t xml:space="preserve">*…according to Barkhof et al. </w:t>
      </w:r>
      <w:hyperlink r:id="rId13">
        <w:r w:rsidDel="00000000" w:rsidR="00000000" w:rsidRPr="00000000">
          <w:rPr>
            <w:rtl w:val="0"/>
          </w:rPr>
          <w:t xml:space="preserve">[7]</w:t>
        </w:r>
      </w:hyperlink>
      <w:r w:rsidDel="00000000" w:rsidR="00000000" w:rsidRPr="00000000">
        <w:rPr>
          <w:rtl w:val="0"/>
        </w:rPr>
      </w:r>
    </w:p>
    <w:p w:rsidR="00000000" w:rsidDel="00000000" w:rsidP="00000000" w:rsidRDefault="00000000" w:rsidRPr="00000000" w14:paraId="0000005B">
      <w:pPr>
        <w:spacing w:after="0" w:line="360" w:lineRule="auto"/>
        <w:jc w:val="both"/>
        <w:rPr>
          <w:color w:val="0563c1"/>
          <w:u w:val="single"/>
        </w:rPr>
      </w:pPr>
      <w:r w:rsidDel="00000000" w:rsidR="00000000" w:rsidRPr="00000000">
        <w:rPr>
          <w:rtl w:val="0"/>
        </w:rPr>
        <w:t xml:space="preserve">**…according to</w:t>
      </w:r>
      <w:hyperlink r:id="rId14">
        <w:r w:rsidDel="00000000" w:rsidR="00000000" w:rsidRPr="00000000">
          <w:rPr>
            <w:rtl w:val="0"/>
          </w:rPr>
          <w:t xml:space="preserve"> </w:t>
        </w:r>
      </w:hyperlink>
      <w:hyperlink r:id="rId15">
        <w:r w:rsidDel="00000000" w:rsidR="00000000" w:rsidRPr="00000000">
          <w:rPr>
            <w:color w:val="0563c1"/>
            <w:u w:val="single"/>
            <w:rtl w:val="0"/>
          </w:rPr>
          <w:t xml:space="preserve">https://www.g-ba.de/downloads/62-492-3687/QBK-RL_2024-11-22_iK_2025-01-01.pdf</w:t>
        </w:r>
      </w:hyperlink>
      <w:r w:rsidDel="00000000" w:rsidR="00000000" w:rsidRPr="00000000">
        <w:rPr>
          <w:rtl w:val="0"/>
        </w:rPr>
      </w:r>
    </w:p>
    <w:p w:rsidR="00000000" w:rsidDel="00000000" w:rsidP="00000000" w:rsidRDefault="00000000" w:rsidRPr="00000000" w14:paraId="0000005C">
      <w:pPr>
        <w:spacing w:after="0" w:line="360" w:lineRule="auto"/>
        <w:jc w:val="both"/>
        <w:rPr/>
      </w:pPr>
      <w:r w:rsidDel="00000000" w:rsidR="00000000" w:rsidRPr="00000000">
        <w:rPr>
          <w:rtl w:val="0"/>
        </w:rPr>
        <w:t xml:space="preserve">^…There is no specifically dedicated optic nerve section in QBK-RL which lumps together “orbital space-occupying and optic nerve processes, ocular muscles” under “orbit” (1.2.3).</w:t>
      </w:r>
    </w:p>
    <w:p w:rsidR="00000000" w:rsidDel="00000000" w:rsidP="00000000" w:rsidRDefault="00000000" w:rsidRPr="00000000" w14:paraId="0000005D">
      <w:pPr>
        <w:spacing w:after="0" w:line="360" w:lineRule="auto"/>
        <w:jc w:val="both"/>
        <w:rPr/>
      </w:pPr>
      <w:r w:rsidDel="00000000" w:rsidR="00000000" w:rsidRPr="00000000">
        <w:rPr>
          <w:vertAlign w:val="superscript"/>
          <w:rtl w:val="0"/>
        </w:rPr>
        <w:t xml:space="preserve">#</w:t>
      </w:r>
      <w:r w:rsidDel="00000000" w:rsidR="00000000" w:rsidRPr="00000000">
        <w:rPr>
          <w:rtl w:val="0"/>
        </w:rPr>
        <w:t xml:space="preserve">...There is no specifically dedicated spinal cord section in QBK-RL, which lumps together “spine and trunk skeleton including neural structures” under the cervical, thoracic, and lumbar spine sections (3.1.1, 3.1.2, and 3.1.3). Here, the spinal cord and medullary conus are just listed as reference structures.</w:t>
      </w:r>
    </w:p>
    <w:p w:rsidR="00000000" w:rsidDel="00000000" w:rsidP="00000000" w:rsidRDefault="00000000" w:rsidRPr="00000000" w14:paraId="0000005E">
      <w:pPr>
        <w:spacing w:after="0" w:line="360" w:lineRule="auto"/>
        <w:jc w:val="both"/>
        <w:rPr/>
      </w:pPr>
      <w:r w:rsidDel="00000000" w:rsidR="00000000" w:rsidRPr="00000000">
        <w:rPr>
          <w:vertAlign w:val="superscript"/>
          <w:rtl w:val="0"/>
        </w:rPr>
        <w:t xml:space="preserve">†</w:t>
      </w:r>
      <w:r w:rsidDel="00000000" w:rsidR="00000000" w:rsidRPr="00000000">
        <w:rPr>
          <w:rtl w:val="0"/>
        </w:rPr>
        <w:t xml:space="preserve">…STIR should not be used after GBCA application because enhancing lesions will undergo T1 shortening and may inadvertently be nulled. This pitfall is </w:t>
      </w:r>
      <w:r w:rsidDel="00000000" w:rsidR="00000000" w:rsidRPr="00000000">
        <w:rPr>
          <w:i w:val="1"/>
          <w:iCs w:val="1"/>
          <w:rtl w:val="0"/>
        </w:rPr>
        <w:t xml:space="preserve">not</w:t>
      </w:r>
      <w:r w:rsidDel="00000000" w:rsidR="00000000" w:rsidRPr="00000000">
        <w:rPr>
          <w:rtl w:val="0"/>
        </w:rPr>
        <w:t xml:space="preserve"> mentioned or addressed in the 2024 MAGNIMS-CMSC-NAIMS consensus recommendations.</w:t>
      </w:r>
    </w:p>
    <w:p w:rsidR="00000000" w:rsidDel="00000000" w:rsidP="00000000" w:rsidRDefault="00000000" w:rsidRPr="00000000" w14:paraId="0000005F">
      <w:pPr>
        <w:spacing w:after="0" w:line="360" w:lineRule="auto"/>
        <w:jc w:val="both"/>
        <w:rPr/>
      </w:pPr>
      <w:r w:rsidDel="00000000" w:rsidR="00000000" w:rsidRPr="00000000">
        <w:rPr>
          <w:vertAlign w:val="superscript"/>
          <w:rtl w:val="0"/>
        </w:rPr>
        <w:t xml:space="preserve">‡</w:t>
      </w:r>
      <w:r w:rsidDel="00000000" w:rsidR="00000000" w:rsidRPr="00000000">
        <w:rPr>
          <w:rtl w:val="0"/>
        </w:rPr>
        <w:t xml:space="preserve">…at least covering the cervical segment</w:t>
      </w:r>
      <w:r w:rsidDel="00000000" w:rsidR="00000000" w:rsidRPr="00000000">
        <w:br w:type="page"/>
      </w:r>
      <w:r w:rsidDel="00000000" w:rsidR="00000000" w:rsidRPr="00000000">
        <w:rPr>
          <w:rtl w:val="0"/>
        </w:rPr>
      </w:r>
    </w:p>
    <w:p w:rsidR="00000000" w:rsidDel="00000000" w:rsidP="00000000" w:rsidRDefault="00000000" w:rsidRPr="00000000" w14:paraId="00000060">
      <w:pPr>
        <w:spacing w:after="0" w:line="360" w:lineRule="auto"/>
        <w:jc w:val="both"/>
        <w:rPr>
          <w:b w:val="1"/>
          <w:bCs w:val="1"/>
        </w:rPr>
      </w:pPr>
      <w:r w:rsidDel="00000000" w:rsidR="00000000" w:rsidRPr="00000000">
        <w:rPr>
          <w:b w:val="1"/>
          <w:bCs w:val="1"/>
          <w:rtl w:val="0"/>
        </w:rPr>
        <w:t xml:space="preserve">References</w:t>
      </w:r>
    </w:p>
    <w:p w:rsidR="00000000" w:rsidDel="00000000" w:rsidP="00000000" w:rsidRDefault="00000000" w:rsidRPr="00000000" w14:paraId="00000061">
      <w:pPr>
        <w:spacing w:after="240" w:line="240" w:lineRule="auto"/>
        <w:ind w:left="0"/>
        <w:jc w:val="both"/>
        <w:rPr/>
      </w:pPr>
      <w:hyperlink r:id="rId16">
        <w:r w:rsidDel="00000000" w:rsidR="00000000" w:rsidRPr="00000000">
          <w:rPr>
            <w:rtl w:val="0"/>
          </w:rPr>
          <w:t xml:space="preserve">1. Moraal B, Wattjes MP, Geurts JJG, Knol DL, van Schijndel RA, Pouwels PJW, et al. Improved Detection of Active Multiple Sclerosis Lesions: 3D Subtraction Imaging. Radiology. 2010;255:154–63. https://doi.org/10.1148/radiol.09090814 </w:t>
        </w:r>
      </w:hyperlink>
      <w:r w:rsidDel="00000000" w:rsidR="00000000" w:rsidRPr="00000000">
        <w:rPr>
          <w:rtl w:val="0"/>
        </w:rPr>
      </w:r>
    </w:p>
    <w:p w:rsidR="00000000" w:rsidDel="00000000" w:rsidP="00000000" w:rsidRDefault="00000000" w:rsidRPr="00000000" w14:paraId="00000062">
      <w:pPr>
        <w:spacing w:after="240" w:line="240" w:lineRule="auto"/>
        <w:ind w:left="0"/>
        <w:jc w:val="both"/>
        <w:rPr/>
      </w:pPr>
      <w:hyperlink r:id="rId17">
        <w:r w:rsidDel="00000000" w:rsidR="00000000" w:rsidRPr="00000000">
          <w:rPr>
            <w:rtl w:val="0"/>
          </w:rPr>
          <w:t xml:space="preserve">2. Eichinger P, Wiestler H, Zhang H, Biberacher V, Kirschke JS, Zimmer C, et al. A novel imaging technique for better detecting new lesions in multiple sclerosis. J Neurol. 2017;264:1909–18. https://doi.org/10.1007/s00415-017-8576-y </w:t>
        </w:r>
      </w:hyperlink>
      <w:r w:rsidDel="00000000" w:rsidR="00000000" w:rsidRPr="00000000">
        <w:rPr>
          <w:rtl w:val="0"/>
        </w:rPr>
      </w:r>
    </w:p>
    <w:p w:rsidR="00000000" w:rsidDel="00000000" w:rsidP="00000000" w:rsidRDefault="00000000" w:rsidRPr="00000000" w14:paraId="00000063">
      <w:pPr>
        <w:spacing w:after="240" w:line="240" w:lineRule="auto"/>
        <w:ind w:left="0"/>
        <w:jc w:val="both"/>
        <w:rPr/>
      </w:pPr>
      <w:hyperlink r:id="rId18">
        <w:r w:rsidDel="00000000" w:rsidR="00000000" w:rsidRPr="00000000">
          <w:rPr>
            <w:rtl w:val="0"/>
          </w:rPr>
          <w:t xml:space="preserve">3. Alfaro-Almagro F, Jenkinson M, Bangerter NK, Andersson JLR, Griffanti L, Douaud G, et al. Image processing and Quality Control for the first 10,000 brain imaging datasets from UK Biobank. NeuroImage. 2018;166:400–24. https://doi.org/10.1016/j.neuroimage.2017.10.034 </w:t>
        </w:r>
      </w:hyperlink>
      <w:r w:rsidDel="00000000" w:rsidR="00000000" w:rsidRPr="00000000">
        <w:rPr>
          <w:rtl w:val="0"/>
        </w:rPr>
      </w:r>
    </w:p>
    <w:p w:rsidR="00000000" w:rsidDel="00000000" w:rsidP="00000000" w:rsidRDefault="00000000" w:rsidRPr="00000000" w14:paraId="00000064">
      <w:pPr>
        <w:spacing w:after="240" w:line="240" w:lineRule="auto"/>
        <w:ind w:left="0"/>
        <w:jc w:val="both"/>
        <w:rPr/>
      </w:pPr>
      <w:hyperlink r:id="rId19">
        <w:r w:rsidDel="00000000" w:rsidR="00000000" w:rsidRPr="00000000">
          <w:rPr>
            <w:rtl w:val="0"/>
          </w:rPr>
          <w:t xml:space="preserve">4. Esteban O, Birman D, Schaer M, Koyejo OO, Poldrack RA, Gorgolewski KJ. MRIQC: Advancing the automatic prediction of image quality in MRI from unseen sites. PLOS ONE. Public Library of Science; 2017;12:e0184661. https://doi.org/10.1371/journal.pone.0184661 </w:t>
        </w:r>
      </w:hyperlink>
      <w:r w:rsidDel="00000000" w:rsidR="00000000" w:rsidRPr="00000000">
        <w:rPr>
          <w:rtl w:val="0"/>
        </w:rPr>
      </w:r>
    </w:p>
    <w:p w:rsidR="00000000" w:rsidDel="00000000" w:rsidP="00000000" w:rsidRDefault="00000000" w:rsidRPr="00000000" w14:paraId="00000065">
      <w:pPr>
        <w:spacing w:after="240" w:line="240" w:lineRule="auto"/>
        <w:ind w:left="0"/>
        <w:jc w:val="both"/>
        <w:rPr/>
      </w:pPr>
      <w:hyperlink r:id="rId20">
        <w:r w:rsidDel="00000000" w:rsidR="00000000" w:rsidRPr="00000000">
          <w:rPr>
            <w:rtl w:val="0"/>
          </w:rPr>
          <w:t xml:space="preserve">5. De Leener B, Lévy S, Dupont SM, Fonov VS, Stikov N, Louis Collins D, et al. SCT: Spinal Cord Toolbox, an open-source software for processing spinal cord MRI data. NeuroImage. 2017;145:24–43. https://doi.org/10.1016/j.neuroimage.2016.10.009 </w:t>
        </w:r>
      </w:hyperlink>
      <w:r w:rsidDel="00000000" w:rsidR="00000000" w:rsidRPr="00000000">
        <w:rPr>
          <w:rtl w:val="0"/>
        </w:rPr>
      </w:r>
    </w:p>
    <w:p w:rsidR="00000000" w:rsidDel="00000000" w:rsidP="00000000" w:rsidRDefault="00000000" w:rsidRPr="00000000" w14:paraId="00000066">
      <w:pPr>
        <w:spacing w:after="240" w:line="240" w:lineRule="auto"/>
        <w:ind w:left="0"/>
        <w:jc w:val="both"/>
        <w:rPr/>
      </w:pPr>
      <w:hyperlink r:id="rId21">
        <w:r w:rsidDel="00000000" w:rsidR="00000000" w:rsidRPr="00000000">
          <w:rPr>
            <w:rtl w:val="0"/>
          </w:rPr>
          <w:t xml:space="preserve">6. Valošek J, Cohen-Adad J. Reproducible Spinal Cord Quantitative MRI Analysis with the Spinal Cord Toolbox. Magn Reson Med Sci MRMS Off J Jpn Soc Magn Reson Med. 2024;23:307–15. https://doi.org/10.2463/mrms.rev.2023-0159 </w:t>
        </w:r>
      </w:hyperlink>
      <w:r w:rsidDel="00000000" w:rsidR="00000000" w:rsidRPr="00000000">
        <w:rPr>
          <w:rtl w:val="0"/>
        </w:rPr>
      </w:r>
    </w:p>
    <w:p w:rsidR="00000000" w:rsidDel="00000000" w:rsidP="00000000" w:rsidRDefault="00000000" w:rsidRPr="00000000" w14:paraId="00000067">
      <w:pPr>
        <w:spacing w:after="240" w:line="240" w:lineRule="auto"/>
        <w:ind w:left="0"/>
        <w:jc w:val="both"/>
        <w:rPr/>
      </w:pPr>
      <w:hyperlink r:id="rId22">
        <w:r w:rsidDel="00000000" w:rsidR="00000000" w:rsidRPr="00000000">
          <w:rPr>
            <w:rtl w:val="0"/>
          </w:rPr>
          <w:t xml:space="preserve">7. Barkhof F, Reich DS, Oh J, Rocca MA, Li DKB, Sati P, et al. 2024 MAGNIMS-CMSC-NAIMS consensus recommendations on the use of MRI for the diagnosis of multiple sclerosis. Lancet Neurol. 2025;24:866–79. https://doi.org/10.1016/S1474-4422(25)00304-7 </w:t>
        </w:r>
      </w:hyperlink>
      <w:r w:rsidDel="00000000" w:rsidR="00000000" w:rsidRPr="00000000">
        <w:rPr>
          <w:rtl w:val="0"/>
        </w:rPr>
      </w:r>
    </w:p>
    <w:sectPr>
      <w:footerReference r:id="rId23"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ambria"/>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6A">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The G-BA committee is formed by the Federal Association of Statutory Health Insurance Physicians (KBV = “Kassenärztliche Bundesvereinigung”), the German Hospital Federation (DKG = “Deutsche Krankenhausgesellschaft”) and the Central Federal Association of Statutory Health Insurances (“GKV Spitzenverband”).</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spacing w:after="0" w:before="40" w:lineRule="auto"/>
    </w:pPr>
    <w:rPr>
      <w:rFonts w:ascii="Cambria" w:cs="Cambria" w:eastAsia="Cambria" w:hAnsi="Cambria"/>
      <w:color w:val="366091"/>
      <w:sz w:val="26"/>
      <w:szCs w:val="26"/>
    </w:rPr>
  </w:style>
  <w:style w:type="paragraph" w:styleId="Heading3">
    <w:name w:val="heading 3"/>
    <w:basedOn w:val="Normal"/>
    <w:next w:val="Normal"/>
    <w:pPr>
      <w:keepNext w:val="1"/>
      <w:keepLines w:val="1"/>
      <w:spacing w:after="0" w:before="200" w:lineRule="auto"/>
    </w:pPr>
    <w:rPr>
      <w:rFonts w:ascii="Cambria" w:cs="Cambria" w:eastAsia="Cambria" w:hAnsi="Cambria"/>
      <w:b w:val="1"/>
      <w:bCs w:val="1"/>
      <w:color w:val="4f81bd"/>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243f61"/>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zotero.org/google-docs/?MfwDy6" TargetMode="External"/><Relationship Id="rId11" Type="http://schemas.openxmlformats.org/officeDocument/2006/relationships/hyperlink" Target="https://www.g-ba.de/downloads/62-492-3687/QBK-RL_2024-11-22_iK_2025-01-01.pdf" TargetMode="External"/><Relationship Id="rId22" Type="http://schemas.openxmlformats.org/officeDocument/2006/relationships/hyperlink" Target="https://www.zotero.org/google-docs/?MfwDy6" TargetMode="External"/><Relationship Id="rId10" Type="http://schemas.openxmlformats.org/officeDocument/2006/relationships/hyperlink" Target="https://www.g-ba.de/beschluesse/6928/" TargetMode="External"/><Relationship Id="rId21" Type="http://schemas.openxmlformats.org/officeDocument/2006/relationships/hyperlink" Target="https://www.zotero.org/google-docs/?MfwDy6" TargetMode="External"/><Relationship Id="rId13" Type="http://schemas.openxmlformats.org/officeDocument/2006/relationships/hyperlink" Target="https://www.zotero.org/google-docs/?AUaN37" TargetMode="External"/><Relationship Id="rId12" Type="http://schemas.openxmlformats.org/officeDocument/2006/relationships/hyperlink" Target="https://www.zotero.org/google-docs/?pKW1ik" TargetMode="External"/><Relationship Id="rId23"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zotero.org/google-docs/?WI61dv" TargetMode="External"/><Relationship Id="rId15" Type="http://schemas.openxmlformats.org/officeDocument/2006/relationships/hyperlink" Target="https://www.g-ba.de/downloads/62-492-3687/QBK-RL_2024-11-22_iK_2025-01-01.pdf" TargetMode="External"/><Relationship Id="rId14" Type="http://schemas.openxmlformats.org/officeDocument/2006/relationships/hyperlink" Target="https://www.g-ba.de/downloads/62-492-3687/QBK-RL_2024-11-22_iK_2025-01-01.pdf" TargetMode="External"/><Relationship Id="rId17" Type="http://schemas.openxmlformats.org/officeDocument/2006/relationships/hyperlink" Target="https://www.zotero.org/google-docs/?MfwDy6" TargetMode="External"/><Relationship Id="rId16" Type="http://schemas.openxmlformats.org/officeDocument/2006/relationships/hyperlink" Target="https://www.zotero.org/google-docs/?MfwDy6" TargetMode="External"/><Relationship Id="rId5" Type="http://schemas.openxmlformats.org/officeDocument/2006/relationships/numbering" Target="numbering.xml"/><Relationship Id="rId19" Type="http://schemas.openxmlformats.org/officeDocument/2006/relationships/hyperlink" Target="https://www.zotero.org/google-docs/?MfwDy6" TargetMode="External"/><Relationship Id="rId6" Type="http://schemas.openxmlformats.org/officeDocument/2006/relationships/styles" Target="styles.xml"/><Relationship Id="rId18" Type="http://schemas.openxmlformats.org/officeDocument/2006/relationships/hyperlink" Target="https://www.zotero.org/google-docs/?MfwDy6" TargetMode="External"/><Relationship Id="rId7" Type="http://schemas.openxmlformats.org/officeDocument/2006/relationships/hyperlink" Target="https://www.zotero.org/google-docs/?m1syW3" TargetMode="External"/><Relationship Id="rId8" Type="http://schemas.openxmlformats.org/officeDocument/2006/relationships/hyperlink" Target="https://www.zotero.org/google-docs/?sRj93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