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A155" w14:textId="77777777" w:rsidR="00F0461F" w:rsidRPr="001B2200" w:rsidRDefault="00F0461F" w:rsidP="00F0461F">
      <w:pPr>
        <w:rPr>
          <w:b/>
          <w:bCs/>
        </w:rPr>
      </w:pPr>
      <w:r w:rsidRPr="001B2200">
        <w:rPr>
          <w:b/>
          <w:bCs/>
        </w:rPr>
        <w:t>T</w:t>
      </w:r>
      <w:r w:rsidRPr="001B2200">
        <w:rPr>
          <w:rFonts w:hint="eastAsia"/>
          <w:b/>
          <w:bCs/>
        </w:rPr>
        <w:t>a</w:t>
      </w:r>
      <w:r w:rsidRPr="001B2200">
        <w:rPr>
          <w:b/>
          <w:bCs/>
        </w:rPr>
        <w:t>ble 2. Comparison of Intraocular Pressure between the two groups after Surgery.</w:t>
      </w:r>
    </w:p>
    <w:p w14:paraId="6048F5AC" w14:textId="77777777" w:rsidR="00F0461F" w:rsidRPr="00455F02" w:rsidRDefault="00F0461F" w:rsidP="00F0461F">
      <w:pPr>
        <w:rPr>
          <w:b/>
          <w:bCs/>
        </w:rPr>
      </w:pPr>
    </w:p>
    <w:tbl>
      <w:tblPr>
        <w:tblW w:w="7559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2039"/>
        <w:gridCol w:w="2191"/>
        <w:gridCol w:w="1186"/>
      </w:tblGrid>
      <w:tr w:rsidR="00F0461F" w:rsidRPr="00455F02" w14:paraId="626268BC" w14:textId="77777777" w:rsidTr="006E4725">
        <w:trPr>
          <w:trHeight w:val="174"/>
          <w:jc w:val="center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6A059F5F" w14:textId="77777777" w:rsidR="00F0461F" w:rsidRPr="000217E5" w:rsidRDefault="00F0461F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Time Point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74C0022F" w14:textId="77777777" w:rsidR="00F0461F" w:rsidRPr="000217E5" w:rsidRDefault="00F0461F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  <w:lang w:val="en-US"/>
              </w:rPr>
              <w:t>PEI+GSL</w:t>
            </w:r>
            <w:r w:rsidRPr="000217E5">
              <w:rPr>
                <w:b/>
                <w:bCs/>
              </w:rPr>
              <w:t xml:space="preserve"> (n=31)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0520BCE3" w14:textId="77777777" w:rsidR="00F0461F" w:rsidRPr="000217E5" w:rsidRDefault="00F0461F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  <w:lang w:val="en-US"/>
              </w:rPr>
              <w:t>PEI+GSL+GT</w:t>
            </w:r>
            <w:r w:rsidRPr="000217E5">
              <w:rPr>
                <w:b/>
                <w:bCs/>
              </w:rPr>
              <w:t xml:space="preserve"> (n=30)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53FB1506" w14:textId="77777777" w:rsidR="00F0461F" w:rsidRPr="000217E5" w:rsidRDefault="00F0461F" w:rsidP="006E4725">
            <w:pPr>
              <w:pStyle w:val="NormalWeb"/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</w:t>
            </w:r>
          </w:p>
        </w:tc>
      </w:tr>
      <w:tr w:rsidR="00F0461F" w:rsidRPr="00455F02" w14:paraId="093A5E00" w14:textId="77777777" w:rsidTr="006E4725">
        <w:trPr>
          <w:trHeight w:val="174"/>
          <w:jc w:val="center"/>
        </w:trPr>
        <w:tc>
          <w:tcPr>
            <w:tcW w:w="2143" w:type="dxa"/>
            <w:tcBorders>
              <w:top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7458E12A" w14:textId="77777777" w:rsidR="00F0461F" w:rsidRPr="00455F02" w:rsidRDefault="00F0461F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</w:t>
            </w:r>
            <w:r w:rsidRPr="00455F02">
              <w:rPr>
                <w:lang w:val="en-US"/>
              </w:rPr>
              <w:t>Day</w:t>
            </w:r>
            <w:r w:rsidRPr="00455F02">
              <w:t xml:space="preserve"> </w:t>
            </w:r>
            <w:r w:rsidRPr="00455F02">
              <w:rPr>
                <w:lang w:val="en-US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10C3058B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16.0 (12.5-20.0)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24B84D96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12.5 (10.0-19.2)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4D852DC9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0.1</w:t>
            </w:r>
            <w:r w:rsidRPr="00455F02">
              <w:rPr>
                <w:lang w:val="en-US"/>
              </w:rPr>
              <w:t>7</w:t>
            </w:r>
          </w:p>
        </w:tc>
      </w:tr>
      <w:tr w:rsidR="00F0461F" w:rsidRPr="00455F02" w14:paraId="0CB5A499" w14:textId="77777777" w:rsidTr="006E4725">
        <w:trPr>
          <w:trHeight w:val="174"/>
          <w:jc w:val="center"/>
        </w:trPr>
        <w:tc>
          <w:tcPr>
            <w:tcW w:w="2143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1F34E1A5" w14:textId="77777777" w:rsidR="00F0461F" w:rsidRPr="00455F02" w:rsidRDefault="00F0461F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</w:t>
            </w:r>
            <w:r w:rsidRPr="00455F02">
              <w:rPr>
                <w:lang w:val="en-US"/>
              </w:rPr>
              <w:t>Day</w:t>
            </w:r>
            <w:r w:rsidRPr="00455F02">
              <w:t xml:space="preserve"> </w:t>
            </w:r>
            <w:r w:rsidRPr="00455F02">
              <w:rPr>
                <w:lang w:val="en-US"/>
              </w:rPr>
              <w:t>7</w:t>
            </w:r>
          </w:p>
        </w:tc>
        <w:tc>
          <w:tcPr>
            <w:tcW w:w="2039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4AC140E5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15.5 ± 3.6</w:t>
            </w:r>
          </w:p>
        </w:tc>
        <w:tc>
          <w:tcPr>
            <w:tcW w:w="2191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72E375BE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14.0 (13.0-15.8)</w:t>
            </w:r>
          </w:p>
        </w:tc>
        <w:tc>
          <w:tcPr>
            <w:tcW w:w="1186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1B28F116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0.</w:t>
            </w:r>
            <w:r w:rsidRPr="00455F02">
              <w:rPr>
                <w:lang w:val="en-US"/>
              </w:rPr>
              <w:t>55</w:t>
            </w:r>
          </w:p>
        </w:tc>
      </w:tr>
      <w:tr w:rsidR="00F0461F" w:rsidRPr="00455F02" w14:paraId="76C7480B" w14:textId="77777777" w:rsidTr="006E4725">
        <w:trPr>
          <w:trHeight w:val="174"/>
          <w:jc w:val="center"/>
        </w:trPr>
        <w:tc>
          <w:tcPr>
            <w:tcW w:w="2143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2F783FA0" w14:textId="77777777" w:rsidR="00F0461F" w:rsidRPr="00455F02" w:rsidRDefault="00F0461F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</w:t>
            </w:r>
            <w:r w:rsidRPr="00455F02">
              <w:rPr>
                <w:lang w:val="en-US"/>
              </w:rPr>
              <w:t>1Month</w:t>
            </w:r>
          </w:p>
        </w:tc>
        <w:tc>
          <w:tcPr>
            <w:tcW w:w="2039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332D9FE3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15.2 ± 2.9</w:t>
            </w:r>
          </w:p>
        </w:tc>
        <w:tc>
          <w:tcPr>
            <w:tcW w:w="2191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785B9B3B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15.0 (13.2-16.8)</w:t>
            </w:r>
          </w:p>
        </w:tc>
        <w:tc>
          <w:tcPr>
            <w:tcW w:w="1186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6D5F297B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0.8</w:t>
            </w:r>
            <w:r w:rsidRPr="00455F02">
              <w:rPr>
                <w:lang w:val="en-US"/>
              </w:rPr>
              <w:t>4</w:t>
            </w:r>
          </w:p>
        </w:tc>
      </w:tr>
      <w:tr w:rsidR="00F0461F" w:rsidRPr="00455F02" w14:paraId="37992E83" w14:textId="77777777" w:rsidTr="006E4725">
        <w:trPr>
          <w:trHeight w:val="174"/>
          <w:jc w:val="center"/>
        </w:trPr>
        <w:tc>
          <w:tcPr>
            <w:tcW w:w="2143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5623D1A5" w14:textId="77777777" w:rsidR="00F0461F" w:rsidRPr="00455F02" w:rsidRDefault="00F0461F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3 Months</w:t>
            </w:r>
          </w:p>
        </w:tc>
        <w:tc>
          <w:tcPr>
            <w:tcW w:w="2039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372E8653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15.0 (14.0-18.0)</w:t>
            </w:r>
          </w:p>
        </w:tc>
        <w:tc>
          <w:tcPr>
            <w:tcW w:w="2191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0EE400C3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15.6 ± 3.6</w:t>
            </w:r>
          </w:p>
        </w:tc>
        <w:tc>
          <w:tcPr>
            <w:tcW w:w="1186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5BFDEDD0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0.</w:t>
            </w:r>
            <w:r w:rsidRPr="00455F02">
              <w:rPr>
                <w:lang w:val="en-US"/>
              </w:rPr>
              <w:t>38</w:t>
            </w:r>
          </w:p>
        </w:tc>
      </w:tr>
      <w:tr w:rsidR="00F0461F" w:rsidRPr="00455F02" w14:paraId="6754EF3E" w14:textId="77777777" w:rsidTr="006E4725">
        <w:trPr>
          <w:trHeight w:val="174"/>
          <w:jc w:val="center"/>
        </w:trPr>
        <w:tc>
          <w:tcPr>
            <w:tcW w:w="2143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0A9A2B4A" w14:textId="77777777" w:rsidR="00F0461F" w:rsidRPr="00455F02" w:rsidRDefault="00F0461F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6 Months</w:t>
            </w:r>
          </w:p>
        </w:tc>
        <w:tc>
          <w:tcPr>
            <w:tcW w:w="2039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577B653D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16.3 ± 3.2</w:t>
            </w:r>
          </w:p>
        </w:tc>
        <w:tc>
          <w:tcPr>
            <w:tcW w:w="2191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33E7A735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16.0 (14.2-19.0)</w:t>
            </w:r>
          </w:p>
        </w:tc>
        <w:tc>
          <w:tcPr>
            <w:tcW w:w="1186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5906721F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0.4</w:t>
            </w:r>
            <w:r w:rsidRPr="00455F02">
              <w:rPr>
                <w:lang w:val="en-US"/>
              </w:rPr>
              <w:t>4</w:t>
            </w:r>
          </w:p>
        </w:tc>
      </w:tr>
      <w:tr w:rsidR="00F0461F" w:rsidRPr="00455F02" w14:paraId="1C944868" w14:textId="77777777" w:rsidTr="006E4725">
        <w:trPr>
          <w:trHeight w:val="174"/>
          <w:jc w:val="center"/>
        </w:trPr>
        <w:tc>
          <w:tcPr>
            <w:tcW w:w="2143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406B1183" w14:textId="77777777" w:rsidR="00F0461F" w:rsidRPr="00455F02" w:rsidRDefault="00F0461F" w:rsidP="006E4725">
            <w:pPr>
              <w:pStyle w:val="NormalWeb"/>
            </w:pPr>
            <w:r w:rsidRPr="00455F02">
              <w:rPr>
                <w:lang w:val="en-US"/>
              </w:rPr>
              <w:t>Post-op</w:t>
            </w:r>
            <w:r w:rsidRPr="00455F02">
              <w:t xml:space="preserve"> 12 Months</w:t>
            </w:r>
          </w:p>
        </w:tc>
        <w:tc>
          <w:tcPr>
            <w:tcW w:w="2039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668BAF52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16.3 ± 3.0</w:t>
            </w:r>
          </w:p>
        </w:tc>
        <w:tc>
          <w:tcPr>
            <w:tcW w:w="2191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17D1C9BD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16.6 ± 3.3</w:t>
            </w:r>
          </w:p>
        </w:tc>
        <w:tc>
          <w:tcPr>
            <w:tcW w:w="1186" w:type="dxa"/>
            <w:tcMar>
              <w:top w:w="117" w:type="dxa"/>
              <w:left w:w="141" w:type="dxa"/>
              <w:bottom w:w="117" w:type="dxa"/>
              <w:right w:w="141" w:type="dxa"/>
            </w:tcMar>
            <w:vAlign w:val="center"/>
            <w:hideMark/>
          </w:tcPr>
          <w:p w14:paraId="66350F2E" w14:textId="77777777" w:rsidR="00F0461F" w:rsidRPr="00455F02" w:rsidRDefault="00F0461F" w:rsidP="006E4725">
            <w:pPr>
              <w:pStyle w:val="NormalWeb"/>
              <w:jc w:val="center"/>
            </w:pPr>
            <w:r w:rsidRPr="00455F02">
              <w:t>0.</w:t>
            </w:r>
            <w:r w:rsidRPr="00455F02">
              <w:rPr>
                <w:lang w:val="en-US"/>
              </w:rPr>
              <w:t>62</w:t>
            </w:r>
          </w:p>
        </w:tc>
      </w:tr>
    </w:tbl>
    <w:p w14:paraId="7FAA7872" w14:textId="77777777" w:rsidR="00F0461F" w:rsidRPr="00D60834" w:rsidRDefault="00F0461F" w:rsidP="00F0461F">
      <w:pPr>
        <w:pStyle w:val="NormalWeb"/>
        <w:spacing w:line="276" w:lineRule="auto"/>
        <w:rPr>
          <w:lang w:val="en-US"/>
        </w:rPr>
      </w:pPr>
      <w:r w:rsidRPr="001B2200">
        <w:t xml:space="preserve">Table 2 presents the intraocular pressure change after surgery. Data are presented as mean ± SD for normally distributed variables and median (IQR) for non-normally distributed variables. </w:t>
      </w:r>
      <w:r w:rsidRPr="001B2200">
        <w:rPr>
          <w:lang w:val="en-US"/>
        </w:rPr>
        <w:t>P</w:t>
      </w:r>
      <w:r w:rsidRPr="001B2200">
        <w:t xml:space="preserve"> </w:t>
      </w:r>
      <w:r w:rsidRPr="001B2200">
        <w:rPr>
          <w:lang w:val="en-US"/>
        </w:rPr>
        <w:t>value</w:t>
      </w:r>
      <w:r w:rsidRPr="001B2200">
        <w:t xml:space="preserve"> </w:t>
      </w:r>
      <w:r w:rsidRPr="001B2200">
        <w:rPr>
          <w:lang w:val="en-US"/>
        </w:rPr>
        <w:t>was</w:t>
      </w:r>
      <w:r w:rsidRPr="001B2200">
        <w:t xml:space="preserve"> </w:t>
      </w:r>
      <w:r w:rsidRPr="001B2200">
        <w:rPr>
          <w:lang w:val="en-US"/>
        </w:rPr>
        <w:t>calculated</w:t>
      </w:r>
      <w:r w:rsidRPr="001B2200">
        <w:t xml:space="preserve"> </w:t>
      </w:r>
      <w:r w:rsidRPr="001B2200">
        <w:rPr>
          <w:lang w:val="en-US"/>
        </w:rPr>
        <w:t>using</w:t>
      </w:r>
      <w:r w:rsidRPr="001B2200">
        <w:t xml:space="preserve"> </w:t>
      </w:r>
      <w:r w:rsidRPr="001B2200">
        <w:rPr>
          <w:lang w:val="en-US"/>
        </w:rPr>
        <w:t>general</w:t>
      </w:r>
      <w:r>
        <w:rPr>
          <w:lang w:val="en-US"/>
        </w:rPr>
        <w:t xml:space="preserve"> estimated equations</w:t>
      </w:r>
      <w:r w:rsidRPr="001B2200">
        <w:rPr>
          <w:lang w:val="en-US"/>
        </w:rPr>
        <w:t>.</w:t>
      </w:r>
      <w:r w:rsidRPr="001B2200">
        <w:t xml:space="preserve"> </w:t>
      </w:r>
      <w:r w:rsidRPr="001B2200">
        <w:rPr>
          <w:lang w:val="en-US"/>
        </w:rPr>
        <w:t>Abbreviation:</w:t>
      </w:r>
      <w:r w:rsidRPr="001B2200">
        <w:t xml:space="preserve"> PEI, </w:t>
      </w:r>
      <w:r w:rsidRPr="001B2200">
        <w:rPr>
          <w:lang w:val="en-US"/>
        </w:rPr>
        <w:t>phacoemulsification</w:t>
      </w:r>
      <w:r w:rsidRPr="001B2200">
        <w:t xml:space="preserve">; GSL, </w:t>
      </w:r>
      <w:proofErr w:type="spellStart"/>
      <w:r w:rsidRPr="001B2200">
        <w:t>goniosynechialysis</w:t>
      </w:r>
      <w:proofErr w:type="spellEnd"/>
      <w:r w:rsidRPr="001B2200">
        <w:t>; GT, goniotomy</w:t>
      </w:r>
      <w:r w:rsidRPr="001B2200">
        <w:rPr>
          <w:lang w:val="en-US"/>
        </w:rPr>
        <w:t>;</w:t>
      </w:r>
      <w:r w:rsidRPr="001B2200">
        <w:t xml:space="preserve"> </w:t>
      </w:r>
      <w:proofErr w:type="gramStart"/>
      <w:r w:rsidRPr="001B2200">
        <w:rPr>
          <w:lang w:val="en-US"/>
        </w:rPr>
        <w:t>Post-op</w:t>
      </w:r>
      <w:proofErr w:type="gramEnd"/>
      <w:r w:rsidRPr="001B2200">
        <w:rPr>
          <w:lang w:val="en-US"/>
        </w:rPr>
        <w:t>,</w:t>
      </w:r>
      <w:r w:rsidRPr="001B2200">
        <w:t xml:space="preserve"> </w:t>
      </w:r>
      <w:r w:rsidRPr="001B2200">
        <w:rPr>
          <w:lang w:val="en-US"/>
        </w:rPr>
        <w:t>postoperative.</w:t>
      </w:r>
    </w:p>
    <w:p w14:paraId="646FF575" w14:textId="77777777" w:rsidR="00864962" w:rsidRPr="00F0461F" w:rsidRDefault="00864962">
      <w:pPr>
        <w:rPr>
          <w:lang w:val="en-US"/>
        </w:rPr>
      </w:pPr>
    </w:p>
    <w:sectPr w:rsidR="00864962" w:rsidRPr="00F0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1F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DB008C"/>
    <w:rsid w:val="00E15712"/>
    <w:rsid w:val="00EE77F8"/>
    <w:rsid w:val="00F0461F"/>
    <w:rsid w:val="00F101EC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D2B73"/>
  <w15:chartTrackingRefBased/>
  <w15:docId w15:val="{A3B89D89-941E-E444-99D2-2F3B9ABB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F0461F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F0461F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F0461F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2026-03-30T10:01:00Z</dcterms:created>
  <dcterms:modified xsi:type="dcterms:W3CDTF">2026-03-30T10:01:00Z</dcterms:modified>
</cp:coreProperties>
</file>