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480" w:before="0" w:after="113"/>
        <w:rPr>
          <w:b/>
          <w:bCs/>
        </w:rPr>
      </w:pPr>
      <w:r>
        <w:rPr/>
        <w:t>Supplementary Figure 1</w:t>
      </w:r>
      <w:r>
        <w:rPr>
          <w:b/>
          <w:bCs/>
        </w:rPr>
        <w:t xml:space="preserve">: Chart of RA patient selection criteria and outcomes used for this proteomic study cohort. </w:t>
      </w:r>
    </w:p>
    <w:p>
      <w:pPr>
        <w:pStyle w:val="Normal"/>
        <w:spacing w:lineRule="auto" w:line="480"/>
        <w:rPr/>
      </w:pPr>
      <w:r>
        <w:rPr/>
      </w:r>
    </w:p>
    <w:p>
      <w:pPr>
        <w:pStyle w:val="Normal"/>
        <w:spacing w:lineRule="auto" w:line="480" w:before="0" w:after="113"/>
        <w:rPr/>
      </w:pPr>
      <w:r>
        <w:rPr/>
        <w:t xml:space="preserve">Supplementary Figure 2: </w:t>
      </w:r>
      <w:r>
        <w:rPr>
          <w:b/>
          <w:bCs/>
        </w:rPr>
        <w:t>Assessment of optimal number of RA patient clusters.</w:t>
      </w:r>
      <w:r>
        <w:rPr/>
        <w:t xml:space="preserve"> Plots of </w:t>
      </w:r>
      <w:r>
        <w:rPr>
          <w:b/>
          <w:bCs/>
        </w:rPr>
        <w:t>A)</w:t>
      </w:r>
      <w:r>
        <w:rPr/>
        <w:t xml:space="preserve"> the silhouette statistic tests for number of clusters (k) and </w:t>
      </w:r>
      <w:r>
        <w:rPr>
          <w:b/>
          <w:bCs/>
        </w:rPr>
        <w:t>B)</w:t>
      </w:r>
      <w:r>
        <w:rPr/>
        <w:t xml:space="preserve"> the consensus of 23 clustering metrics evaluated using baseline proteomic data. Plots of the </w:t>
      </w:r>
      <w:r>
        <w:rPr>
          <w:b/>
          <w:bCs/>
        </w:rPr>
        <w:t>C)</w:t>
      </w:r>
      <w:r>
        <w:rPr/>
        <w:t xml:space="preserve"> silhouette statistics and </w:t>
      </w:r>
      <w:r>
        <w:rPr>
          <w:b/>
          <w:bCs/>
        </w:rPr>
        <w:t>D)</w:t>
      </w:r>
      <w:r>
        <w:rPr/>
        <w:t xml:space="preserve"> consensus across clustering metrics assessed using the 12-month serum proteomic profiles. The blue dotted lines or columns represent optimal number of clusters (k).</w:t>
      </w:r>
    </w:p>
    <w:p>
      <w:pPr>
        <w:pStyle w:val="Normal"/>
        <w:spacing w:lineRule="auto" w:line="480"/>
        <w:rPr/>
      </w:pPr>
      <w:r>
        <w:rPr/>
      </w:r>
    </w:p>
    <w:p>
      <w:pPr>
        <w:pStyle w:val="Normal"/>
        <w:spacing w:lineRule="auto" w:line="480" w:before="0" w:after="113"/>
        <w:rPr>
          <w:b/>
          <w:bCs/>
        </w:rPr>
      </w:pPr>
      <w:r>
        <w:rPr/>
        <w:t xml:space="preserve">Supplementary Figure 3: </w:t>
      </w:r>
      <w:r>
        <w:rPr>
          <w:b/>
          <w:bCs/>
        </w:rPr>
        <w:t>Serology, SDAI, DA and erosion outcome distribution across patient clusters.</w:t>
      </w:r>
      <w:r>
        <w:rPr/>
        <w:t xml:space="preserve"> Overlay of seropositive (RF and/or ACPA) and seronegative RA patients on </w:t>
      </w:r>
      <w:r>
        <w:rPr>
          <w:b/>
          <w:bCs/>
        </w:rPr>
        <w:t>A)</w:t>
      </w:r>
      <w:r>
        <w:rPr/>
        <w:t xml:space="preserve"> baseline serum proteome PCA plot or </w:t>
      </w:r>
      <w:r>
        <w:rPr>
          <w:b/>
          <w:bCs/>
        </w:rPr>
        <w:t>B)</w:t>
      </w:r>
      <w:r>
        <w:rPr/>
        <w:t xml:space="preserve"> 12-month serum proteome PCA plot. Clinical assessment of disease activity measured at the 12-month follow-up visit by SDAI scores for patients grouped according to </w:t>
      </w:r>
      <w:r>
        <w:rPr>
          <w:b/>
          <w:bCs/>
        </w:rPr>
        <w:t>C)</w:t>
      </w:r>
      <w:r>
        <w:rPr/>
        <w:t xml:space="preserve"> baseline or </w:t>
      </w:r>
      <w:r>
        <w:rPr>
          <w:b/>
          <w:bCs/>
        </w:rPr>
        <w:t>D)</w:t>
      </w:r>
      <w:r>
        <w:rPr/>
        <w:t xml:space="preserve"> 12-month clusters. Horizontal bar correspond to the groups median values. Overlay of 12-month DA outcome of RA patients on </w:t>
      </w:r>
      <w:r>
        <w:rPr>
          <w:b/>
          <w:bCs/>
        </w:rPr>
        <w:t>E)</w:t>
      </w:r>
      <w:r>
        <w:rPr/>
        <w:t xml:space="preserve"> baseline PCA plot or </w:t>
      </w:r>
      <w:r>
        <w:rPr>
          <w:b/>
          <w:bCs/>
        </w:rPr>
        <w:t>F)</w:t>
      </w:r>
      <w:r>
        <w:rPr/>
        <w:t xml:space="preserve"> 12-month PCA plot. Overlay of erosion outcome of RA patients on </w:t>
      </w:r>
      <w:r>
        <w:rPr>
          <w:b/>
          <w:bCs/>
        </w:rPr>
        <w:t>G)</w:t>
      </w:r>
      <w:r>
        <w:rPr/>
        <w:t xml:space="preserve"> baseline PCA plot or </w:t>
      </w:r>
      <w:r>
        <w:rPr>
          <w:b/>
          <w:bCs/>
        </w:rPr>
        <w:t>H)</w:t>
      </w:r>
      <w:r>
        <w:rPr/>
        <w:t xml:space="preserve"> 12-month PCA plot.</w:t>
      </w:r>
    </w:p>
    <w:p>
      <w:pPr>
        <w:pStyle w:val="Normal"/>
        <w:spacing w:lineRule="auto" w:line="480"/>
        <w:rPr/>
      </w:pPr>
      <w:r>
        <w:rPr/>
      </w:r>
    </w:p>
    <w:p>
      <w:pPr>
        <w:pStyle w:val="Normal"/>
        <w:spacing w:lineRule="auto" w:line="480" w:before="0" w:after="113"/>
        <w:rPr/>
      </w:pPr>
      <w:r>
        <w:rPr/>
        <w:t xml:space="preserve">Supplementary Figure 4: </w:t>
      </w:r>
      <w:r>
        <w:rPr>
          <w:b/>
          <w:bCs/>
        </w:rPr>
        <w:t xml:space="preserve">KEGG pathway enrichment analyses performed on RA patient clusters. </w:t>
      </w:r>
      <w:r>
        <w:rPr/>
        <w:t xml:space="preserve">Differently abundant proteins (DAPs) between patient clusters were identified using Mann-Whitney U test with Bonferroni correction. KEGG pathway enrichment using active subnetwork analyses were performed using DAPs (p adjusted </w:t>
      </w:r>
      <w:r>
        <w:rPr>
          <w:rFonts w:eastAsia="Liberation Serif" w:cs="Liberation Serif" w:ascii="Liberation Serif" w:hAnsi="Liberation Serif"/>
        </w:rPr>
        <w:t>≤</w:t>
      </w:r>
      <w:r>
        <w:rPr/>
        <w:t xml:space="preserve">0.05). The top 10 KEGG enriched term with at least 2 proteins and a Benjamini-Hochberg adjusted p value </w:t>
      </w:r>
      <w:r>
        <w:rPr>
          <w:rFonts w:eastAsia="Liberation Serif" w:cs="Liberation Serif" w:ascii="Liberation Serif" w:hAnsi="Liberation Serif"/>
        </w:rPr>
        <w:t>≤</w:t>
      </w:r>
      <w:r>
        <w:rPr/>
        <w:t xml:space="preserve">0.05 are shown for </w:t>
      </w:r>
      <w:r>
        <w:rPr>
          <w:b/>
          <w:bCs/>
        </w:rPr>
        <w:t>A)</w:t>
      </w:r>
      <w:r>
        <w:rPr/>
        <w:t xml:space="preserve"> baseline clusters and </w:t>
      </w:r>
      <w:r>
        <w:rPr>
          <w:b/>
          <w:bCs/>
        </w:rPr>
        <w:t>B)</w:t>
      </w:r>
      <w:r>
        <w:rPr/>
        <w:t xml:space="preserve"> 12-month clusters.</w:t>
      </w:r>
    </w:p>
    <w:p>
      <w:pPr>
        <w:pStyle w:val="Normal"/>
        <w:spacing w:lineRule="auto" w:line="480"/>
        <w:jc w:val="both"/>
        <w:rPr/>
      </w:pPr>
      <w:r>
        <w:rPr/>
      </w:r>
    </w:p>
    <w:p>
      <w:pPr>
        <w:pStyle w:val="Normal"/>
        <w:spacing w:lineRule="auto" w:line="480" w:before="0" w:after="113"/>
        <w:rPr/>
      </w:pPr>
      <w:r>
        <w:rPr/>
        <w:t xml:space="preserve">Supplementary Figure 5: </w:t>
      </w:r>
      <w:r>
        <w:rPr>
          <w:b/>
          <w:bCs/>
        </w:rPr>
        <w:t xml:space="preserve">Z-scores of complement pathway proteins showing baseline levels distribution across RA patients. </w:t>
      </w:r>
      <w:r>
        <w:rPr/>
        <w:t>The z-scores were calculated using values from baseline serum proteome for each complement proteins from the KEGG pathway hsa04610</w:t>
      </w:r>
      <w:bookmarkStart w:id="0" w:name="ZOTERO_BREF_esECqTbTNVGA"/>
      <w:r>
        <w:rPr>
          <w:rFonts w:cs="Arial"/>
          <w:kern w:val="0"/>
          <w:vertAlign w:val="superscript"/>
        </w:rPr>
        <w:t>46</w:t>
      </w:r>
      <w:bookmarkEnd w:id="0"/>
      <w:r>
        <w:rPr/>
        <w:t>. Heatmap showing protein z-scores as color gradient for each patient, grouped by baseline clusters.</w:t>
      </w:r>
    </w:p>
    <w:p>
      <w:pPr>
        <w:pStyle w:val="Normal"/>
        <w:spacing w:lineRule="auto" w:line="480"/>
        <w:jc w:val="both"/>
        <w:rPr/>
      </w:pPr>
      <w:r>
        <w:rPr/>
      </w:r>
    </w:p>
    <w:p>
      <w:pPr>
        <w:pStyle w:val="Normal"/>
        <w:spacing w:lineRule="auto" w:line="480" w:before="0" w:after="113"/>
        <w:rPr/>
      </w:pPr>
      <w:r>
        <w:rPr/>
        <w:t xml:space="preserve">Supplementary Figure 6: </w:t>
      </w:r>
      <w:r>
        <w:rPr>
          <w:b/>
          <w:bCs/>
        </w:rPr>
        <w:t xml:space="preserve">Z-scores of complement pathway proteins showing 12-month levels distribution across RA patients. </w:t>
      </w:r>
      <w:r>
        <w:rPr/>
        <w:t>The z-scores were calculated for each complement proteins from the KEGG pathway hsa04610</w:t>
      </w:r>
      <w:bookmarkStart w:id="1" w:name="ZOTERO_BREF_2VxDy6yPQCZp"/>
      <w:r>
        <w:rPr>
          <w:rFonts w:cs="Arial"/>
          <w:kern w:val="0"/>
          <w:vertAlign w:val="superscript"/>
        </w:rPr>
        <w:t>46</w:t>
      </w:r>
      <w:bookmarkEnd w:id="1"/>
      <w:r>
        <w:rPr/>
        <w:t xml:space="preserve"> using values from 12-month serum proteome. Heatmap showing protein z-scores as color gradient for each patient, grouped by 12-month clusters.</w:t>
      </w:r>
    </w:p>
    <w:p>
      <w:pPr>
        <w:pStyle w:val="Normal"/>
        <w:spacing w:lineRule="auto" w:line="480"/>
        <w:jc w:val="both"/>
        <w:rPr/>
      </w:pPr>
      <w:r>
        <w:rPr/>
      </w:r>
    </w:p>
    <w:p>
      <w:pPr>
        <w:pStyle w:val="Normal"/>
        <w:spacing w:lineRule="auto" w:line="480" w:before="0" w:after="113"/>
        <w:rPr>
          <w:b/>
          <w:bCs/>
        </w:rPr>
      </w:pPr>
      <w:r>
        <w:rPr/>
        <w:t xml:space="preserve">Supplementary Figure 7: </w:t>
      </w:r>
      <w:r>
        <w:rPr>
          <w:b/>
          <w:bCs/>
        </w:rPr>
        <w:t xml:space="preserve">Distribution of CRP blood levels in RA patients across clusters. </w:t>
      </w:r>
      <w:r>
        <w:rPr/>
        <w:t xml:space="preserve">Individual patients CRP blood levels (mg/L) are visualized as color gradient overlay on PCA plots based on </w:t>
      </w:r>
      <w:r>
        <w:rPr>
          <w:b/>
          <w:bCs/>
        </w:rPr>
        <w:t>A)</w:t>
      </w:r>
      <w:r>
        <w:rPr/>
        <w:t xml:space="preserve"> baseline or </w:t>
      </w:r>
      <w:r>
        <w:rPr>
          <w:b/>
          <w:bCs/>
        </w:rPr>
        <w:t>B)</w:t>
      </w:r>
      <w:r>
        <w:rPr/>
        <w:t xml:space="preserve"> 12-month proteomic profiles. Patient clusters are indicated by the distinct shapes.</w:t>
      </w:r>
    </w:p>
    <w:p>
      <w:pPr>
        <w:pStyle w:val="Normal"/>
        <w:spacing w:lineRule="auto" w:line="480"/>
        <w:jc w:val="both"/>
        <w:rPr/>
      </w:pPr>
      <w:r>
        <w:rPr/>
      </w:r>
    </w:p>
    <w:p>
      <w:pPr>
        <w:pStyle w:val="Normal"/>
        <w:spacing w:lineRule="auto" w:line="480" w:before="0" w:after="113"/>
        <w:rPr/>
      </w:pPr>
      <w:r>
        <w:rPr/>
        <w:t xml:space="preserve">Supplementary Figure 8: </w:t>
      </w:r>
      <w:r>
        <w:rPr>
          <w:b/>
          <w:bCs/>
        </w:rPr>
        <w:t>Proteins associated with RA disease activity identified by longitudinal proteomic analysis (FDR-corrected).</w:t>
      </w:r>
      <w:r>
        <w:rPr/>
        <w:t xml:space="preserve"> </w:t>
      </w:r>
      <w:r>
        <w:rPr>
          <w:b/>
          <w:bCs/>
        </w:rPr>
        <w:t>A)</w:t>
      </w:r>
      <w:r>
        <w:rPr/>
        <w:t xml:space="preserve"> Volcano plot of DA-associated proteins identified using GEE models (Figure 2C) with false discovery rate correction using Storey’s q-values </w:t>
      </w:r>
      <w:r>
        <w:rPr>
          <w:rFonts w:eastAsia="Liberation Serif" w:cs="Liberation Serif" w:ascii="Liberation Serif" w:hAnsi="Liberation Serif"/>
        </w:rPr>
        <w:t>≤</w:t>
      </w:r>
      <w:r>
        <w:rPr/>
        <w:t xml:space="preserve">0.05. Protein names separated by semicolons indicates that peptides identified by mass spectrometry were common to both. </w:t>
      </w:r>
      <w:r>
        <w:rPr>
          <w:b/>
          <w:bCs/>
        </w:rPr>
        <w:t>B)</w:t>
      </w:r>
      <w:r>
        <w:rPr/>
        <w:t xml:space="preserve"> KEGG pathway enrichment analysis was conducted using the DA-associated proteins (q-values </w:t>
      </w:r>
      <w:r>
        <w:rPr>
          <w:rFonts w:eastAsia="Liberation Serif" w:cs="Liberation Serif" w:ascii="Liberation Serif" w:hAnsi="Liberation Serif"/>
        </w:rPr>
        <w:t xml:space="preserve">≤ </w:t>
      </w:r>
      <w:r>
        <w:rPr/>
        <w:t xml:space="preserve">0.05). Plot showing the KEGG enriched terms with at least 2 proteins and a Benjamini-Hochberg adjusted p value </w:t>
      </w:r>
      <w:r>
        <w:rPr>
          <w:rFonts w:eastAsia="Liberation Serif" w:cs="Liberation Serif" w:ascii="Liberation Serif" w:hAnsi="Liberation Serif"/>
        </w:rPr>
        <w:t>≤</w:t>
      </w:r>
      <w:r>
        <w:rPr/>
        <w:t xml:space="preserve">0.05. </w:t>
      </w:r>
    </w:p>
    <w:p>
      <w:pPr>
        <w:pStyle w:val="Normal"/>
        <w:spacing w:lineRule="auto" w:line="480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480" w:before="0" w:after="113"/>
        <w:rPr/>
      </w:pPr>
      <w:r>
        <w:rPr/>
        <w:t xml:space="preserve">Supplementary Figure 9: </w:t>
      </w:r>
      <w:r>
        <w:rPr>
          <w:b/>
          <w:bCs/>
        </w:rPr>
        <w:t xml:space="preserve">Correlation between CRP and proteins identified as associated with DA outcome. </w:t>
      </w:r>
      <w:r>
        <w:rPr/>
        <w:t xml:space="preserve">Clinical CRP blood levels (mg/L) were log2-transformed prior to correlation analysis. The Spearman correlation was performed between CRP levels and proteins identified as associated with DA outcomes via GEE analyses. The heatmap displays proteins with Bonferroni-adjusted p-values </w:t>
      </w:r>
      <w:r>
        <w:rPr>
          <w:rFonts w:eastAsia="Liberation Serif" w:cs="Liberation Serif" w:ascii="Liberation Serif" w:hAnsi="Liberation Serif"/>
        </w:rPr>
        <w:t>≤</w:t>
      </w:r>
      <w:r>
        <w:rPr/>
        <w:t xml:space="preserve">0.05 at either baseline or 12-month timepoints. Spearman Rho values are visualized using color gradient.   </w:t>
      </w:r>
    </w:p>
    <w:p>
      <w:pPr>
        <w:pStyle w:val="Normal"/>
        <w:spacing w:lineRule="auto" w:line="480" w:before="0" w:after="113"/>
        <w:rPr/>
      </w:pPr>
      <w:r>
        <w:rPr/>
      </w:r>
    </w:p>
    <w:p>
      <w:pPr>
        <w:pStyle w:val="Normal"/>
        <w:spacing w:lineRule="auto" w:line="480" w:before="0" w:after="113"/>
        <w:rPr/>
      </w:pPr>
      <w:r>
        <w:rPr/>
      </w:r>
    </w:p>
    <w:p>
      <w:pPr>
        <w:pStyle w:val="Normal"/>
        <w:spacing w:lineRule="auto" w:line="480" w:before="0" w:after="113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Supplementary Figure 1: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14800" cy="5259705"/>
            <wp:effectExtent l="0" t="0" r="0" b="0"/>
            <wp:wrapSquare wrapText="largest"/>
            <wp:docPr id="1" name="SuppFig_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ig_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5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/>
      </w:pPr>
      <w:r>
        <w:rPr/>
        <w:t>Supplementary Figure 2: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29200" cy="3430905"/>
            <wp:effectExtent l="0" t="0" r="0" b="0"/>
            <wp:wrapSquare wrapText="largest"/>
            <wp:docPr id="2" name="SuppFig_4" descr="A graph of a number of clus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Fig_4" descr="A graph of a number of clust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3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/>
      </w:pPr>
      <w:r>
        <w:rPr/>
        <w:t>Supplementary Figure 3: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32580" cy="6080125"/>
            <wp:effectExtent l="0" t="0" r="0" b="0"/>
            <wp:wrapSquare wrapText="largest"/>
            <wp:docPr id="3" name="SuppFig_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Fig_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608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/>
      </w:pPr>
      <w:r>
        <w:rPr/>
        <w:t>Supplementary Figure 4: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45305" cy="5486400"/>
            <wp:effectExtent l="0" t="0" r="0" b="0"/>
            <wp:wrapSquare wrapText="largest"/>
            <wp:docPr id="4" name="SuppFig_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Fig_3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0"/>
        <w:rPr/>
      </w:pPr>
      <w:r>
        <w:rPr/>
        <w:t>Supplementary Figure 5: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80125" cy="5943600"/>
            <wp:effectExtent l="0" t="0" r="0" b="0"/>
            <wp:wrapSquare wrapText="largest"/>
            <wp:docPr id="5" name="SuppFig_5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Fig_5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/>
      </w:pPr>
      <w:r>
        <w:rPr/>
        <w:t>Supplementary Figure 6: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80125" cy="5943600"/>
            <wp:effectExtent l="0" t="0" r="0" b="0"/>
            <wp:wrapSquare wrapText="largest"/>
            <wp:docPr id="6" name="SuppFig_6" descr="A graph with a number of pati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Fig_6" descr="A graph with a number of patien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0"/>
        <w:rPr/>
      </w:pPr>
      <w:r>
        <w:rPr/>
        <w:t>Supplementary Figure 7: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43200" cy="4114800"/>
            <wp:effectExtent l="0" t="0" r="0" b="0"/>
            <wp:wrapSquare wrapText="largest"/>
            <wp:docPr id="7" name="Image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/>
      </w:pPr>
      <w:r>
        <w:rPr/>
        <w:t>Supplementary Figure 8: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04970" cy="4802505"/>
            <wp:effectExtent l="0" t="0" r="0" b="0"/>
            <wp:wrapSquare wrapText="largest"/>
            <wp:docPr id="8" name="Image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480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0"/>
        <w:rPr/>
      </w:pPr>
      <w:r>
        <w:rPr/>
        <w:t>Supplementary Figure 9: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286000" cy="4434840"/>
            <wp:effectExtent l="0" t="0" r="0" b="0"/>
            <wp:wrapSquare wrapText="largest"/>
            <wp:docPr id="9" name="Image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43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spacing w:lineRule="auto" w:line="480" w:before="0" w:after="113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swiss"/>
    <w:pitch w:val="default"/>
  </w:font>
  <w:font w:name="Times New Roman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10"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C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7085"/>
    <w:pPr>
      <w:widowControl/>
      <w:suppressAutoHyphens w:val="true"/>
      <w:bidi w:val="0"/>
      <w:spacing w:lineRule="auto" w:line="240" w:before="0" w:after="0"/>
      <w:jc w:val="start"/>
    </w:pPr>
    <w:rPr>
      <w:rFonts w:ascii="Arial" w:hAnsi="Arial" w:eastAsia="Noto Serif CJK SC" w:cs="FreeSans"/>
      <w:color w:val="auto"/>
      <w:kern w:val="2"/>
      <w:sz w:val="24"/>
      <w:szCs w:val="24"/>
      <w:lang w:eastAsia="zh-CN" w:bidi="hi-IN" w:val="en-CA"/>
      <w14:ligatures w14:val="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Arial" w:hAnsi="Arial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Free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LibreOffice/26.2.1.2$Linux_X86_64 LibreOffice_project/8399f6259d8c87f40e7255cdb3c9b958f5e08948</Application>
  <AppVersion>15.0000</AppVersion>
  <Pages>12</Pages>
  <Words>577</Words>
  <Characters>3451</Characters>
  <CharactersWithSpaces>4015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2026-03-02T03:13:00Z</dcterms:created>
  <dc:creator>Benoît Marchand</dc:creator>
  <dc:description/>
  <dc:language>en-CA</dc:language>
  <cp:lastModifiedBy>Benoît Marchand</cp:lastModifiedBy>
  <dcterms:modified xsi:type="dcterms:W3CDTF">2026-04-08T11:43:18Z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