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28629">
      <w:pPr>
        <w:spacing w:line="480" w:lineRule="auto"/>
        <w:jc w:val="both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Appendix Supplementary data</w:t>
      </w:r>
    </w:p>
    <w:p w14:paraId="5901B174">
      <w:pPr>
        <w:spacing w:line="48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Here we add the basic situation of soil in the sample plot, Part of the data in Table </w:t>
      </w:r>
      <w:r>
        <w:rPr>
          <w:rFonts w:hint="eastAsia" w:ascii="Times New Roman" w:hAnsi="Times New Roman" w:eastAsia="宋体" w:cs="Times New Roman"/>
          <w:sz w:val="24"/>
          <w:szCs w:val="24"/>
        </w:rPr>
        <w:t>S</w:t>
      </w:r>
      <w:r>
        <w:rPr>
          <w:rFonts w:ascii="Times New Roman" w:hAnsi="Times New Roman" w:eastAsia="宋体" w:cs="Times New Roman"/>
          <w:sz w:val="24"/>
          <w:szCs w:val="24"/>
        </w:rPr>
        <w:t xml:space="preserve">1 are from </w:t>
      </w:r>
      <w:r>
        <w:rPr>
          <w:rFonts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instrText xml:space="preserve"> ADDIN EN.CITE &lt;EndNote&gt;&lt;Cite&gt;&lt;Author&gt;Cao&lt;/Author&gt;&lt;Year&gt;2020&lt;/Year&gt;&lt;RecNum&gt;3405&lt;/RecNum&gt;&lt;DisplayText&gt;(Cao et al., 2020)&lt;/DisplayText&gt;&lt;record&gt;&lt;rec-number&gt;3405&lt;/rec-number&gt;&lt;foreign-keys&gt;&lt;key app="EN" db-id="50wxdpzd9vd5r7e9t5b595djrfpttrxw9avp" timestamp="1738916893"&gt;3405&lt;/key&gt;&lt;/foreign-keys&gt;&lt;ref-type name="Journal Article"&gt;17&lt;/ref-type&gt;&lt;contributors&gt;&lt;authors&gt;&lt;author&gt;Cao, Jiling&lt;/author&gt;&lt;author&gt;Lin, Teng-Chiu&lt;/author&gt;&lt;author&gt;Yang, Zhijie&lt;/author&gt;&lt;author&gt;Zheng, Yong&lt;/author&gt;&lt;author&gt;Xie, Lin&lt;/author&gt;&lt;author&gt;Xiong, Decheng&lt;/author&gt;&lt;author&gt;Yang, Yusheng&lt;/author&gt;&lt;/authors&gt;&lt;/contributors&gt;&lt;titles&gt;&lt;title&gt;&lt;style face="normal" font="default" size="100%"&gt;Warming exerts a stronger effect than nitrogen addition on the soil arbuscular mycorrhizal fungal community in a young subtropical&lt;/style&gt;&lt;style face="italic" font="default" size="100%"&gt; Cunninghamia lanceolata&lt;/style&gt;&lt;style face="normal" font="default" size="100%"&gt; plantation&lt;/style&gt;&lt;/title&gt;&lt;secondary-title&gt;Geoderma&lt;/secondary-title&gt;&lt;/titles&gt;&lt;periodical&gt;&lt;full-title&gt;Geoderma&lt;/full-title&gt;&lt;/periodical&gt;&lt;pages&gt;114273&lt;/pages&gt;&lt;volume&gt;367&lt;/volume&gt;&lt;keywords&gt;&lt;keyword&gt;Soil warming&lt;/keyword&gt;&lt;keyword&gt;Nitrogen addition&lt;/keyword&gt;&lt;keyword&gt;Arbuscular mycorrhizal fungal community&lt;/keyword&gt;&lt;/keywords&gt;&lt;dates&gt;&lt;year&gt;2020&lt;/year&gt;&lt;pub-dates&gt;&lt;date&gt;2020/05/15/&lt;/date&gt;&lt;/pub-dates&gt;&lt;/dates&gt;&lt;isbn&gt;0016-7061&lt;/isbn&gt;&lt;urls&gt;&lt;related-urls&gt;&lt;url&gt;https://www.sciencedirect.com/science/article/pii/S0016706119321068&lt;/url&gt;&lt;/related-urls&gt;&lt;/urls&gt;&lt;electronic-resource-num&gt;https://doi.org/10.1016/j.geoderma.2020.114273&lt;/electronic-resource-num&gt;&lt;/record&gt;&lt;/Cite&gt;&lt;/EndNote&gt;</w:instrText>
      </w:r>
      <w:r>
        <w:rPr>
          <w:rFonts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(Cao et al., 2020)</w:t>
      </w:r>
      <w:r>
        <w:rPr>
          <w:rFonts w:ascii="Times New Roman" w:hAnsi="Times New Roman" w:eastAsia="宋体" w:cs="Times New Roman"/>
          <w:sz w:val="24"/>
          <w:szCs w:val="24"/>
        </w:rPr>
        <w:fldChar w:fldCharType="end"/>
      </w:r>
      <w:r>
        <w:rPr>
          <w:rFonts w:hint="eastAsia" w:ascii="Times New Roman" w:hAnsi="Times New Roman" w:eastAsia="宋体" w:cs="Times New Roman"/>
          <w:sz w:val="24"/>
          <w:szCs w:val="24"/>
        </w:rPr>
        <w:t>.</w:t>
      </w:r>
    </w:p>
    <w:p w14:paraId="14A1697E">
      <w:pPr>
        <w:spacing w:line="48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 xml:space="preserve">Table S1 </w:t>
      </w:r>
    </w:p>
    <w:p w14:paraId="310191D3">
      <w:pPr>
        <w:spacing w:line="480" w:lineRule="auto"/>
        <w:ind w:firstLine="0" w:firstLineChars="0"/>
        <w:jc w:val="both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 w:val="24"/>
          <w:szCs w:val="24"/>
        </w:rPr>
        <w:t>Soil properties under different treatments</w:t>
      </w:r>
    </w:p>
    <w:tbl>
      <w:tblPr>
        <w:tblStyle w:val="3"/>
        <w:tblW w:w="5291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558"/>
        <w:gridCol w:w="1290"/>
        <w:gridCol w:w="1290"/>
        <w:gridCol w:w="1332"/>
        <w:gridCol w:w="1290"/>
        <w:gridCol w:w="1196"/>
        <w:gridCol w:w="1395"/>
        <w:gridCol w:w="1185"/>
        <w:gridCol w:w="1185"/>
      </w:tblGrid>
      <w:tr w14:paraId="53E2314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1" w:type="pct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E7E6E6"/>
            <w:vAlign w:val="center"/>
          </w:tcPr>
          <w:p w14:paraId="24440799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Treatments</w:t>
            </w:r>
          </w:p>
        </w:tc>
        <w:tc>
          <w:tcPr>
            <w:tcW w:w="529" w:type="pct"/>
            <w:tcBorders>
              <w:top w:val="single" w:color="auto" w:sz="4" w:space="0"/>
              <w:bottom w:val="single" w:color="auto" w:sz="4" w:space="0"/>
            </w:tcBorders>
            <w:shd w:val="clear" w:color="auto" w:fill="E7E6E6"/>
            <w:vAlign w:val="center"/>
          </w:tcPr>
          <w:p w14:paraId="60E4380B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pH</w:t>
            </w:r>
          </w:p>
        </w:tc>
        <w:tc>
          <w:tcPr>
            <w:tcW w:w="529" w:type="pct"/>
            <w:tcBorders>
              <w:top w:val="single" w:color="auto" w:sz="4" w:space="0"/>
              <w:bottom w:val="single" w:color="auto" w:sz="4" w:space="0"/>
            </w:tcBorders>
            <w:shd w:val="clear" w:color="auto" w:fill="E7E6E6"/>
            <w:vAlign w:val="center"/>
          </w:tcPr>
          <w:p w14:paraId="2E46F86E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Soil moisture</w:t>
            </w:r>
          </w:p>
        </w:tc>
        <w:tc>
          <w:tcPr>
            <w:tcW w:w="545" w:type="pct"/>
            <w:tcBorders>
              <w:top w:val="single" w:color="auto" w:sz="4" w:space="0"/>
              <w:bottom w:val="single" w:color="auto" w:sz="4" w:space="0"/>
            </w:tcBorders>
            <w:shd w:val="clear" w:color="auto" w:fill="E7E6E6"/>
            <w:vAlign w:val="center"/>
          </w:tcPr>
          <w:p w14:paraId="73B56628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Soil temperature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 xml:space="preserve"> </w:t>
            </w:r>
          </w:p>
        </w:tc>
        <w:tc>
          <w:tcPr>
            <w:tcW w:w="529" w:type="pct"/>
            <w:tcBorders>
              <w:top w:val="single" w:color="auto" w:sz="4" w:space="0"/>
              <w:bottom w:val="single" w:color="auto" w:sz="4" w:space="0"/>
            </w:tcBorders>
            <w:shd w:val="clear" w:color="auto" w:fill="E7E6E6"/>
            <w:vAlign w:val="center"/>
          </w:tcPr>
          <w:p w14:paraId="111CF057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NH4</w:t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  <w:vertAlign w:val="superscript"/>
              </w:rPr>
              <w:t>+</w:t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-N (mg kg</w:t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  <w:vertAlign w:val="superscript"/>
              </w:rPr>
              <w:t>−1</w:t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)</w:t>
            </w:r>
          </w:p>
        </w:tc>
        <w:tc>
          <w:tcPr>
            <w:tcW w:w="494" w:type="pct"/>
            <w:tcBorders>
              <w:top w:val="single" w:color="auto" w:sz="4" w:space="0"/>
              <w:bottom w:val="single" w:color="auto" w:sz="4" w:space="0"/>
            </w:tcBorders>
            <w:shd w:val="clear" w:color="auto" w:fill="E7E6E6"/>
            <w:vAlign w:val="center"/>
          </w:tcPr>
          <w:p w14:paraId="1E3CEAFC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NO3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vertAlign w:val="superscript"/>
              </w:rPr>
              <w:t>-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-</w:t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N (mg kg</w:t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  <w:vertAlign w:val="superscript"/>
              </w:rPr>
              <w:t>−1</w:t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)</w:t>
            </w:r>
          </w:p>
        </w:tc>
        <w:tc>
          <w:tcPr>
            <w:tcW w:w="569" w:type="pct"/>
            <w:tcBorders>
              <w:top w:val="single" w:color="auto" w:sz="4" w:space="0"/>
              <w:bottom w:val="single" w:color="auto" w:sz="4" w:space="0"/>
            </w:tcBorders>
            <w:shd w:val="clear" w:color="auto" w:fill="E7E6E6"/>
            <w:vAlign w:val="center"/>
          </w:tcPr>
          <w:p w14:paraId="220F93ED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 xml:space="preserve">C </w:t>
            </w:r>
          </w:p>
          <w:p w14:paraId="4AAA9E6C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(g kg</w:t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  <w:vertAlign w:val="superscript"/>
              </w:rPr>
              <w:t>−1</w:t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)</w:t>
            </w:r>
          </w:p>
        </w:tc>
        <w:tc>
          <w:tcPr>
            <w:tcW w:w="490" w:type="pct"/>
            <w:tcBorders>
              <w:top w:val="single" w:color="auto" w:sz="4" w:space="0"/>
              <w:bottom w:val="single" w:color="auto" w:sz="4" w:space="0"/>
            </w:tcBorders>
            <w:shd w:val="clear" w:color="auto" w:fill="E7E6E6"/>
            <w:vAlign w:val="center"/>
          </w:tcPr>
          <w:p w14:paraId="0E8C7F56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 xml:space="preserve">TN </w:t>
            </w:r>
          </w:p>
          <w:p w14:paraId="3EFDC183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(g kg</w:t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  <w:vertAlign w:val="superscript"/>
              </w:rPr>
              <w:t>−1</w:t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)</w:t>
            </w:r>
          </w:p>
        </w:tc>
        <w:tc>
          <w:tcPr>
            <w:tcW w:w="765" w:type="pct"/>
            <w:tcBorders>
              <w:top w:val="single" w:color="auto" w:sz="4" w:space="0"/>
              <w:bottom w:val="single" w:color="auto" w:sz="4" w:space="0"/>
            </w:tcBorders>
            <w:shd w:val="clear" w:color="auto" w:fill="E7E6E6"/>
            <w:vAlign w:val="center"/>
          </w:tcPr>
          <w:p w14:paraId="27F58C11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 xml:space="preserve">TP </w:t>
            </w:r>
          </w:p>
          <w:p w14:paraId="120B3AFA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(g kg</w:t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  <w:vertAlign w:val="superscript"/>
              </w:rPr>
              <w:t>−1</w:t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)</w:t>
            </w:r>
          </w:p>
        </w:tc>
      </w:tr>
      <w:tr w14:paraId="224E0E1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1" w:type="pct"/>
            <w:gridSpan w:val="2"/>
            <w:tcBorders>
              <w:top w:val="single" w:color="auto" w:sz="4" w:space="0"/>
            </w:tcBorders>
          </w:tcPr>
          <w:p w14:paraId="2789744B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CT</w:t>
            </w:r>
          </w:p>
        </w:tc>
        <w:tc>
          <w:tcPr>
            <w:tcW w:w="529" w:type="pct"/>
            <w:tcBorders>
              <w:top w:val="single" w:color="auto" w:sz="4" w:space="0"/>
            </w:tcBorders>
          </w:tcPr>
          <w:p w14:paraId="5F3F329E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4.57(0.04)ab</w:t>
            </w:r>
          </w:p>
        </w:tc>
        <w:tc>
          <w:tcPr>
            <w:tcW w:w="529" w:type="pct"/>
            <w:tcBorders>
              <w:top w:val="single" w:color="auto" w:sz="4" w:space="0"/>
            </w:tcBorders>
          </w:tcPr>
          <w:p w14:paraId="1685BB48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0.22(0.00)a</w:t>
            </w:r>
          </w:p>
        </w:tc>
        <w:tc>
          <w:tcPr>
            <w:tcW w:w="545" w:type="pct"/>
            <w:tcBorders>
              <w:top w:val="single" w:color="auto" w:sz="4" w:space="0"/>
            </w:tcBorders>
          </w:tcPr>
          <w:p w14:paraId="236E7181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25.83(0.89)b</w:t>
            </w:r>
          </w:p>
        </w:tc>
        <w:tc>
          <w:tcPr>
            <w:tcW w:w="529" w:type="pct"/>
            <w:tcBorders>
              <w:top w:val="single" w:color="auto" w:sz="4" w:space="0"/>
            </w:tcBorders>
          </w:tcPr>
          <w:p w14:paraId="5F052C1E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9.55(0.61)b</w:t>
            </w:r>
          </w:p>
        </w:tc>
        <w:tc>
          <w:tcPr>
            <w:tcW w:w="494" w:type="pct"/>
            <w:tcBorders>
              <w:top w:val="single" w:color="auto" w:sz="4" w:space="0"/>
            </w:tcBorders>
          </w:tcPr>
          <w:p w14:paraId="647A54F6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1.93(0.29)b</w:t>
            </w:r>
          </w:p>
        </w:tc>
        <w:tc>
          <w:tcPr>
            <w:tcW w:w="569" w:type="pct"/>
            <w:tcBorders>
              <w:top w:val="single" w:color="auto" w:sz="4" w:space="0"/>
            </w:tcBorders>
          </w:tcPr>
          <w:p w14:paraId="441A47F2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14.45(1.56)ab</w:t>
            </w:r>
          </w:p>
        </w:tc>
        <w:tc>
          <w:tcPr>
            <w:tcW w:w="490" w:type="pct"/>
            <w:tcBorders>
              <w:top w:val="single" w:color="auto" w:sz="4" w:space="0"/>
            </w:tcBorders>
          </w:tcPr>
          <w:p w14:paraId="3F46DBF1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1.17(0.12)a</w:t>
            </w:r>
          </w:p>
        </w:tc>
        <w:tc>
          <w:tcPr>
            <w:tcW w:w="765" w:type="pct"/>
            <w:tcBorders>
              <w:top w:val="single" w:color="auto" w:sz="4" w:space="0"/>
            </w:tcBorders>
          </w:tcPr>
          <w:p w14:paraId="1C707BE7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0.32(0.01)a</w:t>
            </w:r>
          </w:p>
        </w:tc>
      </w:tr>
      <w:tr w14:paraId="782C497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1" w:type="pct"/>
            <w:gridSpan w:val="2"/>
          </w:tcPr>
          <w:p w14:paraId="277FFCB3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W</w:t>
            </w:r>
          </w:p>
        </w:tc>
        <w:tc>
          <w:tcPr>
            <w:tcW w:w="529" w:type="pct"/>
          </w:tcPr>
          <w:p w14:paraId="740E1F2A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4.63(0.01)a</w:t>
            </w:r>
          </w:p>
        </w:tc>
        <w:tc>
          <w:tcPr>
            <w:tcW w:w="529" w:type="pct"/>
          </w:tcPr>
          <w:p w14:paraId="5CCE7AAD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0.18(0.00)b</w:t>
            </w:r>
          </w:p>
        </w:tc>
        <w:tc>
          <w:tcPr>
            <w:tcW w:w="545" w:type="pct"/>
          </w:tcPr>
          <w:p w14:paraId="784538C1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31.42(0.28)a</w:t>
            </w:r>
          </w:p>
        </w:tc>
        <w:tc>
          <w:tcPr>
            <w:tcW w:w="529" w:type="pct"/>
          </w:tcPr>
          <w:p w14:paraId="129F3243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10.85(0.32)a</w:t>
            </w:r>
          </w:p>
        </w:tc>
        <w:tc>
          <w:tcPr>
            <w:tcW w:w="494" w:type="pct"/>
          </w:tcPr>
          <w:p w14:paraId="0057E86B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1.76(0.23)b</w:t>
            </w:r>
          </w:p>
        </w:tc>
        <w:tc>
          <w:tcPr>
            <w:tcW w:w="569" w:type="pct"/>
          </w:tcPr>
          <w:p w14:paraId="477C0D90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13.49(1.13)ab</w:t>
            </w:r>
          </w:p>
        </w:tc>
        <w:tc>
          <w:tcPr>
            <w:tcW w:w="490" w:type="pct"/>
          </w:tcPr>
          <w:p w14:paraId="7D212C18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1.10(0.08)a</w:t>
            </w:r>
          </w:p>
        </w:tc>
        <w:tc>
          <w:tcPr>
            <w:tcW w:w="765" w:type="pct"/>
          </w:tcPr>
          <w:p w14:paraId="7CA59AB0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0.32(0.01)a</w:t>
            </w:r>
          </w:p>
        </w:tc>
      </w:tr>
      <w:tr w14:paraId="2949E5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1" w:type="pct"/>
            <w:gridSpan w:val="2"/>
          </w:tcPr>
          <w:p w14:paraId="560A8FD3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D</w:t>
            </w:r>
          </w:p>
        </w:tc>
        <w:tc>
          <w:tcPr>
            <w:tcW w:w="529" w:type="pct"/>
          </w:tcPr>
          <w:p w14:paraId="6E3C83C4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4.53(0.04)b</w:t>
            </w:r>
          </w:p>
        </w:tc>
        <w:tc>
          <w:tcPr>
            <w:tcW w:w="529" w:type="pct"/>
          </w:tcPr>
          <w:p w14:paraId="2297E88C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0.19(0.02)ab</w:t>
            </w:r>
          </w:p>
        </w:tc>
        <w:tc>
          <w:tcPr>
            <w:tcW w:w="545" w:type="pct"/>
          </w:tcPr>
          <w:p w14:paraId="38C0FD87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26.75(0.82)b</w:t>
            </w:r>
          </w:p>
        </w:tc>
        <w:tc>
          <w:tcPr>
            <w:tcW w:w="529" w:type="pct"/>
          </w:tcPr>
          <w:p w14:paraId="5ECB067F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9.63(0.67)b</w:t>
            </w:r>
          </w:p>
        </w:tc>
        <w:tc>
          <w:tcPr>
            <w:tcW w:w="494" w:type="pct"/>
          </w:tcPr>
          <w:p w14:paraId="2DC529E7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3.07(0.44)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a</w:t>
            </w:r>
          </w:p>
        </w:tc>
        <w:tc>
          <w:tcPr>
            <w:tcW w:w="569" w:type="pct"/>
          </w:tcPr>
          <w:p w14:paraId="7FE54EBE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15.12(2.57)a</w:t>
            </w:r>
          </w:p>
        </w:tc>
        <w:tc>
          <w:tcPr>
            <w:tcW w:w="490" w:type="pct"/>
          </w:tcPr>
          <w:p w14:paraId="1B0AC856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1.23(0.20)a</w:t>
            </w:r>
          </w:p>
        </w:tc>
        <w:tc>
          <w:tcPr>
            <w:tcW w:w="765" w:type="pct"/>
          </w:tcPr>
          <w:p w14:paraId="07B441B8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0.34(0.01)a</w:t>
            </w:r>
          </w:p>
        </w:tc>
      </w:tr>
      <w:tr w14:paraId="389F467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1" w:type="pct"/>
            <w:gridSpan w:val="2"/>
          </w:tcPr>
          <w:p w14:paraId="12F02EF9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WD</w:t>
            </w:r>
          </w:p>
        </w:tc>
        <w:tc>
          <w:tcPr>
            <w:tcW w:w="529" w:type="pct"/>
          </w:tcPr>
          <w:p w14:paraId="2346BD4E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4.56(0.06)b</w:t>
            </w:r>
          </w:p>
        </w:tc>
        <w:tc>
          <w:tcPr>
            <w:tcW w:w="529" w:type="pct"/>
          </w:tcPr>
          <w:p w14:paraId="6BD931AD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0.17(0.02)b</w:t>
            </w:r>
          </w:p>
        </w:tc>
        <w:tc>
          <w:tcPr>
            <w:tcW w:w="545" w:type="pct"/>
          </w:tcPr>
          <w:p w14:paraId="0653999C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31.72(1.01)a</w:t>
            </w:r>
          </w:p>
        </w:tc>
        <w:tc>
          <w:tcPr>
            <w:tcW w:w="529" w:type="pct"/>
          </w:tcPr>
          <w:p w14:paraId="5038AE8B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9.53(0.50)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b</w:t>
            </w:r>
          </w:p>
        </w:tc>
        <w:tc>
          <w:tcPr>
            <w:tcW w:w="494" w:type="pct"/>
          </w:tcPr>
          <w:p w14:paraId="298CDF2B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2.12(0.36)b</w:t>
            </w:r>
          </w:p>
        </w:tc>
        <w:tc>
          <w:tcPr>
            <w:tcW w:w="569" w:type="pct"/>
          </w:tcPr>
          <w:p w14:paraId="1C5A31D7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11.63(1.73)b</w:t>
            </w:r>
          </w:p>
        </w:tc>
        <w:tc>
          <w:tcPr>
            <w:tcW w:w="490" w:type="pct"/>
          </w:tcPr>
          <w:p w14:paraId="4B36C7F1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1.01(0.11)a</w:t>
            </w:r>
          </w:p>
        </w:tc>
        <w:tc>
          <w:tcPr>
            <w:tcW w:w="765" w:type="pct"/>
          </w:tcPr>
          <w:p w14:paraId="0FA1434B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0.32(0.01)a</w:t>
            </w:r>
          </w:p>
        </w:tc>
      </w:tr>
      <w:tr w14:paraId="6C6C360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" w:type="pct"/>
          </w:tcPr>
          <w:p w14:paraId="515E7814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W             </w:t>
            </w:r>
          </w:p>
        </w:tc>
        <w:tc>
          <w:tcPr>
            <w:tcW w:w="249" w:type="pct"/>
          </w:tcPr>
          <w:p w14:paraId="303169FD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F     </w:t>
            </w:r>
          </w:p>
        </w:tc>
        <w:tc>
          <w:tcPr>
            <w:tcW w:w="529" w:type="pct"/>
          </w:tcPr>
          <w:p w14:paraId="72BBD6C3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7.74</w:t>
            </w:r>
          </w:p>
        </w:tc>
        <w:tc>
          <w:tcPr>
            <w:tcW w:w="529" w:type="pct"/>
          </w:tcPr>
          <w:p w14:paraId="2B2AFE76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12.96</w:t>
            </w:r>
          </w:p>
        </w:tc>
        <w:tc>
          <w:tcPr>
            <w:tcW w:w="545" w:type="pct"/>
          </w:tcPr>
          <w:p w14:paraId="2B70C604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217.89</w:t>
            </w:r>
          </w:p>
        </w:tc>
        <w:tc>
          <w:tcPr>
            <w:tcW w:w="529" w:type="pct"/>
          </w:tcPr>
          <w:p w14:paraId="2069566E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1.56</w:t>
            </w:r>
          </w:p>
        </w:tc>
        <w:tc>
          <w:tcPr>
            <w:tcW w:w="494" w:type="pct"/>
          </w:tcPr>
          <w:p w14:paraId="04257EAD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6.09</w:t>
            </w:r>
          </w:p>
        </w:tc>
        <w:tc>
          <w:tcPr>
            <w:tcW w:w="569" w:type="pct"/>
          </w:tcPr>
          <w:p w14:paraId="2D79559E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7.46</w:t>
            </w:r>
          </w:p>
        </w:tc>
        <w:tc>
          <w:tcPr>
            <w:tcW w:w="490" w:type="pct"/>
          </w:tcPr>
          <w:p w14:paraId="22D64CAA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5.34</w:t>
            </w:r>
          </w:p>
        </w:tc>
        <w:tc>
          <w:tcPr>
            <w:tcW w:w="765" w:type="pct"/>
          </w:tcPr>
          <w:p w14:paraId="1247ED6D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3.12</w:t>
            </w:r>
          </w:p>
        </w:tc>
      </w:tr>
      <w:tr w14:paraId="30F0F77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" w:type="pct"/>
          </w:tcPr>
          <w:p w14:paraId="0E60A22D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49" w:type="pct"/>
          </w:tcPr>
          <w:p w14:paraId="2C3A5BB6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i/>
                <w:i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szCs w:val="21"/>
              </w:rPr>
              <w:t>p</w:t>
            </w:r>
          </w:p>
        </w:tc>
        <w:tc>
          <w:tcPr>
            <w:tcW w:w="529" w:type="pct"/>
          </w:tcPr>
          <w:p w14:paraId="55DD13E8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0.01</w:t>
            </w:r>
          </w:p>
        </w:tc>
        <w:tc>
          <w:tcPr>
            <w:tcW w:w="529" w:type="pct"/>
          </w:tcPr>
          <w:p w14:paraId="1D518D5D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0.00</w:t>
            </w:r>
          </w:p>
        </w:tc>
        <w:tc>
          <w:tcPr>
            <w:tcW w:w="545" w:type="pct"/>
          </w:tcPr>
          <w:p w14:paraId="5CA8F9B5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0.00</w:t>
            </w:r>
          </w:p>
        </w:tc>
        <w:tc>
          <w:tcPr>
            <w:tcW w:w="529" w:type="pct"/>
          </w:tcPr>
          <w:p w14:paraId="5980752F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0.00</w:t>
            </w:r>
          </w:p>
        </w:tc>
        <w:tc>
          <w:tcPr>
            <w:tcW w:w="494" w:type="pct"/>
          </w:tcPr>
          <w:p w14:paraId="301C8383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0.03</w:t>
            </w:r>
          </w:p>
        </w:tc>
        <w:tc>
          <w:tcPr>
            <w:tcW w:w="569" w:type="pct"/>
          </w:tcPr>
          <w:p w14:paraId="50EE0098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0.02</w:t>
            </w:r>
          </w:p>
        </w:tc>
        <w:tc>
          <w:tcPr>
            <w:tcW w:w="490" w:type="pct"/>
          </w:tcPr>
          <w:p w14:paraId="5599B669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0.03</w:t>
            </w:r>
          </w:p>
        </w:tc>
        <w:tc>
          <w:tcPr>
            <w:tcW w:w="765" w:type="pct"/>
          </w:tcPr>
          <w:p w14:paraId="04F7C944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0.10</w:t>
            </w:r>
          </w:p>
        </w:tc>
      </w:tr>
      <w:tr w14:paraId="1A74342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" w:type="pct"/>
          </w:tcPr>
          <w:p w14:paraId="275362AF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D</w:t>
            </w:r>
          </w:p>
        </w:tc>
        <w:tc>
          <w:tcPr>
            <w:tcW w:w="249" w:type="pct"/>
          </w:tcPr>
          <w:p w14:paraId="44FD991C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F</w:t>
            </w:r>
          </w:p>
        </w:tc>
        <w:tc>
          <w:tcPr>
            <w:tcW w:w="529" w:type="pct"/>
          </w:tcPr>
          <w:p w14:paraId="4FE7903A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10.15</w:t>
            </w:r>
          </w:p>
        </w:tc>
        <w:tc>
          <w:tcPr>
            <w:tcW w:w="529" w:type="pct"/>
          </w:tcPr>
          <w:p w14:paraId="0194DEBC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7.67</w:t>
            </w:r>
          </w:p>
        </w:tc>
        <w:tc>
          <w:tcPr>
            <w:tcW w:w="545" w:type="pct"/>
          </w:tcPr>
          <w:p w14:paraId="473187B8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2.92</w:t>
            </w:r>
          </w:p>
        </w:tc>
        <w:tc>
          <w:tcPr>
            <w:tcW w:w="529" w:type="pct"/>
          </w:tcPr>
          <w:p w14:paraId="52308B3D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26.28</w:t>
            </w:r>
          </w:p>
        </w:tc>
        <w:tc>
          <w:tcPr>
            <w:tcW w:w="494" w:type="pct"/>
          </w:tcPr>
          <w:p w14:paraId="2B5A8FF5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6.64</w:t>
            </w:r>
          </w:p>
        </w:tc>
        <w:tc>
          <w:tcPr>
            <w:tcW w:w="569" w:type="pct"/>
          </w:tcPr>
          <w:p w14:paraId="4C5179F4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0.54</w:t>
            </w:r>
          </w:p>
        </w:tc>
        <w:tc>
          <w:tcPr>
            <w:tcW w:w="490" w:type="pct"/>
          </w:tcPr>
          <w:p w14:paraId="6CC05836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0.00</w:t>
            </w:r>
          </w:p>
        </w:tc>
        <w:tc>
          <w:tcPr>
            <w:tcW w:w="765" w:type="pct"/>
          </w:tcPr>
          <w:p w14:paraId="2A04EFE7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3.12</w:t>
            </w:r>
          </w:p>
        </w:tc>
      </w:tr>
      <w:tr w14:paraId="4C190C4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" w:type="pct"/>
          </w:tcPr>
          <w:p w14:paraId="7700AD34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49" w:type="pct"/>
          </w:tcPr>
          <w:p w14:paraId="70018E36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i/>
                <w:i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szCs w:val="21"/>
              </w:rPr>
              <w:t>p</w:t>
            </w:r>
          </w:p>
        </w:tc>
        <w:tc>
          <w:tcPr>
            <w:tcW w:w="529" w:type="pct"/>
          </w:tcPr>
          <w:p w14:paraId="06B9A43C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0.01</w:t>
            </w:r>
          </w:p>
        </w:tc>
        <w:tc>
          <w:tcPr>
            <w:tcW w:w="529" w:type="pct"/>
          </w:tcPr>
          <w:p w14:paraId="1ADE3398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0.01</w:t>
            </w:r>
          </w:p>
        </w:tc>
        <w:tc>
          <w:tcPr>
            <w:tcW w:w="545" w:type="pct"/>
          </w:tcPr>
          <w:p w14:paraId="596DFE9F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0.11</w:t>
            </w:r>
          </w:p>
        </w:tc>
        <w:tc>
          <w:tcPr>
            <w:tcW w:w="529" w:type="pct"/>
          </w:tcPr>
          <w:p w14:paraId="6BCE00A3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0.00</w:t>
            </w:r>
          </w:p>
        </w:tc>
        <w:tc>
          <w:tcPr>
            <w:tcW w:w="494" w:type="pct"/>
          </w:tcPr>
          <w:p w14:paraId="58FB561D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0.02</w:t>
            </w:r>
          </w:p>
        </w:tc>
        <w:tc>
          <w:tcPr>
            <w:tcW w:w="569" w:type="pct"/>
          </w:tcPr>
          <w:p w14:paraId="3D237BC4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0.47</w:t>
            </w:r>
          </w:p>
        </w:tc>
        <w:tc>
          <w:tcPr>
            <w:tcW w:w="490" w:type="pct"/>
          </w:tcPr>
          <w:p w14:paraId="154FD0E4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0.07</w:t>
            </w:r>
          </w:p>
        </w:tc>
        <w:tc>
          <w:tcPr>
            <w:tcW w:w="765" w:type="pct"/>
          </w:tcPr>
          <w:p w14:paraId="320D87A1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0.10</w:t>
            </w:r>
          </w:p>
        </w:tc>
      </w:tr>
      <w:tr w14:paraId="2C2E6D8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" w:type="pct"/>
          </w:tcPr>
          <w:p w14:paraId="77F98D28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W</w:t>
            </w:r>
            <w:r>
              <w:rPr>
                <w:rFonts w:ascii="Times New Roman" w:hAnsi="Times New Roman" w:eastAsia="宋体" w:cs="Times New Roman"/>
                <w:szCs w:val="21"/>
              </w:rPr>
              <w:t>×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D</w:t>
            </w:r>
          </w:p>
        </w:tc>
        <w:tc>
          <w:tcPr>
            <w:tcW w:w="249" w:type="pct"/>
          </w:tcPr>
          <w:p w14:paraId="3BA937A9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F</w:t>
            </w:r>
          </w:p>
        </w:tc>
        <w:tc>
          <w:tcPr>
            <w:tcW w:w="529" w:type="pct"/>
          </w:tcPr>
          <w:p w14:paraId="65C9193F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1.13</w:t>
            </w:r>
          </w:p>
        </w:tc>
        <w:tc>
          <w:tcPr>
            <w:tcW w:w="529" w:type="pct"/>
          </w:tcPr>
          <w:p w14:paraId="6EDA7155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1.11</w:t>
            </w:r>
          </w:p>
        </w:tc>
        <w:tc>
          <w:tcPr>
            <w:tcW w:w="545" w:type="pct"/>
          </w:tcPr>
          <w:p w14:paraId="4D3AB5DA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0.74</w:t>
            </w:r>
          </w:p>
        </w:tc>
        <w:tc>
          <w:tcPr>
            <w:tcW w:w="529" w:type="pct"/>
          </w:tcPr>
          <w:p w14:paraId="605F3C4B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7.20</w:t>
            </w:r>
          </w:p>
        </w:tc>
        <w:tc>
          <w:tcPr>
            <w:tcW w:w="494" w:type="pct"/>
          </w:tcPr>
          <w:p w14:paraId="4098E9C1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8.31</w:t>
            </w:r>
          </w:p>
        </w:tc>
        <w:tc>
          <w:tcPr>
            <w:tcW w:w="569" w:type="pct"/>
          </w:tcPr>
          <w:p w14:paraId="454C6927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2.42</w:t>
            </w:r>
          </w:p>
        </w:tc>
        <w:tc>
          <w:tcPr>
            <w:tcW w:w="490" w:type="pct"/>
          </w:tcPr>
          <w:p w14:paraId="1F6AE76B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0.03</w:t>
            </w:r>
          </w:p>
        </w:tc>
        <w:tc>
          <w:tcPr>
            <w:tcW w:w="765" w:type="pct"/>
          </w:tcPr>
          <w:p w14:paraId="633CBD13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0.97</w:t>
            </w:r>
          </w:p>
        </w:tc>
      </w:tr>
      <w:tr w14:paraId="2AA1451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" w:type="pct"/>
          </w:tcPr>
          <w:p w14:paraId="0C2B9B0C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49" w:type="pct"/>
          </w:tcPr>
          <w:p w14:paraId="7FE7E323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i/>
                <w:i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szCs w:val="21"/>
              </w:rPr>
              <w:t>p</w:t>
            </w:r>
          </w:p>
        </w:tc>
        <w:tc>
          <w:tcPr>
            <w:tcW w:w="529" w:type="pct"/>
          </w:tcPr>
          <w:p w14:paraId="7E01B65D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0.30</w:t>
            </w:r>
          </w:p>
        </w:tc>
        <w:tc>
          <w:tcPr>
            <w:tcW w:w="529" w:type="pct"/>
          </w:tcPr>
          <w:p w14:paraId="22BE0958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0.31</w:t>
            </w:r>
          </w:p>
        </w:tc>
        <w:tc>
          <w:tcPr>
            <w:tcW w:w="545" w:type="pct"/>
          </w:tcPr>
          <w:p w14:paraId="6F793CAC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0.40</w:t>
            </w:r>
          </w:p>
        </w:tc>
        <w:tc>
          <w:tcPr>
            <w:tcW w:w="529" w:type="pct"/>
          </w:tcPr>
          <w:p w14:paraId="19198C2C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0.02</w:t>
            </w:r>
          </w:p>
        </w:tc>
        <w:tc>
          <w:tcPr>
            <w:tcW w:w="494" w:type="pct"/>
          </w:tcPr>
          <w:p w14:paraId="042326DD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0.01</w:t>
            </w:r>
          </w:p>
        </w:tc>
        <w:tc>
          <w:tcPr>
            <w:tcW w:w="569" w:type="pct"/>
          </w:tcPr>
          <w:p w14:paraId="5396AC93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0.14</w:t>
            </w:r>
          </w:p>
        </w:tc>
        <w:tc>
          <w:tcPr>
            <w:tcW w:w="490" w:type="pct"/>
          </w:tcPr>
          <w:p w14:paraId="56675765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1.54</w:t>
            </w:r>
          </w:p>
        </w:tc>
        <w:tc>
          <w:tcPr>
            <w:tcW w:w="765" w:type="pct"/>
          </w:tcPr>
          <w:p w14:paraId="5590AF48">
            <w:pPr>
              <w:spacing w:line="260" w:lineRule="atLeast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0.34</w:t>
            </w:r>
          </w:p>
        </w:tc>
      </w:tr>
    </w:tbl>
    <w:p w14:paraId="07E40E00">
      <w:pPr>
        <w:spacing w:line="480" w:lineRule="auto"/>
        <w:ind w:firstLine="0" w:firstLineChars="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Notes: Values are shown mean±SD (n = 5). Data with different capital letters refer to significantly different in different treatments at the 0.05 level. Treatment: warming (W), water stress (D), interactive effects of warming and water stress (W×D); signiﬁcant effect at </w:t>
      </w:r>
      <w:r>
        <w:rPr>
          <w:rFonts w:ascii="Times New Roman" w:hAnsi="Times New Roman" w:eastAsia="宋体" w:cs="Times New Roman"/>
          <w:i/>
          <w:iCs/>
          <w:sz w:val="24"/>
          <w:szCs w:val="24"/>
        </w:rPr>
        <w:t>p</w:t>
      </w:r>
      <w:r>
        <w:rPr>
          <w:rFonts w:ascii="Times New Roman" w:hAnsi="Times New Roman" w:eastAsia="宋体" w:cs="Times New Roman"/>
          <w:sz w:val="24"/>
          <w:szCs w:val="24"/>
        </w:rPr>
        <w:t xml:space="preserve"> &lt;0.05; highly signiﬁcant eﬀect at </w:t>
      </w:r>
      <w:r>
        <w:rPr>
          <w:rFonts w:ascii="Times New Roman" w:hAnsi="Times New Roman" w:eastAsia="宋体" w:cs="Times New Roman"/>
          <w:i/>
          <w:iCs/>
          <w:sz w:val="24"/>
          <w:szCs w:val="24"/>
        </w:rPr>
        <w:t>p</w:t>
      </w:r>
      <w:r>
        <w:rPr>
          <w:rFonts w:ascii="Times New Roman" w:hAnsi="Times New Roman" w:eastAsia="宋体" w:cs="Times New Roman"/>
          <w:sz w:val="24"/>
          <w:szCs w:val="24"/>
        </w:rPr>
        <w:t xml:space="preserve"> &lt;0.01. Bold numbers indicate significant differences. NH4</w:t>
      </w:r>
      <w:r>
        <w:rPr>
          <w:rFonts w:ascii="Times New Roman" w:hAnsi="Times New Roman" w:eastAsia="宋体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eastAsia="宋体" w:cs="Times New Roman"/>
          <w:sz w:val="24"/>
          <w:szCs w:val="24"/>
        </w:rPr>
        <w:t>-N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: </w:t>
      </w:r>
      <w:r>
        <w:rPr>
          <w:rFonts w:ascii="Times New Roman" w:hAnsi="Times New Roman" w:eastAsia="宋体" w:cs="Times New Roman"/>
          <w:sz w:val="24"/>
          <w:szCs w:val="24"/>
        </w:rPr>
        <w:t>ammonium, NO3</w:t>
      </w:r>
      <w:r>
        <w:rPr>
          <w:rFonts w:hint="eastAsia" w:ascii="Times New Roman" w:hAnsi="Times New Roman" w:eastAsia="宋体" w:cs="Times New Roman"/>
          <w:sz w:val="24"/>
          <w:szCs w:val="24"/>
          <w:vertAlign w:val="superscript"/>
        </w:rPr>
        <w:t>﹣</w:t>
      </w:r>
      <w:r>
        <w:rPr>
          <w:rFonts w:hint="eastAsia" w:ascii="Times New Roman" w:hAnsi="Times New Roman" w:eastAsia="宋体" w:cs="Times New Roman"/>
          <w:sz w:val="24"/>
          <w:szCs w:val="24"/>
        </w:rPr>
        <w:t>-</w:t>
      </w:r>
      <w:r>
        <w:rPr>
          <w:rFonts w:ascii="Times New Roman" w:hAnsi="Times New Roman" w:eastAsia="宋体" w:cs="Times New Roman"/>
          <w:sz w:val="24"/>
          <w:szCs w:val="24"/>
        </w:rPr>
        <w:t>N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: </w:t>
      </w:r>
      <w:r>
        <w:rPr>
          <w:rFonts w:ascii="Times New Roman" w:hAnsi="Times New Roman" w:eastAsia="宋体" w:cs="Times New Roman"/>
          <w:sz w:val="24"/>
          <w:szCs w:val="24"/>
        </w:rPr>
        <w:t>nitrate,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C: s</w:t>
      </w:r>
      <w:r>
        <w:rPr>
          <w:rFonts w:ascii="Times New Roman" w:hAnsi="Times New Roman" w:eastAsia="宋体" w:cs="Times New Roman"/>
          <w:sz w:val="24"/>
          <w:szCs w:val="24"/>
        </w:rPr>
        <w:t>oil total C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, TN: soil total N, TP: </w:t>
      </w:r>
      <w:r>
        <w:rPr>
          <w:rFonts w:ascii="Times New Roman" w:hAnsi="Times New Roman" w:eastAsia="宋体" w:cs="Times New Roman"/>
          <w:sz w:val="24"/>
          <w:szCs w:val="24"/>
        </w:rPr>
        <w:t xml:space="preserve">oil total </w:t>
      </w:r>
      <w:r>
        <w:rPr>
          <w:rFonts w:hint="eastAsia" w:ascii="Times New Roman" w:hAnsi="Times New Roman" w:eastAsia="宋体" w:cs="Times New Roman"/>
          <w:sz w:val="24"/>
          <w:szCs w:val="24"/>
        </w:rPr>
        <w:t>P.</w:t>
      </w:r>
    </w:p>
    <w:p w14:paraId="33E48D7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94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2026-04-08T09:20:37Z</dcterms:created>
  <dc:creator>18318</dc:creator>
  <cp:lastModifiedBy>^o^我不走。</cp:lastModifiedBy>
  <dcterms:modified xsi:type="dcterms:W3CDTF">2026-04-08T09:20:43Z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eyJoZGlkIjoiNzNmZGU0NzY3MDk1NDg3Y2JlZWI4MDY2ZWNlYmNkYWQiLCJ1c2VySWQiOiIzMDc1NjQ0NzQifQ==</vt:lpwstr>
  </property>
  <property fmtid="{D5CDD505-2E9C-101B-9397-08002B2CF9AE}" pid="4" name="ICV">
    <vt:lpwstr>7CCDABADC54645B59E7B58556B32D1AB_12</vt:lpwstr>
  </property>
</Properties>
</file>