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2E9D0D" w14:textId="2D9C6112" w:rsidR="00A05EEF" w:rsidRDefault="00A05EEF" w:rsidP="00B10349">
      <w:pPr>
        <w:rPr>
          <w:b/>
          <w:bCs/>
          <w:lang w:val="en-US"/>
        </w:rPr>
      </w:pPr>
      <w:r>
        <w:rPr>
          <w:b/>
          <w:bCs/>
          <w:lang w:val="en-US"/>
        </w:rPr>
        <w:t>Search strategy</w:t>
      </w:r>
    </w:p>
    <w:p w14:paraId="5EBEB800" w14:textId="47244317" w:rsidR="00B10349" w:rsidRPr="00A05EEF" w:rsidRDefault="00B10349" w:rsidP="00B10349">
      <w:pPr>
        <w:rPr>
          <w:b/>
          <w:bCs/>
          <w:lang w:val="en-US"/>
        </w:rPr>
      </w:pPr>
      <w:r w:rsidRPr="00A05EEF">
        <w:rPr>
          <w:b/>
          <w:bCs/>
          <w:lang w:val="en-US"/>
        </w:rPr>
        <w:t>PUBMED</w:t>
      </w:r>
    </w:p>
    <w:p w14:paraId="38D44F35" w14:textId="62F4A730" w:rsidR="00B10349" w:rsidRPr="00B10349" w:rsidRDefault="00B10349" w:rsidP="00B10349">
      <w:pPr>
        <w:rPr>
          <w:lang w:val="en-US"/>
        </w:rPr>
      </w:pPr>
      <w:r w:rsidRPr="00B10349">
        <w:rPr>
          <w:lang w:val="en-US"/>
        </w:rPr>
        <w:t># CONDITION (SAH / ruptured intracranial aneurysm)</w:t>
      </w:r>
    </w:p>
    <w:p w14:paraId="43EF77F3" w14:textId="77777777" w:rsidR="00B10349" w:rsidRPr="00B10349" w:rsidRDefault="00B10349" w:rsidP="00B10349">
      <w:pPr>
        <w:rPr>
          <w:lang w:val="en-US"/>
        </w:rPr>
      </w:pPr>
      <w:r w:rsidRPr="00B10349">
        <w:rPr>
          <w:lang w:val="en-US"/>
        </w:rPr>
        <w:t>(</w:t>
      </w:r>
      <w:proofErr w:type="spellStart"/>
      <w:r w:rsidRPr="00B10349">
        <w:rPr>
          <w:lang w:val="en-US"/>
        </w:rPr>
        <w:t>cond</w:t>
      </w:r>
      <w:proofErr w:type="spellEnd"/>
      <w:r w:rsidRPr="00B10349">
        <w:rPr>
          <w:lang w:val="en-US"/>
        </w:rPr>
        <w:t>)</w:t>
      </w:r>
    </w:p>
    <w:p w14:paraId="54D97AFF" w14:textId="77777777" w:rsidR="00B10349" w:rsidRPr="00B10349" w:rsidRDefault="00B10349" w:rsidP="00B10349">
      <w:pPr>
        <w:rPr>
          <w:lang w:val="en-US"/>
        </w:rPr>
      </w:pPr>
      <w:r w:rsidRPr="00B10349">
        <w:rPr>
          <w:lang w:val="en-US"/>
        </w:rPr>
        <w:t>(</w:t>
      </w:r>
    </w:p>
    <w:p w14:paraId="36505AAF" w14:textId="77777777" w:rsidR="00B10349" w:rsidRPr="00B10349" w:rsidRDefault="00B10349" w:rsidP="00B10349">
      <w:pPr>
        <w:rPr>
          <w:lang w:val="en-US"/>
        </w:rPr>
      </w:pPr>
      <w:r w:rsidRPr="00B10349">
        <w:rPr>
          <w:lang w:val="en-US"/>
        </w:rPr>
        <w:t xml:space="preserve">  "Subarachnoid Hemorrhage"[Mesh]</w:t>
      </w:r>
    </w:p>
    <w:p w14:paraId="43B3C171" w14:textId="77777777" w:rsidR="00B10349" w:rsidRPr="00B10349" w:rsidRDefault="00B10349" w:rsidP="00B10349">
      <w:pPr>
        <w:rPr>
          <w:lang w:val="en-US"/>
        </w:rPr>
      </w:pPr>
      <w:r w:rsidRPr="00B10349">
        <w:rPr>
          <w:lang w:val="en-US"/>
        </w:rPr>
        <w:t xml:space="preserve">  OR "Intracranial Aneurysm"[Mesh]</w:t>
      </w:r>
    </w:p>
    <w:p w14:paraId="6210EC08" w14:textId="77777777" w:rsidR="00B10349" w:rsidRPr="00B10349" w:rsidRDefault="00B10349" w:rsidP="00B10349">
      <w:pPr>
        <w:rPr>
          <w:lang w:val="en-US"/>
        </w:rPr>
      </w:pPr>
      <w:r w:rsidRPr="00B10349">
        <w:rPr>
          <w:lang w:val="en-US"/>
        </w:rPr>
        <w:t xml:space="preserve">  OR subarachnoid </w:t>
      </w:r>
      <w:proofErr w:type="spellStart"/>
      <w:r w:rsidRPr="00B10349">
        <w:rPr>
          <w:lang w:val="en-US"/>
        </w:rPr>
        <w:t>hemorrhag</w:t>
      </w:r>
      <w:proofErr w:type="spellEnd"/>
      <w:r w:rsidRPr="00B10349">
        <w:rPr>
          <w:lang w:val="en-US"/>
        </w:rPr>
        <w:t>*[</w:t>
      </w:r>
      <w:proofErr w:type="spellStart"/>
      <w:r w:rsidRPr="00B10349">
        <w:rPr>
          <w:lang w:val="en-US"/>
        </w:rPr>
        <w:t>tiab</w:t>
      </w:r>
      <w:proofErr w:type="spellEnd"/>
      <w:r w:rsidRPr="00B10349">
        <w:rPr>
          <w:lang w:val="en-US"/>
        </w:rPr>
        <w:t>]</w:t>
      </w:r>
    </w:p>
    <w:p w14:paraId="3E3BE2E5" w14:textId="77777777" w:rsidR="00B10349" w:rsidRPr="00B10349" w:rsidRDefault="00B10349" w:rsidP="00B10349">
      <w:pPr>
        <w:rPr>
          <w:lang w:val="en-US"/>
        </w:rPr>
      </w:pPr>
      <w:r w:rsidRPr="00B10349">
        <w:rPr>
          <w:lang w:val="en-US"/>
        </w:rPr>
        <w:t xml:space="preserve">  OR subarachnoid </w:t>
      </w:r>
      <w:proofErr w:type="spellStart"/>
      <w:r w:rsidRPr="00B10349">
        <w:rPr>
          <w:lang w:val="en-US"/>
        </w:rPr>
        <w:t>haemorrhag</w:t>
      </w:r>
      <w:proofErr w:type="spellEnd"/>
      <w:r w:rsidRPr="00B10349">
        <w:rPr>
          <w:lang w:val="en-US"/>
        </w:rPr>
        <w:t>*[</w:t>
      </w:r>
      <w:proofErr w:type="spellStart"/>
      <w:r w:rsidRPr="00B10349">
        <w:rPr>
          <w:lang w:val="en-US"/>
        </w:rPr>
        <w:t>tiab</w:t>
      </w:r>
      <w:proofErr w:type="spellEnd"/>
      <w:r w:rsidRPr="00B10349">
        <w:rPr>
          <w:lang w:val="en-US"/>
        </w:rPr>
        <w:t>]</w:t>
      </w:r>
    </w:p>
    <w:p w14:paraId="1A7C4BED" w14:textId="77777777" w:rsidR="00B10349" w:rsidRPr="00B10349" w:rsidRDefault="00B10349" w:rsidP="00B10349">
      <w:pPr>
        <w:rPr>
          <w:lang w:val="en-US"/>
        </w:rPr>
      </w:pPr>
      <w:r w:rsidRPr="00B10349">
        <w:rPr>
          <w:lang w:val="en-US"/>
        </w:rPr>
        <w:t xml:space="preserve">  OR SAH[</w:t>
      </w:r>
      <w:proofErr w:type="spellStart"/>
      <w:r w:rsidRPr="00B10349">
        <w:rPr>
          <w:lang w:val="en-US"/>
        </w:rPr>
        <w:t>tiab</w:t>
      </w:r>
      <w:proofErr w:type="spellEnd"/>
      <w:r w:rsidRPr="00B10349">
        <w:rPr>
          <w:lang w:val="en-US"/>
        </w:rPr>
        <w:t>]</w:t>
      </w:r>
    </w:p>
    <w:p w14:paraId="2D7989AE" w14:textId="77777777" w:rsidR="00B10349" w:rsidRPr="00B10349" w:rsidRDefault="00B10349" w:rsidP="00B10349">
      <w:pPr>
        <w:rPr>
          <w:lang w:val="en-US"/>
        </w:rPr>
      </w:pPr>
      <w:r w:rsidRPr="00B10349">
        <w:rPr>
          <w:lang w:val="en-US"/>
        </w:rPr>
        <w:t xml:space="preserve">  OR aneurysmal subarachnoid </w:t>
      </w:r>
      <w:proofErr w:type="spellStart"/>
      <w:r w:rsidRPr="00B10349">
        <w:rPr>
          <w:lang w:val="en-US"/>
        </w:rPr>
        <w:t>hemorrhag</w:t>
      </w:r>
      <w:proofErr w:type="spellEnd"/>
      <w:r w:rsidRPr="00B10349">
        <w:rPr>
          <w:lang w:val="en-US"/>
        </w:rPr>
        <w:t>*[</w:t>
      </w:r>
      <w:proofErr w:type="spellStart"/>
      <w:r w:rsidRPr="00B10349">
        <w:rPr>
          <w:lang w:val="en-US"/>
        </w:rPr>
        <w:t>tiab</w:t>
      </w:r>
      <w:proofErr w:type="spellEnd"/>
      <w:r w:rsidRPr="00B10349">
        <w:rPr>
          <w:lang w:val="en-US"/>
        </w:rPr>
        <w:t>]</w:t>
      </w:r>
    </w:p>
    <w:p w14:paraId="2AA3B619" w14:textId="77777777" w:rsidR="00B10349" w:rsidRPr="00B10349" w:rsidRDefault="00B10349" w:rsidP="00B10349">
      <w:pPr>
        <w:rPr>
          <w:lang w:val="en-US"/>
        </w:rPr>
      </w:pPr>
      <w:r w:rsidRPr="00B10349">
        <w:rPr>
          <w:lang w:val="en-US"/>
        </w:rPr>
        <w:t xml:space="preserve">  OR aneurysmal subarachnoid </w:t>
      </w:r>
      <w:proofErr w:type="spellStart"/>
      <w:r w:rsidRPr="00B10349">
        <w:rPr>
          <w:lang w:val="en-US"/>
        </w:rPr>
        <w:t>haemorrhag</w:t>
      </w:r>
      <w:proofErr w:type="spellEnd"/>
      <w:r w:rsidRPr="00B10349">
        <w:rPr>
          <w:lang w:val="en-US"/>
        </w:rPr>
        <w:t>*[</w:t>
      </w:r>
      <w:proofErr w:type="spellStart"/>
      <w:r w:rsidRPr="00B10349">
        <w:rPr>
          <w:lang w:val="en-US"/>
        </w:rPr>
        <w:t>tiab</w:t>
      </w:r>
      <w:proofErr w:type="spellEnd"/>
      <w:r w:rsidRPr="00B10349">
        <w:rPr>
          <w:lang w:val="en-US"/>
        </w:rPr>
        <w:t>]</w:t>
      </w:r>
    </w:p>
    <w:p w14:paraId="658DA769" w14:textId="77777777" w:rsidR="00B10349" w:rsidRPr="00B10349" w:rsidRDefault="00B10349" w:rsidP="00B10349">
      <w:pPr>
        <w:rPr>
          <w:lang w:val="en-US"/>
        </w:rPr>
      </w:pPr>
      <w:r w:rsidRPr="00B10349">
        <w:rPr>
          <w:lang w:val="en-US"/>
        </w:rPr>
        <w:t xml:space="preserve">  OR (</w:t>
      </w:r>
      <w:proofErr w:type="spellStart"/>
      <w:r w:rsidRPr="00B10349">
        <w:rPr>
          <w:lang w:val="en-US"/>
        </w:rPr>
        <w:t>ruptur</w:t>
      </w:r>
      <w:proofErr w:type="spellEnd"/>
      <w:r w:rsidRPr="00B10349">
        <w:rPr>
          <w:lang w:val="en-US"/>
        </w:rPr>
        <w:t>*[</w:t>
      </w:r>
      <w:proofErr w:type="spellStart"/>
      <w:r w:rsidRPr="00B10349">
        <w:rPr>
          <w:lang w:val="en-US"/>
        </w:rPr>
        <w:t>tiab</w:t>
      </w:r>
      <w:proofErr w:type="spellEnd"/>
      <w:r w:rsidRPr="00B10349">
        <w:rPr>
          <w:lang w:val="en-US"/>
        </w:rPr>
        <w:t>] AND (aneurysm*[</w:t>
      </w:r>
      <w:proofErr w:type="spellStart"/>
      <w:r w:rsidRPr="00B10349">
        <w:rPr>
          <w:lang w:val="en-US"/>
        </w:rPr>
        <w:t>tiab</w:t>
      </w:r>
      <w:proofErr w:type="spellEnd"/>
      <w:r w:rsidRPr="00B10349">
        <w:rPr>
          <w:lang w:val="en-US"/>
        </w:rPr>
        <w:t>] OR intracranial aneurysm*[</w:t>
      </w:r>
      <w:proofErr w:type="spellStart"/>
      <w:r w:rsidRPr="00B10349">
        <w:rPr>
          <w:lang w:val="en-US"/>
        </w:rPr>
        <w:t>tiab</w:t>
      </w:r>
      <w:proofErr w:type="spellEnd"/>
      <w:r w:rsidRPr="00B10349">
        <w:rPr>
          <w:lang w:val="en-US"/>
        </w:rPr>
        <w:t>]))</w:t>
      </w:r>
    </w:p>
    <w:p w14:paraId="065C482E" w14:textId="77777777" w:rsidR="00B10349" w:rsidRPr="00B10349" w:rsidRDefault="00B10349" w:rsidP="00B10349">
      <w:pPr>
        <w:rPr>
          <w:lang w:val="en-US"/>
        </w:rPr>
      </w:pPr>
      <w:r w:rsidRPr="00B10349">
        <w:rPr>
          <w:lang w:val="en-US"/>
        </w:rPr>
        <w:t>)</w:t>
      </w:r>
    </w:p>
    <w:p w14:paraId="1D49C8CE" w14:textId="77777777" w:rsidR="00B10349" w:rsidRPr="00B10349" w:rsidRDefault="00B10349" w:rsidP="00B10349">
      <w:pPr>
        <w:rPr>
          <w:lang w:val="en-US"/>
        </w:rPr>
      </w:pPr>
    </w:p>
    <w:p w14:paraId="32A9543D" w14:textId="77777777" w:rsidR="00B10349" w:rsidRPr="00B10349" w:rsidRDefault="00B10349" w:rsidP="00B10349">
      <w:pPr>
        <w:rPr>
          <w:lang w:val="en-US"/>
        </w:rPr>
      </w:pPr>
      <w:r w:rsidRPr="00B10349">
        <w:rPr>
          <w:lang w:val="en-US"/>
        </w:rPr>
        <w:t># ANTIPLATELET (DAPT/ASA/clopidogrel)</w:t>
      </w:r>
    </w:p>
    <w:p w14:paraId="251173FD" w14:textId="77777777" w:rsidR="00B10349" w:rsidRPr="00B10349" w:rsidRDefault="00B10349" w:rsidP="00B10349">
      <w:pPr>
        <w:rPr>
          <w:lang w:val="en-US"/>
        </w:rPr>
      </w:pPr>
      <w:r w:rsidRPr="00B10349">
        <w:rPr>
          <w:lang w:val="en-US"/>
        </w:rPr>
        <w:t>(</w:t>
      </w:r>
      <w:proofErr w:type="spellStart"/>
      <w:r w:rsidRPr="00B10349">
        <w:rPr>
          <w:lang w:val="en-US"/>
        </w:rPr>
        <w:t>aplt</w:t>
      </w:r>
      <w:proofErr w:type="spellEnd"/>
      <w:r w:rsidRPr="00B10349">
        <w:rPr>
          <w:lang w:val="en-US"/>
        </w:rPr>
        <w:t>)</w:t>
      </w:r>
    </w:p>
    <w:p w14:paraId="299B83DC" w14:textId="77777777" w:rsidR="00B10349" w:rsidRPr="00B10349" w:rsidRDefault="00B10349" w:rsidP="00B10349">
      <w:pPr>
        <w:rPr>
          <w:lang w:val="en-US"/>
        </w:rPr>
      </w:pPr>
      <w:r w:rsidRPr="00B10349">
        <w:rPr>
          <w:lang w:val="en-US"/>
        </w:rPr>
        <w:t>(</w:t>
      </w:r>
    </w:p>
    <w:p w14:paraId="4E1E4552" w14:textId="77777777" w:rsidR="00B10349" w:rsidRPr="00B10349" w:rsidRDefault="00B10349" w:rsidP="00B10349">
      <w:pPr>
        <w:rPr>
          <w:lang w:val="en-US"/>
        </w:rPr>
      </w:pPr>
      <w:r w:rsidRPr="00B10349">
        <w:rPr>
          <w:lang w:val="en-US"/>
        </w:rPr>
        <w:t xml:space="preserve">  "Platelet Aggregation Inhibitors"[Mesh]</w:t>
      </w:r>
    </w:p>
    <w:p w14:paraId="7A562FAE" w14:textId="77777777" w:rsidR="00B10349" w:rsidRPr="00B10349" w:rsidRDefault="00B10349" w:rsidP="00B10349">
      <w:pPr>
        <w:rPr>
          <w:lang w:val="en-US"/>
        </w:rPr>
      </w:pPr>
      <w:r w:rsidRPr="00B10349">
        <w:rPr>
          <w:lang w:val="en-US"/>
        </w:rPr>
        <w:t xml:space="preserve">  OR "Aspirin"[Mesh] OR aspirin[</w:t>
      </w:r>
      <w:proofErr w:type="spellStart"/>
      <w:r w:rsidRPr="00B10349">
        <w:rPr>
          <w:lang w:val="en-US"/>
        </w:rPr>
        <w:t>tiab</w:t>
      </w:r>
      <w:proofErr w:type="spellEnd"/>
      <w:r w:rsidRPr="00B10349">
        <w:rPr>
          <w:lang w:val="en-US"/>
        </w:rPr>
        <w:t>] OR acetylsalicylic[</w:t>
      </w:r>
      <w:proofErr w:type="spellStart"/>
      <w:r w:rsidRPr="00B10349">
        <w:rPr>
          <w:lang w:val="en-US"/>
        </w:rPr>
        <w:t>tiab</w:t>
      </w:r>
      <w:proofErr w:type="spellEnd"/>
      <w:r w:rsidRPr="00B10349">
        <w:rPr>
          <w:lang w:val="en-US"/>
        </w:rPr>
        <w:t>] OR ASA[</w:t>
      </w:r>
      <w:proofErr w:type="spellStart"/>
      <w:r w:rsidRPr="00B10349">
        <w:rPr>
          <w:lang w:val="en-US"/>
        </w:rPr>
        <w:t>tiab</w:t>
      </w:r>
      <w:proofErr w:type="spellEnd"/>
      <w:r w:rsidRPr="00B10349">
        <w:rPr>
          <w:lang w:val="en-US"/>
        </w:rPr>
        <w:t>]</w:t>
      </w:r>
    </w:p>
    <w:p w14:paraId="57701EB2" w14:textId="77777777" w:rsidR="00B10349" w:rsidRPr="00B10349" w:rsidRDefault="00B10349" w:rsidP="00B10349">
      <w:pPr>
        <w:rPr>
          <w:lang w:val="en-US"/>
        </w:rPr>
      </w:pPr>
      <w:r w:rsidRPr="00B10349">
        <w:rPr>
          <w:lang w:val="en-US"/>
        </w:rPr>
        <w:t xml:space="preserve">  OR "Clopidogrel"[Mesh] OR clopidogrel[</w:t>
      </w:r>
      <w:proofErr w:type="spellStart"/>
      <w:r w:rsidRPr="00B10349">
        <w:rPr>
          <w:lang w:val="en-US"/>
        </w:rPr>
        <w:t>tiab</w:t>
      </w:r>
      <w:proofErr w:type="spellEnd"/>
      <w:r w:rsidRPr="00B10349">
        <w:rPr>
          <w:lang w:val="en-US"/>
        </w:rPr>
        <w:t>]</w:t>
      </w:r>
    </w:p>
    <w:p w14:paraId="03566F81" w14:textId="77777777" w:rsidR="00B10349" w:rsidRPr="00B10349" w:rsidRDefault="00B10349" w:rsidP="00B10349">
      <w:pPr>
        <w:rPr>
          <w:lang w:val="en-US"/>
        </w:rPr>
      </w:pPr>
      <w:r w:rsidRPr="00B10349">
        <w:rPr>
          <w:lang w:val="en-US"/>
        </w:rPr>
        <w:lastRenderedPageBreak/>
        <w:t xml:space="preserve">  OR "dual antiplatelet"[</w:t>
      </w:r>
      <w:proofErr w:type="spellStart"/>
      <w:r w:rsidRPr="00B10349">
        <w:rPr>
          <w:lang w:val="en-US"/>
        </w:rPr>
        <w:t>tiab</w:t>
      </w:r>
      <w:proofErr w:type="spellEnd"/>
      <w:r w:rsidRPr="00B10349">
        <w:rPr>
          <w:lang w:val="en-US"/>
        </w:rPr>
        <w:t>] OR DAPT[</w:t>
      </w:r>
      <w:proofErr w:type="spellStart"/>
      <w:r w:rsidRPr="00B10349">
        <w:rPr>
          <w:lang w:val="en-US"/>
        </w:rPr>
        <w:t>tiab</w:t>
      </w:r>
      <w:proofErr w:type="spellEnd"/>
      <w:r w:rsidRPr="00B10349">
        <w:rPr>
          <w:lang w:val="en-US"/>
        </w:rPr>
        <w:t>] OR "platelet inhibition"[</w:t>
      </w:r>
      <w:proofErr w:type="spellStart"/>
      <w:r w:rsidRPr="00B10349">
        <w:rPr>
          <w:lang w:val="en-US"/>
        </w:rPr>
        <w:t>tiab</w:t>
      </w:r>
      <w:proofErr w:type="spellEnd"/>
      <w:r w:rsidRPr="00B10349">
        <w:rPr>
          <w:lang w:val="en-US"/>
        </w:rPr>
        <w:t>]</w:t>
      </w:r>
    </w:p>
    <w:p w14:paraId="26005D5D" w14:textId="77777777" w:rsidR="00B10349" w:rsidRPr="00B10349" w:rsidRDefault="00B10349" w:rsidP="00B10349">
      <w:pPr>
        <w:rPr>
          <w:lang w:val="en-US"/>
        </w:rPr>
      </w:pPr>
      <w:r w:rsidRPr="00B10349">
        <w:rPr>
          <w:lang w:val="en-US"/>
        </w:rPr>
        <w:t>)</w:t>
      </w:r>
    </w:p>
    <w:p w14:paraId="770A86C8" w14:textId="77777777" w:rsidR="00B10349" w:rsidRPr="00B10349" w:rsidRDefault="00B10349" w:rsidP="00B10349">
      <w:pPr>
        <w:rPr>
          <w:lang w:val="en-US"/>
        </w:rPr>
      </w:pPr>
    </w:p>
    <w:p w14:paraId="69E1AA3A" w14:textId="77777777" w:rsidR="00B10349" w:rsidRPr="00B10349" w:rsidRDefault="00B10349" w:rsidP="00B10349">
      <w:pPr>
        <w:rPr>
          <w:lang w:val="en-US"/>
        </w:rPr>
      </w:pPr>
      <w:r w:rsidRPr="00B10349">
        <w:rPr>
          <w:lang w:val="en-US"/>
        </w:rPr>
        <w:t># ANTICOAGULANT (heparin ± class)</w:t>
      </w:r>
    </w:p>
    <w:p w14:paraId="114C71C7" w14:textId="77777777" w:rsidR="00B10349" w:rsidRPr="00B10349" w:rsidRDefault="00B10349" w:rsidP="00B10349">
      <w:pPr>
        <w:rPr>
          <w:lang w:val="en-US"/>
        </w:rPr>
      </w:pPr>
      <w:r w:rsidRPr="00B10349">
        <w:rPr>
          <w:lang w:val="en-US"/>
        </w:rPr>
        <w:t>(</w:t>
      </w:r>
      <w:proofErr w:type="spellStart"/>
      <w:r w:rsidRPr="00B10349">
        <w:rPr>
          <w:lang w:val="en-US"/>
        </w:rPr>
        <w:t>anticoag</w:t>
      </w:r>
      <w:proofErr w:type="spellEnd"/>
      <w:r w:rsidRPr="00B10349">
        <w:rPr>
          <w:lang w:val="en-US"/>
        </w:rPr>
        <w:t>)</w:t>
      </w:r>
    </w:p>
    <w:p w14:paraId="3CB598B0" w14:textId="77777777" w:rsidR="00B10349" w:rsidRPr="00B10349" w:rsidRDefault="00B10349" w:rsidP="00B10349">
      <w:pPr>
        <w:rPr>
          <w:lang w:val="en-US"/>
        </w:rPr>
      </w:pPr>
      <w:r w:rsidRPr="00B10349">
        <w:rPr>
          <w:lang w:val="en-US"/>
        </w:rPr>
        <w:t>(</w:t>
      </w:r>
    </w:p>
    <w:p w14:paraId="1DAF7706" w14:textId="77777777" w:rsidR="00B10349" w:rsidRPr="00B10349" w:rsidRDefault="00B10349" w:rsidP="00B10349">
      <w:pPr>
        <w:rPr>
          <w:lang w:val="en-US"/>
        </w:rPr>
      </w:pPr>
      <w:r w:rsidRPr="00B10349">
        <w:rPr>
          <w:lang w:val="en-US"/>
        </w:rPr>
        <w:t xml:space="preserve">  "Anticoagulants"[Mesh]</w:t>
      </w:r>
    </w:p>
    <w:p w14:paraId="6F75E7E9" w14:textId="77777777" w:rsidR="00B10349" w:rsidRPr="00B10349" w:rsidRDefault="00B10349" w:rsidP="00B10349">
      <w:pPr>
        <w:rPr>
          <w:lang w:val="en-US"/>
        </w:rPr>
      </w:pPr>
      <w:r w:rsidRPr="00B10349">
        <w:rPr>
          <w:lang w:val="en-US"/>
        </w:rPr>
        <w:t xml:space="preserve">  OR "Heparin"[Mesh] OR heparin[</w:t>
      </w:r>
      <w:proofErr w:type="spellStart"/>
      <w:r w:rsidRPr="00B10349">
        <w:rPr>
          <w:lang w:val="en-US"/>
        </w:rPr>
        <w:t>tiab</w:t>
      </w:r>
      <w:proofErr w:type="spellEnd"/>
      <w:r w:rsidRPr="00B10349">
        <w:rPr>
          <w:lang w:val="en-US"/>
        </w:rPr>
        <w:t>] OR unfractionated heparin[</w:t>
      </w:r>
      <w:proofErr w:type="spellStart"/>
      <w:r w:rsidRPr="00B10349">
        <w:rPr>
          <w:lang w:val="en-US"/>
        </w:rPr>
        <w:t>tiab</w:t>
      </w:r>
      <w:proofErr w:type="spellEnd"/>
      <w:r w:rsidRPr="00B10349">
        <w:rPr>
          <w:lang w:val="en-US"/>
        </w:rPr>
        <w:t>]</w:t>
      </w:r>
    </w:p>
    <w:p w14:paraId="194EC178" w14:textId="77777777" w:rsidR="00B10349" w:rsidRPr="00B10349" w:rsidRDefault="00B10349" w:rsidP="00B10349">
      <w:pPr>
        <w:rPr>
          <w:lang w:val="en-US"/>
        </w:rPr>
      </w:pPr>
      <w:r w:rsidRPr="00B10349">
        <w:rPr>
          <w:lang w:val="en-US"/>
        </w:rPr>
        <w:t xml:space="preserve">  OR low-molecular-weight heparin[</w:t>
      </w:r>
      <w:proofErr w:type="spellStart"/>
      <w:r w:rsidRPr="00B10349">
        <w:rPr>
          <w:lang w:val="en-US"/>
        </w:rPr>
        <w:t>tiab</w:t>
      </w:r>
      <w:proofErr w:type="spellEnd"/>
      <w:r w:rsidRPr="00B10349">
        <w:rPr>
          <w:lang w:val="en-US"/>
        </w:rPr>
        <w:t>] OR LMWH[</w:t>
      </w:r>
      <w:proofErr w:type="spellStart"/>
      <w:r w:rsidRPr="00B10349">
        <w:rPr>
          <w:lang w:val="en-US"/>
        </w:rPr>
        <w:t>tiab</w:t>
      </w:r>
      <w:proofErr w:type="spellEnd"/>
      <w:r w:rsidRPr="00B10349">
        <w:rPr>
          <w:lang w:val="en-US"/>
        </w:rPr>
        <w:t>] OR enoxaparin[</w:t>
      </w:r>
      <w:proofErr w:type="spellStart"/>
      <w:r w:rsidRPr="00B10349">
        <w:rPr>
          <w:lang w:val="en-US"/>
        </w:rPr>
        <w:t>tiab</w:t>
      </w:r>
      <w:proofErr w:type="spellEnd"/>
      <w:r w:rsidRPr="00B10349">
        <w:rPr>
          <w:lang w:val="en-US"/>
        </w:rPr>
        <w:t>]</w:t>
      </w:r>
    </w:p>
    <w:p w14:paraId="7D60DAC1" w14:textId="77777777" w:rsidR="00B10349" w:rsidRPr="00B10349" w:rsidRDefault="00B10349" w:rsidP="00B10349">
      <w:pPr>
        <w:rPr>
          <w:lang w:val="en-US"/>
        </w:rPr>
      </w:pPr>
      <w:r w:rsidRPr="00B10349">
        <w:rPr>
          <w:lang w:val="en-US"/>
        </w:rPr>
        <w:t>)</w:t>
      </w:r>
    </w:p>
    <w:p w14:paraId="07B506DE" w14:textId="77777777" w:rsidR="00B10349" w:rsidRPr="00B10349" w:rsidRDefault="00B10349" w:rsidP="00B10349">
      <w:pPr>
        <w:rPr>
          <w:lang w:val="en-US"/>
        </w:rPr>
      </w:pPr>
    </w:p>
    <w:p w14:paraId="46D523BA" w14:textId="77777777" w:rsidR="00B10349" w:rsidRPr="00B10349" w:rsidRDefault="00B10349" w:rsidP="00B10349">
      <w:pPr>
        <w:rPr>
          <w:lang w:val="en-US"/>
        </w:rPr>
      </w:pPr>
      <w:r w:rsidRPr="00B10349">
        <w:rPr>
          <w:lang w:val="en-US"/>
        </w:rPr>
        <w:t># DATE WINDOW</w:t>
      </w:r>
    </w:p>
    <w:p w14:paraId="79C86F6F" w14:textId="77777777" w:rsidR="00B10349" w:rsidRPr="00B10349" w:rsidRDefault="00B10349" w:rsidP="00B10349">
      <w:pPr>
        <w:rPr>
          <w:lang w:val="en-US"/>
        </w:rPr>
      </w:pPr>
      <w:r w:rsidRPr="00B10349">
        <w:rPr>
          <w:lang w:val="en-US"/>
        </w:rPr>
        <w:t>(date)</w:t>
      </w:r>
    </w:p>
    <w:p w14:paraId="1967DF80" w14:textId="77777777" w:rsidR="00B10349" w:rsidRPr="00B10349" w:rsidRDefault="00B10349" w:rsidP="00B10349">
      <w:pPr>
        <w:rPr>
          <w:lang w:val="en-US"/>
        </w:rPr>
      </w:pPr>
      <w:r w:rsidRPr="00B10349">
        <w:rPr>
          <w:lang w:val="en-US"/>
        </w:rPr>
        <w:t>("1800/01/01"[</w:t>
      </w:r>
      <w:proofErr w:type="spellStart"/>
      <w:r w:rsidRPr="00B10349">
        <w:rPr>
          <w:lang w:val="en-US"/>
        </w:rPr>
        <w:t>dp</w:t>
      </w:r>
      <w:proofErr w:type="spellEnd"/>
      <w:r w:rsidRPr="00B10349">
        <w:rPr>
          <w:lang w:val="en-US"/>
        </w:rPr>
        <w:t>] : "2025/08/31"[</w:t>
      </w:r>
      <w:proofErr w:type="spellStart"/>
      <w:r w:rsidRPr="00B10349">
        <w:rPr>
          <w:lang w:val="en-US"/>
        </w:rPr>
        <w:t>dp</w:t>
      </w:r>
      <w:proofErr w:type="spellEnd"/>
      <w:r w:rsidRPr="00B10349">
        <w:rPr>
          <w:lang w:val="en-US"/>
        </w:rPr>
        <w:t>])</w:t>
      </w:r>
    </w:p>
    <w:p w14:paraId="70B877A6" w14:textId="1A2FC95A" w:rsidR="00B10349" w:rsidRDefault="00B10349" w:rsidP="00B10349">
      <w:pPr>
        <w:rPr>
          <w:lang w:val="en-US"/>
        </w:rPr>
      </w:pPr>
    </w:p>
    <w:p w14:paraId="25CE7D14" w14:textId="41535B25" w:rsidR="00A05EEF" w:rsidRDefault="00A05EEF" w:rsidP="00B10349">
      <w:pPr>
        <w:rPr>
          <w:lang w:val="en-US"/>
        </w:rPr>
      </w:pPr>
      <w:r>
        <w:rPr>
          <w:lang w:val="en-US"/>
        </w:rPr>
        <w:t>OVID</w:t>
      </w:r>
    </w:p>
    <w:p w14:paraId="70875EFE" w14:textId="364C3D0A" w:rsidR="00B10349" w:rsidRPr="00B10349" w:rsidRDefault="00B10349" w:rsidP="00B10349">
      <w:pPr>
        <w:rPr>
          <w:lang w:val="en-US"/>
        </w:rPr>
      </w:pPr>
      <w:r w:rsidRPr="00B10349">
        <w:rPr>
          <w:lang w:val="en-US"/>
        </w:rPr>
        <w:t>1.  exp Subarachnoid Hemorrhage/</w:t>
      </w:r>
    </w:p>
    <w:p w14:paraId="145426D2" w14:textId="77777777" w:rsidR="00B10349" w:rsidRPr="00B10349" w:rsidRDefault="00B10349" w:rsidP="00B10349">
      <w:pPr>
        <w:rPr>
          <w:lang w:val="en-US"/>
        </w:rPr>
      </w:pPr>
      <w:r w:rsidRPr="00B10349">
        <w:rPr>
          <w:lang w:val="en-US"/>
        </w:rPr>
        <w:t>2.  exp Intracranial Aneurysm/</w:t>
      </w:r>
    </w:p>
    <w:p w14:paraId="7B61F32B" w14:textId="77777777" w:rsidR="00B10349" w:rsidRPr="00B10349" w:rsidRDefault="00B10349" w:rsidP="00B10349">
      <w:pPr>
        <w:rPr>
          <w:lang w:val="en-US"/>
        </w:rPr>
      </w:pPr>
      <w:r w:rsidRPr="00B10349">
        <w:rPr>
          <w:lang w:val="en-US"/>
        </w:rPr>
        <w:t xml:space="preserve">3.  (subarachnoid </w:t>
      </w:r>
      <w:proofErr w:type="spellStart"/>
      <w:r w:rsidRPr="00B10349">
        <w:rPr>
          <w:lang w:val="en-US"/>
        </w:rPr>
        <w:t>hemorrhag</w:t>
      </w:r>
      <w:proofErr w:type="spellEnd"/>
      <w:r w:rsidRPr="00B10349">
        <w:rPr>
          <w:lang w:val="en-US"/>
        </w:rPr>
        <w:t xml:space="preserve">* or subarachnoid </w:t>
      </w:r>
      <w:proofErr w:type="spellStart"/>
      <w:r w:rsidRPr="00B10349">
        <w:rPr>
          <w:lang w:val="en-US"/>
        </w:rPr>
        <w:t>haemorrhag</w:t>
      </w:r>
      <w:proofErr w:type="spellEnd"/>
      <w:r w:rsidRPr="00B10349">
        <w:rPr>
          <w:lang w:val="en-US"/>
        </w:rPr>
        <w:t>* or SAH or</w:t>
      </w:r>
    </w:p>
    <w:p w14:paraId="77BAB141" w14:textId="77777777" w:rsidR="00B10349" w:rsidRPr="00B10349" w:rsidRDefault="00B10349" w:rsidP="00B10349">
      <w:pPr>
        <w:rPr>
          <w:lang w:val="en-US"/>
        </w:rPr>
      </w:pPr>
      <w:r w:rsidRPr="00B10349">
        <w:rPr>
          <w:lang w:val="en-US"/>
        </w:rPr>
        <w:t xml:space="preserve">     aneurysmal subarachnoid </w:t>
      </w:r>
      <w:proofErr w:type="spellStart"/>
      <w:r w:rsidRPr="00B10349">
        <w:rPr>
          <w:lang w:val="en-US"/>
        </w:rPr>
        <w:t>hemorrhag</w:t>
      </w:r>
      <w:proofErr w:type="spellEnd"/>
      <w:r w:rsidRPr="00B10349">
        <w:rPr>
          <w:lang w:val="en-US"/>
        </w:rPr>
        <w:t xml:space="preserve">* or aneurysmal subarachnoid </w:t>
      </w:r>
      <w:proofErr w:type="spellStart"/>
      <w:r w:rsidRPr="00B10349">
        <w:rPr>
          <w:lang w:val="en-US"/>
        </w:rPr>
        <w:t>haemorrhag</w:t>
      </w:r>
      <w:proofErr w:type="spellEnd"/>
      <w:r w:rsidRPr="00B10349">
        <w:rPr>
          <w:lang w:val="en-US"/>
        </w:rPr>
        <w:t>*).</w:t>
      </w:r>
      <w:proofErr w:type="spellStart"/>
      <w:r w:rsidRPr="00B10349">
        <w:rPr>
          <w:lang w:val="en-US"/>
        </w:rPr>
        <w:t>ti,ab</w:t>
      </w:r>
      <w:proofErr w:type="spellEnd"/>
      <w:r w:rsidRPr="00B10349">
        <w:rPr>
          <w:lang w:val="en-US"/>
        </w:rPr>
        <w:t>.</w:t>
      </w:r>
    </w:p>
    <w:p w14:paraId="502EF589" w14:textId="77777777" w:rsidR="00B10349" w:rsidRPr="00B10349" w:rsidRDefault="00B10349" w:rsidP="00B10349">
      <w:pPr>
        <w:rPr>
          <w:lang w:val="en-US"/>
        </w:rPr>
      </w:pPr>
      <w:r w:rsidRPr="00B10349">
        <w:rPr>
          <w:lang w:val="en-US"/>
        </w:rPr>
        <w:t>4.  ((</w:t>
      </w:r>
      <w:proofErr w:type="spellStart"/>
      <w:r w:rsidRPr="00B10349">
        <w:rPr>
          <w:lang w:val="en-US"/>
        </w:rPr>
        <w:t>ruptur</w:t>
      </w:r>
      <w:proofErr w:type="spellEnd"/>
      <w:r w:rsidRPr="00B10349">
        <w:rPr>
          <w:lang w:val="en-US"/>
        </w:rPr>
        <w:t>* adj3 aneurysm*) or (</w:t>
      </w:r>
      <w:proofErr w:type="spellStart"/>
      <w:r w:rsidRPr="00B10349">
        <w:rPr>
          <w:lang w:val="en-US"/>
        </w:rPr>
        <w:t>ruptur</w:t>
      </w:r>
      <w:proofErr w:type="spellEnd"/>
      <w:r w:rsidRPr="00B10349">
        <w:rPr>
          <w:lang w:val="en-US"/>
        </w:rPr>
        <w:t>* adj3 (intracranial adj3 aneurysm*))).</w:t>
      </w:r>
      <w:proofErr w:type="spellStart"/>
      <w:r w:rsidRPr="00B10349">
        <w:rPr>
          <w:lang w:val="en-US"/>
        </w:rPr>
        <w:t>ti,ab</w:t>
      </w:r>
      <w:proofErr w:type="spellEnd"/>
      <w:r w:rsidRPr="00B10349">
        <w:rPr>
          <w:lang w:val="en-US"/>
        </w:rPr>
        <w:t>.</w:t>
      </w:r>
    </w:p>
    <w:p w14:paraId="348E6A67" w14:textId="77777777" w:rsidR="00B10349" w:rsidRPr="00B10349" w:rsidRDefault="00B10349" w:rsidP="00B10349">
      <w:pPr>
        <w:rPr>
          <w:lang w:val="en-US"/>
        </w:rPr>
      </w:pPr>
      <w:r w:rsidRPr="00B10349">
        <w:rPr>
          <w:lang w:val="en-US"/>
        </w:rPr>
        <w:lastRenderedPageBreak/>
        <w:t>5.  1 or 2 or 3 or 4                        # CONDITION</w:t>
      </w:r>
    </w:p>
    <w:p w14:paraId="5694BEE5" w14:textId="77777777" w:rsidR="00B10349" w:rsidRPr="00B10349" w:rsidRDefault="00B10349" w:rsidP="00B10349">
      <w:pPr>
        <w:rPr>
          <w:lang w:val="en-US"/>
        </w:rPr>
      </w:pPr>
    </w:p>
    <w:p w14:paraId="236C29FD" w14:textId="77777777" w:rsidR="00B10349" w:rsidRPr="00B10349" w:rsidRDefault="00B10349" w:rsidP="00B10349">
      <w:pPr>
        <w:rPr>
          <w:lang w:val="en-US"/>
        </w:rPr>
      </w:pPr>
      <w:r w:rsidRPr="00B10349">
        <w:rPr>
          <w:lang w:val="en-US"/>
        </w:rPr>
        <w:t>6.  exp Platelet Aggregation Inhibitors/</w:t>
      </w:r>
    </w:p>
    <w:p w14:paraId="07939DBD" w14:textId="77777777" w:rsidR="00B10349" w:rsidRPr="00B10349" w:rsidRDefault="00B10349" w:rsidP="00B10349">
      <w:pPr>
        <w:rPr>
          <w:lang w:val="en-US"/>
        </w:rPr>
      </w:pPr>
      <w:r w:rsidRPr="00B10349">
        <w:rPr>
          <w:lang w:val="en-US"/>
        </w:rPr>
        <w:t>7.  Aspirin/ or Clopidogrel/</w:t>
      </w:r>
    </w:p>
    <w:p w14:paraId="4517126F" w14:textId="77777777" w:rsidR="00B10349" w:rsidRPr="00B10349" w:rsidRDefault="00B10349" w:rsidP="00B10349">
      <w:pPr>
        <w:rPr>
          <w:lang w:val="en-US"/>
        </w:rPr>
      </w:pPr>
      <w:r w:rsidRPr="00B10349">
        <w:rPr>
          <w:lang w:val="en-US"/>
        </w:rPr>
        <w:t>8.  (aspirin or acetylsalicylic or ASA or clopidogrel or "dual antiplatelet" or DAPT</w:t>
      </w:r>
    </w:p>
    <w:p w14:paraId="212AFDB3" w14:textId="77777777" w:rsidR="00B10349" w:rsidRPr="00B10349" w:rsidRDefault="00B10349" w:rsidP="00B10349">
      <w:pPr>
        <w:rPr>
          <w:lang w:val="en-US"/>
        </w:rPr>
      </w:pPr>
      <w:r w:rsidRPr="00B10349">
        <w:rPr>
          <w:lang w:val="en-US"/>
        </w:rPr>
        <w:t xml:space="preserve">     or "platelet inhibition").</w:t>
      </w:r>
      <w:proofErr w:type="spellStart"/>
      <w:r w:rsidRPr="00B10349">
        <w:rPr>
          <w:lang w:val="en-US"/>
        </w:rPr>
        <w:t>ti,ab</w:t>
      </w:r>
      <w:proofErr w:type="spellEnd"/>
      <w:r w:rsidRPr="00B10349">
        <w:rPr>
          <w:lang w:val="en-US"/>
        </w:rPr>
        <w:t>.</w:t>
      </w:r>
    </w:p>
    <w:p w14:paraId="0953798C" w14:textId="77777777" w:rsidR="00B10349" w:rsidRPr="00B10349" w:rsidRDefault="00B10349" w:rsidP="00B10349">
      <w:pPr>
        <w:rPr>
          <w:lang w:val="en-US"/>
        </w:rPr>
      </w:pPr>
      <w:r w:rsidRPr="00B10349">
        <w:rPr>
          <w:lang w:val="en-US"/>
        </w:rPr>
        <w:t>9.  6 or 7 or 8                              # ANTIPLATELET</w:t>
      </w:r>
    </w:p>
    <w:p w14:paraId="626AA834" w14:textId="77777777" w:rsidR="00B10349" w:rsidRPr="00B10349" w:rsidRDefault="00B10349" w:rsidP="00B10349">
      <w:pPr>
        <w:rPr>
          <w:lang w:val="en-US"/>
        </w:rPr>
      </w:pPr>
    </w:p>
    <w:p w14:paraId="30C3C382" w14:textId="77777777" w:rsidR="00B10349" w:rsidRPr="00B10349" w:rsidRDefault="00B10349" w:rsidP="00B10349">
      <w:pPr>
        <w:rPr>
          <w:lang w:val="en-US"/>
        </w:rPr>
      </w:pPr>
      <w:r w:rsidRPr="00B10349">
        <w:rPr>
          <w:lang w:val="en-US"/>
        </w:rPr>
        <w:t>10. exp Anticoagulants/</w:t>
      </w:r>
    </w:p>
    <w:p w14:paraId="61302C4A" w14:textId="77777777" w:rsidR="00B10349" w:rsidRPr="00B10349" w:rsidRDefault="00B10349" w:rsidP="00B10349">
      <w:pPr>
        <w:rPr>
          <w:lang w:val="en-US"/>
        </w:rPr>
      </w:pPr>
      <w:r w:rsidRPr="00B10349">
        <w:rPr>
          <w:lang w:val="en-US"/>
        </w:rPr>
        <w:t>11. Heparin/</w:t>
      </w:r>
    </w:p>
    <w:p w14:paraId="101FF977" w14:textId="77777777" w:rsidR="00B10349" w:rsidRPr="00B10349" w:rsidRDefault="00B10349" w:rsidP="00B10349">
      <w:pPr>
        <w:rPr>
          <w:lang w:val="en-US"/>
        </w:rPr>
      </w:pPr>
      <w:r w:rsidRPr="00B10349">
        <w:rPr>
          <w:lang w:val="en-US"/>
        </w:rPr>
        <w:t>12. (heparin or "unfractionated heparin" or LMWH or "low-molecular-weight heparin"</w:t>
      </w:r>
    </w:p>
    <w:p w14:paraId="35B1F0E5" w14:textId="77777777" w:rsidR="00B10349" w:rsidRPr="00B10349" w:rsidRDefault="00B10349" w:rsidP="00B10349">
      <w:pPr>
        <w:rPr>
          <w:lang w:val="en-US"/>
        </w:rPr>
      </w:pPr>
      <w:r w:rsidRPr="00B10349">
        <w:rPr>
          <w:lang w:val="en-US"/>
        </w:rPr>
        <w:t xml:space="preserve">     or enoxaparin).</w:t>
      </w:r>
      <w:proofErr w:type="spellStart"/>
      <w:r w:rsidRPr="00B10349">
        <w:rPr>
          <w:lang w:val="en-US"/>
        </w:rPr>
        <w:t>ti,ab</w:t>
      </w:r>
      <w:proofErr w:type="spellEnd"/>
      <w:r w:rsidRPr="00B10349">
        <w:rPr>
          <w:lang w:val="en-US"/>
        </w:rPr>
        <w:t>.</w:t>
      </w:r>
    </w:p>
    <w:p w14:paraId="0673508B" w14:textId="77777777" w:rsidR="00B10349" w:rsidRPr="00B10349" w:rsidRDefault="00B10349" w:rsidP="00B10349">
      <w:pPr>
        <w:rPr>
          <w:lang w:val="en-US"/>
        </w:rPr>
      </w:pPr>
      <w:r w:rsidRPr="00B10349">
        <w:rPr>
          <w:lang w:val="en-US"/>
        </w:rPr>
        <w:t>13. 10 or 11 or 12                           # ANTICOAGULANT</w:t>
      </w:r>
    </w:p>
    <w:p w14:paraId="40F670E1" w14:textId="77777777" w:rsidR="00A05EEF" w:rsidRDefault="00A05EEF" w:rsidP="00A05EEF">
      <w:pPr>
        <w:rPr>
          <w:lang w:val="en-US"/>
        </w:rPr>
      </w:pPr>
    </w:p>
    <w:p w14:paraId="1F311198" w14:textId="77777777" w:rsidR="00A05EEF" w:rsidRPr="00526496" w:rsidRDefault="00A05EEF" w:rsidP="00A05EEF">
      <w:pPr>
        <w:rPr>
          <w:b/>
          <w:bCs/>
          <w:lang w:val="en-US"/>
        </w:rPr>
      </w:pPr>
      <w:r w:rsidRPr="00526496">
        <w:rPr>
          <w:b/>
          <w:bCs/>
          <w:lang w:val="en-US"/>
        </w:rPr>
        <w:t xml:space="preserve">Cochrane CENTRAL </w:t>
      </w:r>
    </w:p>
    <w:p w14:paraId="0EF4645B" w14:textId="1D3F446F" w:rsidR="00A05EEF" w:rsidRPr="00A05EEF" w:rsidRDefault="00A05EEF" w:rsidP="00A05EEF">
      <w:pPr>
        <w:rPr>
          <w:lang w:val="en-US"/>
        </w:rPr>
      </w:pPr>
      <w:r w:rsidRPr="00A05EEF">
        <w:rPr>
          <w:lang w:val="en-US"/>
        </w:rPr>
        <w:t># (MeSH)</w:t>
      </w:r>
    </w:p>
    <w:p w14:paraId="50BA9D7F" w14:textId="77777777" w:rsidR="00A05EEF" w:rsidRPr="00A05EEF" w:rsidRDefault="00A05EEF" w:rsidP="00A05EEF">
      <w:pPr>
        <w:rPr>
          <w:lang w:val="en-US"/>
        </w:rPr>
      </w:pPr>
      <w:r w:rsidRPr="00A05EEF">
        <w:rPr>
          <w:lang w:val="en-US"/>
        </w:rPr>
        <w:t>[1] MeSH descriptor: [Subarachnoid Hemorrhage] explode all trees</w:t>
      </w:r>
    </w:p>
    <w:p w14:paraId="2238F1F2" w14:textId="77777777" w:rsidR="00A05EEF" w:rsidRPr="00A05EEF" w:rsidRDefault="00A05EEF" w:rsidP="00A05EEF">
      <w:pPr>
        <w:rPr>
          <w:lang w:val="en-US"/>
        </w:rPr>
      </w:pPr>
      <w:r w:rsidRPr="00A05EEF">
        <w:rPr>
          <w:lang w:val="en-US"/>
        </w:rPr>
        <w:t>[2] MeSH descriptor: [Intracranial Aneurysm] explode all trees</w:t>
      </w:r>
    </w:p>
    <w:p w14:paraId="7DA69E76" w14:textId="77777777" w:rsidR="00A05EEF" w:rsidRPr="00A05EEF" w:rsidRDefault="00A05EEF" w:rsidP="00A05EEF">
      <w:pPr>
        <w:rPr>
          <w:lang w:val="en-US"/>
        </w:rPr>
      </w:pPr>
      <w:r w:rsidRPr="00A05EEF">
        <w:rPr>
          <w:lang w:val="en-US"/>
        </w:rPr>
        <w:t># (Text)</w:t>
      </w:r>
    </w:p>
    <w:p w14:paraId="7C1A14FE" w14:textId="77777777" w:rsidR="00A05EEF" w:rsidRPr="00A05EEF" w:rsidRDefault="00A05EEF" w:rsidP="00A05EEF">
      <w:pPr>
        <w:rPr>
          <w:lang w:val="en-US"/>
        </w:rPr>
      </w:pPr>
      <w:r w:rsidRPr="00A05EEF">
        <w:rPr>
          <w:lang w:val="en-US"/>
        </w:rPr>
        <w:t xml:space="preserve">[3] (subarachnoid NEXT </w:t>
      </w:r>
      <w:proofErr w:type="spellStart"/>
      <w:r w:rsidRPr="00A05EEF">
        <w:rPr>
          <w:lang w:val="en-US"/>
        </w:rPr>
        <w:t>hemorrhag</w:t>
      </w:r>
      <w:proofErr w:type="spellEnd"/>
      <w:r w:rsidRPr="00A05EEF">
        <w:rPr>
          <w:lang w:val="en-US"/>
        </w:rPr>
        <w:t>*):</w:t>
      </w:r>
      <w:proofErr w:type="spellStart"/>
      <w:r w:rsidRPr="00A05EEF">
        <w:rPr>
          <w:lang w:val="en-US"/>
        </w:rPr>
        <w:t>ti,ab,kw</w:t>
      </w:r>
      <w:proofErr w:type="spellEnd"/>
      <w:r w:rsidRPr="00A05EEF">
        <w:rPr>
          <w:lang w:val="en-US"/>
        </w:rPr>
        <w:t xml:space="preserve"> OR (subarachnoid NEXT </w:t>
      </w:r>
      <w:proofErr w:type="spellStart"/>
      <w:r w:rsidRPr="00A05EEF">
        <w:rPr>
          <w:lang w:val="en-US"/>
        </w:rPr>
        <w:t>haemorrhag</w:t>
      </w:r>
      <w:proofErr w:type="spellEnd"/>
      <w:r w:rsidRPr="00A05EEF">
        <w:rPr>
          <w:lang w:val="en-US"/>
        </w:rPr>
        <w:t>*):</w:t>
      </w:r>
      <w:proofErr w:type="spellStart"/>
      <w:r w:rsidRPr="00A05EEF">
        <w:rPr>
          <w:lang w:val="en-US"/>
        </w:rPr>
        <w:t>ti,ab,kw</w:t>
      </w:r>
      <w:proofErr w:type="spellEnd"/>
    </w:p>
    <w:p w14:paraId="0FA4457E" w14:textId="77777777" w:rsidR="00A05EEF" w:rsidRPr="00A05EEF" w:rsidRDefault="00A05EEF" w:rsidP="00A05EEF">
      <w:pPr>
        <w:rPr>
          <w:lang w:val="en-US"/>
        </w:rPr>
      </w:pPr>
      <w:r w:rsidRPr="00A05EEF">
        <w:rPr>
          <w:lang w:val="en-US"/>
        </w:rPr>
        <w:t xml:space="preserve">[4] </w:t>
      </w:r>
      <w:proofErr w:type="spellStart"/>
      <w:r w:rsidRPr="00A05EEF">
        <w:rPr>
          <w:lang w:val="en-US"/>
        </w:rPr>
        <w:t>SAH:ti,ab,kw</w:t>
      </w:r>
      <w:proofErr w:type="spellEnd"/>
    </w:p>
    <w:p w14:paraId="2C0AB7EF" w14:textId="77777777" w:rsidR="00A05EEF" w:rsidRPr="00A05EEF" w:rsidRDefault="00A05EEF" w:rsidP="00A05EEF">
      <w:pPr>
        <w:rPr>
          <w:lang w:val="en-US"/>
        </w:rPr>
      </w:pPr>
      <w:r w:rsidRPr="00A05EEF">
        <w:rPr>
          <w:lang w:val="en-US"/>
        </w:rPr>
        <w:lastRenderedPageBreak/>
        <w:t xml:space="preserve">[5] (aneurysmal NEXT subarachnoid NEXT </w:t>
      </w:r>
      <w:proofErr w:type="spellStart"/>
      <w:r w:rsidRPr="00A05EEF">
        <w:rPr>
          <w:lang w:val="en-US"/>
        </w:rPr>
        <w:t>hemorrhag</w:t>
      </w:r>
      <w:proofErr w:type="spellEnd"/>
      <w:r w:rsidRPr="00A05EEF">
        <w:rPr>
          <w:lang w:val="en-US"/>
        </w:rPr>
        <w:t>*):</w:t>
      </w:r>
      <w:proofErr w:type="spellStart"/>
      <w:r w:rsidRPr="00A05EEF">
        <w:rPr>
          <w:lang w:val="en-US"/>
        </w:rPr>
        <w:t>ti,ab,kw</w:t>
      </w:r>
      <w:proofErr w:type="spellEnd"/>
    </w:p>
    <w:p w14:paraId="323F1867" w14:textId="77777777" w:rsidR="00A05EEF" w:rsidRPr="00A05EEF" w:rsidRDefault="00A05EEF" w:rsidP="00A05EEF">
      <w:pPr>
        <w:rPr>
          <w:lang w:val="en-US"/>
        </w:rPr>
      </w:pPr>
      <w:r w:rsidRPr="00A05EEF">
        <w:rPr>
          <w:lang w:val="en-US"/>
        </w:rPr>
        <w:t xml:space="preserve">[6] (aneurysmal NEXT subarachnoid NEXT </w:t>
      </w:r>
      <w:proofErr w:type="spellStart"/>
      <w:r w:rsidRPr="00A05EEF">
        <w:rPr>
          <w:lang w:val="en-US"/>
        </w:rPr>
        <w:t>haemorrhag</w:t>
      </w:r>
      <w:proofErr w:type="spellEnd"/>
      <w:r w:rsidRPr="00A05EEF">
        <w:rPr>
          <w:lang w:val="en-US"/>
        </w:rPr>
        <w:t>*):</w:t>
      </w:r>
      <w:proofErr w:type="spellStart"/>
      <w:r w:rsidRPr="00A05EEF">
        <w:rPr>
          <w:lang w:val="en-US"/>
        </w:rPr>
        <w:t>ti,ab,kw</w:t>
      </w:r>
      <w:proofErr w:type="spellEnd"/>
    </w:p>
    <w:p w14:paraId="3997F352" w14:textId="77777777" w:rsidR="00A05EEF" w:rsidRPr="00A05EEF" w:rsidRDefault="00A05EEF" w:rsidP="00A05EEF">
      <w:pPr>
        <w:rPr>
          <w:lang w:val="de-DE"/>
        </w:rPr>
      </w:pPr>
      <w:r w:rsidRPr="00A05EEF">
        <w:rPr>
          <w:lang w:val="de-DE"/>
        </w:rPr>
        <w:t>[7] (</w:t>
      </w:r>
      <w:proofErr w:type="spellStart"/>
      <w:r w:rsidRPr="00A05EEF">
        <w:rPr>
          <w:lang w:val="de-DE"/>
        </w:rPr>
        <w:t>ruptur</w:t>
      </w:r>
      <w:proofErr w:type="spellEnd"/>
      <w:r w:rsidRPr="00A05EEF">
        <w:rPr>
          <w:lang w:val="de-DE"/>
        </w:rPr>
        <w:t xml:space="preserve">* NEAR/3 </w:t>
      </w:r>
      <w:proofErr w:type="spellStart"/>
      <w:r w:rsidRPr="00A05EEF">
        <w:rPr>
          <w:lang w:val="de-DE"/>
        </w:rPr>
        <w:t>aneurysm</w:t>
      </w:r>
      <w:proofErr w:type="spellEnd"/>
      <w:r w:rsidRPr="00A05EEF">
        <w:rPr>
          <w:lang w:val="de-DE"/>
        </w:rPr>
        <w:t>*):</w:t>
      </w:r>
      <w:proofErr w:type="spellStart"/>
      <w:r w:rsidRPr="00A05EEF">
        <w:rPr>
          <w:lang w:val="de-DE"/>
        </w:rPr>
        <w:t>ti,ab,kw</w:t>
      </w:r>
      <w:proofErr w:type="spellEnd"/>
    </w:p>
    <w:p w14:paraId="155E6AB5" w14:textId="77777777" w:rsidR="00A05EEF" w:rsidRPr="00A05EEF" w:rsidRDefault="00A05EEF" w:rsidP="00A05EEF">
      <w:pPr>
        <w:rPr>
          <w:lang w:val="en-US"/>
        </w:rPr>
      </w:pPr>
      <w:r w:rsidRPr="00A05EEF">
        <w:rPr>
          <w:lang w:val="en-US"/>
        </w:rPr>
        <w:t>[8] (</w:t>
      </w:r>
      <w:proofErr w:type="spellStart"/>
      <w:r w:rsidRPr="00A05EEF">
        <w:rPr>
          <w:lang w:val="en-US"/>
        </w:rPr>
        <w:t>ruptur</w:t>
      </w:r>
      <w:proofErr w:type="spellEnd"/>
      <w:r w:rsidRPr="00A05EEF">
        <w:rPr>
          <w:lang w:val="en-US"/>
        </w:rPr>
        <w:t>* NEAR/3 (intracranial NEAR/3 aneurysm*)):</w:t>
      </w:r>
      <w:proofErr w:type="spellStart"/>
      <w:r w:rsidRPr="00A05EEF">
        <w:rPr>
          <w:lang w:val="en-US"/>
        </w:rPr>
        <w:t>ti,ab,kw</w:t>
      </w:r>
      <w:proofErr w:type="spellEnd"/>
    </w:p>
    <w:p w14:paraId="62305407" w14:textId="77777777" w:rsidR="00A05EEF" w:rsidRPr="00A05EEF" w:rsidRDefault="00A05EEF" w:rsidP="00A05EEF">
      <w:pPr>
        <w:rPr>
          <w:lang w:val="en-US"/>
        </w:rPr>
      </w:pPr>
      <w:r w:rsidRPr="00A05EEF">
        <w:rPr>
          <w:lang w:val="en-US"/>
        </w:rPr>
        <w:t>[9] #1 OR #2 OR #3 OR #4 OR #5 OR #6 OR #7 OR #8</w:t>
      </w:r>
    </w:p>
    <w:p w14:paraId="73148C2C" w14:textId="77777777" w:rsidR="00A05EEF" w:rsidRPr="00A05EEF" w:rsidRDefault="00A05EEF" w:rsidP="00A05EEF">
      <w:pPr>
        <w:rPr>
          <w:lang w:val="en-US"/>
        </w:rPr>
      </w:pPr>
    </w:p>
    <w:p w14:paraId="765268F2" w14:textId="77777777" w:rsidR="00A05EEF" w:rsidRPr="00A05EEF" w:rsidRDefault="00A05EEF" w:rsidP="00A05EEF">
      <w:pPr>
        <w:rPr>
          <w:lang w:val="en-US"/>
        </w:rPr>
      </w:pPr>
      <w:r w:rsidRPr="00A05EEF">
        <w:rPr>
          <w:lang w:val="en-US"/>
        </w:rPr>
        <w:t># ANTIPLATELET</w:t>
      </w:r>
    </w:p>
    <w:p w14:paraId="5290FA95" w14:textId="77777777" w:rsidR="00A05EEF" w:rsidRPr="00A05EEF" w:rsidRDefault="00A05EEF" w:rsidP="00A05EEF">
      <w:pPr>
        <w:rPr>
          <w:lang w:val="en-US"/>
        </w:rPr>
      </w:pPr>
      <w:r w:rsidRPr="00A05EEF">
        <w:rPr>
          <w:lang w:val="en-US"/>
        </w:rPr>
        <w:t>[10] MeSH descriptor: [Platelet Aggregation Inhibitors] explode all trees</w:t>
      </w:r>
    </w:p>
    <w:p w14:paraId="1EEA0AE9" w14:textId="77777777" w:rsidR="00A05EEF" w:rsidRPr="00A05EEF" w:rsidRDefault="00A05EEF" w:rsidP="00A05EEF">
      <w:pPr>
        <w:rPr>
          <w:lang w:val="en-US"/>
        </w:rPr>
      </w:pPr>
      <w:r w:rsidRPr="00A05EEF">
        <w:rPr>
          <w:lang w:val="en-US"/>
        </w:rPr>
        <w:t>[11] MeSH descriptor: [Aspirin] explode all trees</w:t>
      </w:r>
    </w:p>
    <w:p w14:paraId="13B14BE3" w14:textId="77777777" w:rsidR="00A05EEF" w:rsidRPr="00A05EEF" w:rsidRDefault="00A05EEF" w:rsidP="00A05EEF">
      <w:pPr>
        <w:rPr>
          <w:lang w:val="en-US"/>
        </w:rPr>
      </w:pPr>
      <w:r w:rsidRPr="00A05EEF">
        <w:rPr>
          <w:lang w:val="en-US"/>
        </w:rPr>
        <w:t>[12] MeSH descriptor: [Clopidogrel] explode all trees</w:t>
      </w:r>
    </w:p>
    <w:p w14:paraId="13B902A2" w14:textId="77777777" w:rsidR="00A05EEF" w:rsidRPr="00A05EEF" w:rsidRDefault="00A05EEF" w:rsidP="00A05EEF">
      <w:pPr>
        <w:rPr>
          <w:lang w:val="en-US"/>
        </w:rPr>
      </w:pPr>
      <w:r w:rsidRPr="00A05EEF">
        <w:rPr>
          <w:lang w:val="en-US"/>
        </w:rPr>
        <w:t xml:space="preserve">[13] </w:t>
      </w:r>
      <w:proofErr w:type="spellStart"/>
      <w:r w:rsidRPr="00A05EEF">
        <w:rPr>
          <w:lang w:val="en-US"/>
        </w:rPr>
        <w:t>aspirin:ti,ab,kw</w:t>
      </w:r>
      <w:proofErr w:type="spellEnd"/>
      <w:r w:rsidRPr="00A05EEF">
        <w:rPr>
          <w:lang w:val="en-US"/>
        </w:rPr>
        <w:t xml:space="preserve"> OR </w:t>
      </w:r>
      <w:proofErr w:type="spellStart"/>
      <w:r w:rsidRPr="00A05EEF">
        <w:rPr>
          <w:lang w:val="en-US"/>
        </w:rPr>
        <w:t>acetylsalicylic:ti,ab,kw</w:t>
      </w:r>
      <w:proofErr w:type="spellEnd"/>
      <w:r w:rsidRPr="00A05EEF">
        <w:rPr>
          <w:lang w:val="en-US"/>
        </w:rPr>
        <w:t xml:space="preserve"> OR </w:t>
      </w:r>
      <w:proofErr w:type="spellStart"/>
      <w:r w:rsidRPr="00A05EEF">
        <w:rPr>
          <w:lang w:val="en-US"/>
        </w:rPr>
        <w:t>ASA:ti,ab,kw</w:t>
      </w:r>
      <w:proofErr w:type="spellEnd"/>
      <w:r w:rsidRPr="00A05EEF">
        <w:rPr>
          <w:lang w:val="en-US"/>
        </w:rPr>
        <w:t xml:space="preserve"> OR </w:t>
      </w:r>
      <w:proofErr w:type="spellStart"/>
      <w:r w:rsidRPr="00A05EEF">
        <w:rPr>
          <w:lang w:val="en-US"/>
        </w:rPr>
        <w:t>clopidogrel:ti,ab,kw</w:t>
      </w:r>
      <w:proofErr w:type="spellEnd"/>
    </w:p>
    <w:p w14:paraId="3BA6B90C" w14:textId="77777777" w:rsidR="00A05EEF" w:rsidRPr="00A05EEF" w:rsidRDefault="00A05EEF" w:rsidP="00A05EEF">
      <w:pPr>
        <w:rPr>
          <w:lang w:val="en-US"/>
        </w:rPr>
      </w:pPr>
      <w:r w:rsidRPr="00A05EEF">
        <w:rPr>
          <w:lang w:val="en-US"/>
        </w:rPr>
        <w:t>[14] "dual antiplatelet":</w:t>
      </w:r>
      <w:proofErr w:type="spellStart"/>
      <w:r w:rsidRPr="00A05EEF">
        <w:rPr>
          <w:lang w:val="en-US"/>
        </w:rPr>
        <w:t>ti,ab,kw</w:t>
      </w:r>
      <w:proofErr w:type="spellEnd"/>
      <w:r w:rsidRPr="00A05EEF">
        <w:rPr>
          <w:lang w:val="en-US"/>
        </w:rPr>
        <w:t xml:space="preserve"> OR </w:t>
      </w:r>
      <w:proofErr w:type="spellStart"/>
      <w:r w:rsidRPr="00A05EEF">
        <w:rPr>
          <w:lang w:val="en-US"/>
        </w:rPr>
        <w:t>DAPT:ti,ab,kw</w:t>
      </w:r>
      <w:proofErr w:type="spellEnd"/>
      <w:r w:rsidRPr="00A05EEF">
        <w:rPr>
          <w:lang w:val="en-US"/>
        </w:rPr>
        <w:t xml:space="preserve"> OR "platelet inhibition":</w:t>
      </w:r>
      <w:proofErr w:type="spellStart"/>
      <w:r w:rsidRPr="00A05EEF">
        <w:rPr>
          <w:lang w:val="en-US"/>
        </w:rPr>
        <w:t>ti,ab,kw</w:t>
      </w:r>
      <w:proofErr w:type="spellEnd"/>
    </w:p>
    <w:p w14:paraId="0615E40B" w14:textId="77777777" w:rsidR="00A05EEF" w:rsidRPr="00A05EEF" w:rsidRDefault="00A05EEF" w:rsidP="00A05EEF">
      <w:pPr>
        <w:rPr>
          <w:lang w:val="en-US"/>
        </w:rPr>
      </w:pPr>
      <w:r w:rsidRPr="00A05EEF">
        <w:rPr>
          <w:lang w:val="en-US"/>
        </w:rPr>
        <w:t>[15] #10 OR #11 OR #12 OR #13 OR #14</w:t>
      </w:r>
    </w:p>
    <w:p w14:paraId="10DA35F1" w14:textId="77777777" w:rsidR="00A05EEF" w:rsidRPr="00A05EEF" w:rsidRDefault="00A05EEF" w:rsidP="00A05EEF">
      <w:pPr>
        <w:rPr>
          <w:lang w:val="en-US"/>
        </w:rPr>
      </w:pPr>
    </w:p>
    <w:p w14:paraId="1E541E04" w14:textId="77777777" w:rsidR="00A05EEF" w:rsidRPr="00A05EEF" w:rsidRDefault="00A05EEF" w:rsidP="00A05EEF">
      <w:pPr>
        <w:rPr>
          <w:lang w:val="en-US"/>
        </w:rPr>
      </w:pPr>
      <w:r w:rsidRPr="00A05EEF">
        <w:rPr>
          <w:lang w:val="en-US"/>
        </w:rPr>
        <w:t># ANTICOAGULANT</w:t>
      </w:r>
    </w:p>
    <w:p w14:paraId="1C105386" w14:textId="77777777" w:rsidR="00A05EEF" w:rsidRPr="00A05EEF" w:rsidRDefault="00A05EEF" w:rsidP="00A05EEF">
      <w:pPr>
        <w:rPr>
          <w:lang w:val="en-US"/>
        </w:rPr>
      </w:pPr>
      <w:r w:rsidRPr="00A05EEF">
        <w:rPr>
          <w:lang w:val="en-US"/>
        </w:rPr>
        <w:t>[16] MeSH descriptor: [Anticoagulants] explode all trees</w:t>
      </w:r>
    </w:p>
    <w:p w14:paraId="39610DE0" w14:textId="77777777" w:rsidR="00A05EEF" w:rsidRPr="00A05EEF" w:rsidRDefault="00A05EEF" w:rsidP="00A05EEF">
      <w:pPr>
        <w:rPr>
          <w:lang w:val="en-US"/>
        </w:rPr>
      </w:pPr>
      <w:r w:rsidRPr="00A05EEF">
        <w:rPr>
          <w:lang w:val="en-US"/>
        </w:rPr>
        <w:t>[17] MeSH descriptor: [Heparin] explode all trees</w:t>
      </w:r>
    </w:p>
    <w:p w14:paraId="5B5E2E2E" w14:textId="77777777" w:rsidR="00A05EEF" w:rsidRPr="00A05EEF" w:rsidRDefault="00A05EEF" w:rsidP="00A05EEF">
      <w:pPr>
        <w:rPr>
          <w:lang w:val="en-US"/>
        </w:rPr>
      </w:pPr>
      <w:r w:rsidRPr="00A05EEF">
        <w:rPr>
          <w:lang w:val="en-US"/>
        </w:rPr>
        <w:t xml:space="preserve">[18] </w:t>
      </w:r>
      <w:proofErr w:type="spellStart"/>
      <w:r w:rsidRPr="00A05EEF">
        <w:rPr>
          <w:lang w:val="en-US"/>
        </w:rPr>
        <w:t>heparin:ti,ab,kw</w:t>
      </w:r>
      <w:proofErr w:type="spellEnd"/>
      <w:r w:rsidRPr="00A05EEF">
        <w:rPr>
          <w:lang w:val="en-US"/>
        </w:rPr>
        <w:t xml:space="preserve"> OR "unfractionated heparin":</w:t>
      </w:r>
      <w:proofErr w:type="spellStart"/>
      <w:r w:rsidRPr="00A05EEF">
        <w:rPr>
          <w:lang w:val="en-US"/>
        </w:rPr>
        <w:t>ti,ab,kw</w:t>
      </w:r>
      <w:proofErr w:type="spellEnd"/>
      <w:r w:rsidRPr="00A05EEF">
        <w:rPr>
          <w:lang w:val="en-US"/>
        </w:rPr>
        <w:t xml:space="preserve"> OR </w:t>
      </w:r>
      <w:proofErr w:type="spellStart"/>
      <w:r w:rsidRPr="00A05EEF">
        <w:rPr>
          <w:lang w:val="en-US"/>
        </w:rPr>
        <w:t>LMWH:ti,ab,kw</w:t>
      </w:r>
      <w:proofErr w:type="spellEnd"/>
    </w:p>
    <w:p w14:paraId="471E7274" w14:textId="77777777" w:rsidR="00A05EEF" w:rsidRPr="00A05EEF" w:rsidRDefault="00A05EEF" w:rsidP="00A05EEF">
      <w:pPr>
        <w:rPr>
          <w:lang w:val="en-US"/>
        </w:rPr>
      </w:pPr>
      <w:r w:rsidRPr="00A05EEF">
        <w:rPr>
          <w:lang w:val="en-US"/>
        </w:rPr>
        <w:t xml:space="preserve">     OR "low-molecular-weight heparin":</w:t>
      </w:r>
      <w:proofErr w:type="spellStart"/>
      <w:r w:rsidRPr="00A05EEF">
        <w:rPr>
          <w:lang w:val="en-US"/>
        </w:rPr>
        <w:t>ti,ab,kw</w:t>
      </w:r>
      <w:proofErr w:type="spellEnd"/>
      <w:r w:rsidRPr="00A05EEF">
        <w:rPr>
          <w:lang w:val="en-US"/>
        </w:rPr>
        <w:t xml:space="preserve"> OR </w:t>
      </w:r>
      <w:proofErr w:type="spellStart"/>
      <w:r w:rsidRPr="00A05EEF">
        <w:rPr>
          <w:lang w:val="en-US"/>
        </w:rPr>
        <w:t>enoxaparin:ti,ab,kw</w:t>
      </w:r>
      <w:proofErr w:type="spellEnd"/>
    </w:p>
    <w:p w14:paraId="76199A83" w14:textId="77777777" w:rsidR="00A05EEF" w:rsidRPr="00A05EEF" w:rsidRDefault="00A05EEF" w:rsidP="00A05EEF">
      <w:pPr>
        <w:rPr>
          <w:lang w:val="en-US"/>
        </w:rPr>
      </w:pPr>
      <w:r w:rsidRPr="00A05EEF">
        <w:rPr>
          <w:lang w:val="en-US"/>
        </w:rPr>
        <w:t>[19] #16 OR #17 OR #18</w:t>
      </w:r>
    </w:p>
    <w:p w14:paraId="4F4993A4" w14:textId="77777777" w:rsidR="00A05EEF" w:rsidRPr="00A05EEF" w:rsidRDefault="00A05EEF" w:rsidP="00A05EEF">
      <w:pPr>
        <w:rPr>
          <w:lang w:val="en-US"/>
        </w:rPr>
      </w:pPr>
    </w:p>
    <w:p w14:paraId="54B1E4C0" w14:textId="77777777" w:rsidR="00A05EEF" w:rsidRPr="00A05EEF" w:rsidRDefault="00A05EEF" w:rsidP="00A05EEF">
      <w:pPr>
        <w:rPr>
          <w:lang w:val="en-US"/>
        </w:rPr>
      </w:pPr>
      <w:r w:rsidRPr="00A05EEF">
        <w:rPr>
          <w:lang w:val="en-US"/>
        </w:rPr>
        <w:lastRenderedPageBreak/>
        <w:t># DATASETS</w:t>
      </w:r>
    </w:p>
    <w:p w14:paraId="47A1825A" w14:textId="77777777" w:rsidR="00A05EEF" w:rsidRPr="00A05EEF" w:rsidRDefault="00A05EEF" w:rsidP="00A05EEF">
      <w:pPr>
        <w:rPr>
          <w:lang w:val="en-US"/>
        </w:rPr>
      </w:pPr>
      <w:r w:rsidRPr="00A05EEF">
        <w:rPr>
          <w:lang w:val="en-US"/>
        </w:rPr>
        <w:t>[20] #9 AND #15                # DATASET A (Antiplatelet)</w:t>
      </w:r>
    </w:p>
    <w:p w14:paraId="1A12800E" w14:textId="77777777" w:rsidR="00A05EEF" w:rsidRPr="00A05EEF" w:rsidRDefault="00A05EEF" w:rsidP="00A05EEF">
      <w:pPr>
        <w:rPr>
          <w:lang w:val="en-US"/>
        </w:rPr>
      </w:pPr>
      <w:r w:rsidRPr="00A05EEF">
        <w:rPr>
          <w:lang w:val="en-US"/>
        </w:rPr>
        <w:t>[21] #9 AND #19                # DATASET B (Anticoagulant)</w:t>
      </w:r>
    </w:p>
    <w:p w14:paraId="52C745E4" w14:textId="77777777" w:rsidR="00A05EEF" w:rsidRPr="00A05EEF" w:rsidRDefault="00A05EEF" w:rsidP="00A05EEF">
      <w:pPr>
        <w:rPr>
          <w:lang w:val="en-US"/>
        </w:rPr>
      </w:pPr>
      <w:r w:rsidRPr="00A05EEF">
        <w:rPr>
          <w:lang w:val="en-US"/>
        </w:rPr>
        <w:t>[22] #9 AND #15 AND #19        # DATASET C (Combination/overlap)</w:t>
      </w:r>
    </w:p>
    <w:p w14:paraId="41D12D7F" w14:textId="77777777" w:rsidR="00A05EEF" w:rsidRPr="00A05EEF" w:rsidRDefault="00A05EEF" w:rsidP="00A05EEF">
      <w:pPr>
        <w:rPr>
          <w:lang w:val="en-US"/>
        </w:rPr>
      </w:pPr>
    </w:p>
    <w:p w14:paraId="10CB29AC" w14:textId="77777777" w:rsidR="00A05EEF" w:rsidRPr="00A05EEF" w:rsidRDefault="00A05EEF" w:rsidP="00A05EEF">
      <w:pPr>
        <w:rPr>
          <w:lang w:val="en-US"/>
        </w:rPr>
      </w:pPr>
      <w:r w:rsidRPr="00A05EEF">
        <w:rPr>
          <w:lang w:val="en-US"/>
        </w:rPr>
        <w:t># DATE WINDOW</w:t>
      </w:r>
    </w:p>
    <w:p w14:paraId="5D0A585D" w14:textId="77777777" w:rsidR="00A05EEF" w:rsidRPr="00A05EEF" w:rsidRDefault="00A05EEF" w:rsidP="00A05EEF">
      <w:pPr>
        <w:rPr>
          <w:lang w:val="en-US"/>
        </w:rPr>
      </w:pPr>
      <w:r w:rsidRPr="00A05EEF">
        <w:rPr>
          <w:lang w:val="en-US"/>
        </w:rPr>
        <w:t># In CENTRAL UI, filter Publication Year up to 2025 and set update through Aug 2025 if available.</w:t>
      </w:r>
    </w:p>
    <w:p w14:paraId="70ECE06B" w14:textId="77777777" w:rsidR="00A05EEF" w:rsidRPr="00A05EEF" w:rsidRDefault="00A05EEF" w:rsidP="00A05EEF">
      <w:pPr>
        <w:rPr>
          <w:lang w:val="en-US"/>
        </w:rPr>
      </w:pPr>
      <w:r w:rsidRPr="00A05EEF">
        <w:rPr>
          <w:lang w:val="en-US"/>
        </w:rPr>
        <w:t># OPTIONAL FILTERS (apply via sidebar):</w:t>
      </w:r>
    </w:p>
    <w:p w14:paraId="4A6A53A5" w14:textId="77777777" w:rsidR="00A05EEF" w:rsidRPr="00A05EEF" w:rsidRDefault="00A05EEF" w:rsidP="00A05EEF">
      <w:pPr>
        <w:rPr>
          <w:lang w:val="en-US"/>
        </w:rPr>
      </w:pPr>
      <w:r w:rsidRPr="00A05EEF">
        <w:rPr>
          <w:lang w:val="en-US"/>
        </w:rPr>
        <w:t># - Studies: Trials only (default CENTRAL)</w:t>
      </w:r>
    </w:p>
    <w:p w14:paraId="6C17B4A2" w14:textId="77777777" w:rsidR="00A05EEF" w:rsidRPr="00A05EEF" w:rsidRDefault="00A05EEF" w:rsidP="00A05EEF">
      <w:pPr>
        <w:rPr>
          <w:lang w:val="en-US"/>
        </w:rPr>
      </w:pPr>
      <w:r w:rsidRPr="00A05EEF">
        <w:rPr>
          <w:lang w:val="en-US"/>
        </w:rPr>
        <w:t># - Remove records flagged as "animal" and/or "case report" if visible in filters</w:t>
      </w:r>
    </w:p>
    <w:p w14:paraId="5C848482" w14:textId="6479A6EE" w:rsidR="00B10349" w:rsidRPr="00B10349" w:rsidRDefault="00A05EEF" w:rsidP="00A05EEF">
      <w:pPr>
        <w:rPr>
          <w:lang w:val="en-US"/>
        </w:rPr>
      </w:pPr>
      <w:r w:rsidRPr="00A05EEF">
        <w:rPr>
          <w:lang w:val="en-US"/>
        </w:rPr>
        <w:t># - Language filters if desired</w:t>
      </w:r>
    </w:p>
    <w:p w14:paraId="24E4DAB1" w14:textId="5068C326" w:rsidR="00526496" w:rsidRDefault="00526496">
      <w:pPr>
        <w:rPr>
          <w:lang w:val="en-US"/>
        </w:rPr>
      </w:pPr>
      <w:r>
        <w:rPr>
          <w:lang w:val="en-US"/>
        </w:rPr>
        <w:br w:type="page"/>
      </w:r>
    </w:p>
    <w:p w14:paraId="5E1378E5" w14:textId="61A7CE1A" w:rsidR="00BC71C6" w:rsidRDefault="00526496" w:rsidP="00B10349">
      <w:pPr>
        <w:rPr>
          <w:lang w:val="en-US"/>
        </w:rPr>
      </w:pPr>
      <w:r>
        <w:rPr>
          <w:lang w:val="en-US"/>
        </w:rPr>
        <w:lastRenderedPageBreak/>
        <w:t xml:space="preserve">Minors </w:t>
      </w:r>
    </w:p>
    <w:tbl>
      <w:tblPr>
        <w:tblStyle w:val="Tabellagriglia5scura-colore1"/>
        <w:tblW w:w="0" w:type="auto"/>
        <w:tblLook w:val="04A0" w:firstRow="1" w:lastRow="0" w:firstColumn="1" w:lastColumn="0" w:noHBand="0" w:noVBand="1"/>
      </w:tblPr>
      <w:tblGrid>
        <w:gridCol w:w="1073"/>
        <w:gridCol w:w="672"/>
        <w:gridCol w:w="1095"/>
        <w:gridCol w:w="1048"/>
        <w:gridCol w:w="1036"/>
        <w:gridCol w:w="1067"/>
        <w:gridCol w:w="1036"/>
        <w:gridCol w:w="651"/>
        <w:gridCol w:w="1048"/>
        <w:gridCol w:w="889"/>
        <w:gridCol w:w="1228"/>
        <w:gridCol w:w="1071"/>
        <w:gridCol w:w="919"/>
        <w:gridCol w:w="722"/>
        <w:gridCol w:w="722"/>
      </w:tblGrid>
      <w:tr w:rsidR="00526496" w14:paraId="5DA7113D" w14:textId="77777777" w:rsidTr="00F545D7">
        <w:trPr>
          <w:cnfStyle w:val="100000000000" w:firstRow="1" w:lastRow="0" w:firstColumn="0" w:lastColumn="0" w:oddVBand="0" w:evenVBand="0" w:oddHBand="0"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Pr>
          <w:p w14:paraId="4734AECC" w14:textId="77777777" w:rsidR="00526496" w:rsidRDefault="00526496" w:rsidP="00F545D7">
            <w:r>
              <w:t>Articles</w:t>
            </w:r>
          </w:p>
        </w:tc>
        <w:tc>
          <w:tcPr>
            <w:tcW w:w="0" w:type="auto"/>
            <w:gridSpan w:val="12"/>
          </w:tcPr>
          <w:p w14:paraId="4B229489" w14:textId="77777777" w:rsidR="00526496" w:rsidRDefault="00526496" w:rsidP="00F545D7">
            <w:pPr>
              <w:cnfStyle w:val="100000000000" w:firstRow="1" w:lastRow="0" w:firstColumn="0" w:lastColumn="0" w:oddVBand="0" w:evenVBand="0" w:oddHBand="0" w:evenHBand="0" w:firstRowFirstColumn="0" w:firstRowLastColumn="0" w:lastRowFirstColumn="0" w:lastRowLastColumn="0"/>
            </w:pPr>
            <w:r>
              <w:t>Risk of Bias MINORS</w:t>
            </w:r>
          </w:p>
        </w:tc>
        <w:tc>
          <w:tcPr>
            <w:tcW w:w="0" w:type="auto"/>
            <w:gridSpan w:val="2"/>
          </w:tcPr>
          <w:p w14:paraId="08A9301A" w14:textId="77777777" w:rsidR="00526496" w:rsidRDefault="00526496" w:rsidP="00F545D7">
            <w:pPr>
              <w:cnfStyle w:val="100000000000" w:firstRow="1" w:lastRow="0" w:firstColumn="0" w:lastColumn="0" w:oddVBand="0" w:evenVBand="0" w:oddHBand="0" w:evenHBand="0" w:firstRowFirstColumn="0" w:firstRowLastColumn="0" w:lastRowFirstColumn="0" w:lastRowLastColumn="0"/>
            </w:pPr>
          </w:p>
        </w:tc>
      </w:tr>
      <w:tr w:rsidR="00885CFE" w:rsidRPr="00627375" w14:paraId="5F83288F" w14:textId="77777777" w:rsidTr="00526496">
        <w:trPr>
          <w:cnfStyle w:val="000000100000" w:firstRow="0" w:lastRow="0" w:firstColumn="0" w:lastColumn="0" w:oddVBand="0" w:evenVBand="0" w:oddHBand="1" w:evenHBand="0" w:firstRowFirstColumn="0" w:firstRowLastColumn="0" w:lastRowFirstColumn="0" w:lastRowLastColumn="0"/>
          <w:trHeight w:val="541"/>
        </w:trPr>
        <w:tc>
          <w:tcPr>
            <w:cnfStyle w:val="001000000000" w:firstRow="0" w:lastRow="0" w:firstColumn="1" w:lastColumn="0" w:oddVBand="0" w:evenVBand="0" w:oddHBand="0" w:evenHBand="0" w:firstRowFirstColumn="0" w:firstRowLastColumn="0" w:lastRowFirstColumn="0" w:lastRowLastColumn="0"/>
            <w:tcW w:w="0" w:type="auto"/>
          </w:tcPr>
          <w:p w14:paraId="6D4D290C" w14:textId="77777777" w:rsidR="00526496" w:rsidRPr="00627375" w:rsidRDefault="00526496" w:rsidP="00F545D7"/>
        </w:tc>
        <w:tc>
          <w:tcPr>
            <w:tcW w:w="0" w:type="auto"/>
            <w:shd w:val="clear" w:color="auto" w:fill="156082" w:themeFill="accent1"/>
          </w:tcPr>
          <w:p w14:paraId="442CB409" w14:textId="77777777" w:rsidR="00526496" w:rsidRPr="00627375"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A Cleary state aim</w:t>
            </w:r>
          </w:p>
        </w:tc>
        <w:tc>
          <w:tcPr>
            <w:tcW w:w="0" w:type="auto"/>
            <w:shd w:val="clear" w:color="auto" w:fill="156082" w:themeFill="accent1"/>
          </w:tcPr>
          <w:p w14:paraId="02038EB8" w14:textId="77777777" w:rsidR="00526496" w:rsidRPr="00627375"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Consecutive patients</w:t>
            </w:r>
          </w:p>
        </w:tc>
        <w:tc>
          <w:tcPr>
            <w:tcW w:w="0" w:type="auto"/>
            <w:shd w:val="clear" w:color="auto" w:fill="156082" w:themeFill="accent1"/>
          </w:tcPr>
          <w:p w14:paraId="5D86ED54" w14:textId="77777777" w:rsidR="00526496" w:rsidRPr="00627375"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Prospective collection</w:t>
            </w:r>
          </w:p>
        </w:tc>
        <w:tc>
          <w:tcPr>
            <w:tcW w:w="0" w:type="auto"/>
            <w:shd w:val="clear" w:color="auto" w:fill="156082" w:themeFill="accent1"/>
          </w:tcPr>
          <w:p w14:paraId="1C4B8A1C" w14:textId="77777777" w:rsidR="00526496" w:rsidRPr="00627375"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Endpoint appropriate for the aim</w:t>
            </w:r>
          </w:p>
        </w:tc>
        <w:tc>
          <w:tcPr>
            <w:tcW w:w="0" w:type="auto"/>
            <w:shd w:val="clear" w:color="auto" w:fill="156082" w:themeFill="accent1"/>
          </w:tcPr>
          <w:p w14:paraId="18FE0F71"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 xml:space="preserve">Unbiased assessment </w:t>
            </w:r>
          </w:p>
        </w:tc>
        <w:tc>
          <w:tcPr>
            <w:tcW w:w="0" w:type="auto"/>
            <w:shd w:val="clear" w:color="auto" w:fill="156082" w:themeFill="accent1"/>
          </w:tcPr>
          <w:p w14:paraId="65A32F86" w14:textId="77777777" w:rsidR="00526496" w:rsidRPr="00627375"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Follow-up appropriate</w:t>
            </w:r>
          </w:p>
        </w:tc>
        <w:tc>
          <w:tcPr>
            <w:tcW w:w="0" w:type="auto"/>
            <w:shd w:val="clear" w:color="auto" w:fill="156082" w:themeFill="accent1"/>
          </w:tcPr>
          <w:p w14:paraId="406320D7" w14:textId="77777777" w:rsidR="00526496" w:rsidRPr="00627375"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Loss of follow less &lt;5%</w:t>
            </w:r>
          </w:p>
        </w:tc>
        <w:tc>
          <w:tcPr>
            <w:tcW w:w="1073" w:type="dxa"/>
            <w:shd w:val="clear" w:color="auto" w:fill="156082" w:themeFill="accent1"/>
          </w:tcPr>
          <w:p w14:paraId="35EFA6EE"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Prospective calculation of sample size</w:t>
            </w:r>
          </w:p>
        </w:tc>
        <w:tc>
          <w:tcPr>
            <w:tcW w:w="909" w:type="dxa"/>
            <w:shd w:val="clear" w:color="auto" w:fill="156082" w:themeFill="accent1"/>
          </w:tcPr>
          <w:p w14:paraId="45E3D599"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Adequate control group</w:t>
            </w:r>
          </w:p>
        </w:tc>
        <w:tc>
          <w:tcPr>
            <w:tcW w:w="0" w:type="auto"/>
            <w:shd w:val="clear" w:color="auto" w:fill="156082" w:themeFill="accent1"/>
          </w:tcPr>
          <w:p w14:paraId="50861FF4"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Contemporary group</w:t>
            </w:r>
          </w:p>
        </w:tc>
        <w:tc>
          <w:tcPr>
            <w:tcW w:w="0" w:type="auto"/>
            <w:shd w:val="clear" w:color="auto" w:fill="156082" w:themeFill="accent1"/>
          </w:tcPr>
          <w:p w14:paraId="4484B785"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Baseline equivalence of the group</w:t>
            </w:r>
          </w:p>
        </w:tc>
        <w:tc>
          <w:tcPr>
            <w:tcW w:w="0" w:type="auto"/>
            <w:shd w:val="clear" w:color="auto" w:fill="156082" w:themeFill="accent1"/>
          </w:tcPr>
          <w:p w14:paraId="32814807"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 xml:space="preserve">Adequate statistical analysis </w:t>
            </w:r>
          </w:p>
        </w:tc>
        <w:tc>
          <w:tcPr>
            <w:tcW w:w="0" w:type="auto"/>
            <w:shd w:val="clear" w:color="auto" w:fill="156082" w:themeFill="accent1"/>
          </w:tcPr>
          <w:p w14:paraId="24B4FECD"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Overall score</w:t>
            </w:r>
          </w:p>
        </w:tc>
        <w:tc>
          <w:tcPr>
            <w:tcW w:w="0" w:type="auto"/>
            <w:shd w:val="clear" w:color="auto" w:fill="156082" w:themeFill="accent1"/>
          </w:tcPr>
          <w:p w14:paraId="4E9FB22C" w14:textId="77777777" w:rsidR="00526496" w:rsidRDefault="00526496" w:rsidP="00F545D7">
            <w:pPr>
              <w:cnfStyle w:val="000000100000" w:firstRow="0" w:lastRow="0" w:firstColumn="0" w:lastColumn="0" w:oddVBand="0" w:evenVBand="0" w:oddHBand="1" w:evenHBand="0" w:firstRowFirstColumn="0" w:firstRowLastColumn="0" w:lastRowFirstColumn="0" w:lastRowLastColumn="0"/>
              <w:rPr>
                <w:b/>
                <w:bCs/>
                <w:color w:val="FFFFFF" w:themeColor="background1"/>
              </w:rPr>
            </w:pPr>
            <w:r>
              <w:rPr>
                <w:b/>
                <w:bCs/>
                <w:color w:val="FFFFFF" w:themeColor="background1"/>
              </w:rPr>
              <w:t>Overall</w:t>
            </w:r>
          </w:p>
        </w:tc>
      </w:tr>
      <w:tr w:rsidR="00885CFE" w14:paraId="73C84001" w14:textId="77777777" w:rsidTr="00526496">
        <w:trPr>
          <w:trHeight w:val="444"/>
        </w:trPr>
        <w:tc>
          <w:tcPr>
            <w:cnfStyle w:val="001000000000" w:firstRow="0" w:lastRow="0" w:firstColumn="1" w:lastColumn="0" w:oddVBand="0" w:evenVBand="0" w:oddHBand="0" w:evenHBand="0" w:firstRowFirstColumn="0" w:firstRowLastColumn="0" w:lastRowFirstColumn="0" w:lastRowLastColumn="0"/>
            <w:tcW w:w="0" w:type="auto"/>
          </w:tcPr>
          <w:p w14:paraId="45B7E957" w14:textId="0A4AD47C" w:rsidR="00526496" w:rsidRDefault="0066217E" w:rsidP="00F545D7">
            <w:r>
              <w:t>Ries et al</w:t>
            </w:r>
            <w:r>
              <w:fldChar w:fldCharType="begin"/>
            </w:r>
            <w:r>
              <w:instrText xml:space="preserve"> ADDIN EN.CITE &lt;EndNote&gt;&lt;Cite&gt;&lt;Author&gt;Ries&lt;/Author&gt;&lt;Year&gt;2006&lt;/Year&gt;&lt;RecNum&gt;250&lt;/RecNum&gt;&lt;DisplayText&gt;&lt;style face="superscript"&gt;1&lt;/style&gt;&lt;/DisplayText&gt;&lt;record&gt;&lt;rec-number&gt;250&lt;/rec-number&gt;&lt;foreign-keys&gt;&lt;key app="EN" db-id="9fzs292e69zr5sevra6x0r02s2e59es909se" timestamp="1760713640"&gt;250&lt;/key&gt;&lt;/foreign-keys&gt;&lt;ref-type name="Journal Article"&gt;17&lt;/ref-type&gt;&lt;contributors&gt;&lt;authors&gt;&lt;author&gt;Ries, Thorsten&lt;/author&gt;&lt;author&gt;Buhk, Jan-Hendrik&lt;/author&gt;&lt;author&gt;Kucinski, Thomas&lt;/author&gt;&lt;author&gt;Goebell, Einar&lt;/author&gt;&lt;author&gt;Grzyska, Ulrich&lt;/author&gt;&lt;author&gt;Zeumer, Hermann&lt;/author&gt;&lt;author&gt;Fiehler, Jens&lt;/author&gt;&lt;/authors&gt;&lt;/contributors&gt;&lt;titles&gt;&lt;title&gt;Intravenous Administration of Acetylsalicylic Acid During Endovascular Treatment of Cerebral Aneurysms Reduces the Rate of Thromboembolic Events&lt;/title&gt;&lt;secondary-title&gt;Stroke&lt;/secondary-title&gt;&lt;/titles&gt;&lt;periodical&gt;&lt;full-title&gt;Stroke&lt;/full-title&gt;&lt;abbr-1&gt;Stroke&lt;/abbr-1&gt;&lt;/periodical&gt;&lt;pages&gt;1816-1821&lt;/pages&gt;&lt;volume&gt;37&lt;/volume&gt;&lt;number&gt;7&lt;/number&gt;&lt;dates&gt;&lt;year&gt;2006&lt;/year&gt;&lt;pub-dates&gt;&lt;date&gt;2006/07/01&lt;/date&gt;&lt;/pub-dates&gt;&lt;/dates&gt;&lt;publisher&gt;American Heart Association&lt;/publisher&gt;&lt;urls&gt;&lt;related-urls&gt;&lt;url&gt;https://doi.org/10.1161/01.STR.0000226933.44962.a6&lt;/url&gt;&lt;/related-urls&gt;&lt;/urls&gt;&lt;electronic-resource-num&gt;10.1161/01.STR.0000226933.44962.a6&lt;/electronic-resource-num&gt;&lt;access-date&gt;2025/10/17&lt;/access-date&gt;&lt;/record&gt;&lt;/Cite&gt;&lt;/EndNote&gt;</w:instrText>
            </w:r>
            <w:r>
              <w:fldChar w:fldCharType="separate"/>
            </w:r>
            <w:r w:rsidRPr="0066217E">
              <w:rPr>
                <w:noProof/>
                <w:vertAlign w:val="superscript"/>
              </w:rPr>
              <w:t>1</w:t>
            </w:r>
            <w:r>
              <w:fldChar w:fldCharType="end"/>
            </w:r>
          </w:p>
        </w:tc>
        <w:tc>
          <w:tcPr>
            <w:tcW w:w="0" w:type="auto"/>
          </w:tcPr>
          <w:p w14:paraId="3B7F7DF5" w14:textId="144AB1C5" w:rsidR="00526496" w:rsidRDefault="0066217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50FE132" w14:textId="1092A0DF" w:rsidR="00526496" w:rsidRDefault="0066217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D3EEFB0" w14:textId="3D8B9A68" w:rsidR="00526496" w:rsidRDefault="0066217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27E1971" w14:textId="07B1D93C"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5AA2CA1C" w14:textId="4CE78A78"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23067A5" w14:textId="69B7F5DB"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0604E5C2" w14:textId="515FD1B6"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1073" w:type="dxa"/>
          </w:tcPr>
          <w:p w14:paraId="04EEFB87" w14:textId="63FD1652"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909" w:type="dxa"/>
          </w:tcPr>
          <w:p w14:paraId="5F34186C" w14:textId="7F4E3482"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C99D1C8" w14:textId="76414E91"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411CABC" w14:textId="42700DE2"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99B697D" w14:textId="5FD15EA8"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7A2A960E" w14:textId="7E293EC6" w:rsidR="00526496" w:rsidRDefault="00885CFE" w:rsidP="00F545D7">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ECB9963" w14:textId="42CF24D6" w:rsidR="00526496" w:rsidRDefault="00885CFE" w:rsidP="00F545D7">
            <w:pPr>
              <w:cnfStyle w:val="000000000000" w:firstRow="0" w:lastRow="0" w:firstColumn="0" w:lastColumn="0" w:oddVBand="0" w:evenVBand="0" w:oddHBand="0" w:evenHBand="0" w:firstRowFirstColumn="0" w:firstRowLastColumn="0" w:lastRowFirstColumn="0" w:lastRowLastColumn="0"/>
            </w:pPr>
            <w:r>
              <w:t>8/13</w:t>
            </w:r>
          </w:p>
        </w:tc>
      </w:tr>
      <w:tr w:rsidR="00885CFE" w14:paraId="044D4D49" w14:textId="77777777" w:rsidTr="0052649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tcPr>
          <w:p w14:paraId="644C6CC8" w14:textId="13616A7B" w:rsidR="0066217E" w:rsidRDefault="0066217E" w:rsidP="0066217E">
            <w:r w:rsidRPr="0066217E">
              <w:rPr>
                <w:lang w:val="it-IT"/>
              </w:rPr>
              <w:t>Edwards</w:t>
            </w:r>
            <w:r>
              <w:rPr>
                <w:lang w:val="it-IT"/>
              </w:rPr>
              <w:t xml:space="preserve"> et al</w:t>
            </w:r>
            <w:r>
              <w:fldChar w:fldCharType="begin"/>
            </w:r>
            <w:r>
              <w:rPr>
                <w:lang w:val="it-IT"/>
              </w:rPr>
              <w:instrText xml:space="preserve"> ADDIN EN.CITE &lt;EndNote&gt;&lt;Cite&gt;&lt;Author&gt;Edwards&lt;/Author&gt;&lt;Year&gt;2017&lt;/Year&gt;&lt;RecNum&gt;265&lt;/RecNum&gt;&lt;DisplayText&gt;&lt;style face="superscript"&gt;2&lt;/style&gt;&lt;/DisplayText&gt;&lt;record&gt;&lt;rec-number&gt;265&lt;/rec-number&gt;&lt;foreign-keys&gt;&lt;key app="EN" db-id="9fzs292e69zr5sevra6x0r02s2e59es909se" timestamp="1760875230"&gt;265&lt;/key&gt;&lt;/foreign-keys&gt;&lt;ref-type name="Journal Article"&gt;17&lt;/ref-type&gt;&lt;contributors&gt;&lt;authors&gt;&lt;author&gt;Edwards, Nancy J.&lt;/author&gt;&lt;author&gt;Jones, Wesley H.&lt;/author&gt;&lt;author&gt;Sanzgiri, Aditya&lt;/author&gt;&lt;author&gt;Corona, Juan&lt;/author&gt;&lt;author&gt;Dannenbaum, Mark&lt;/author&gt;&lt;author&gt;Chen, Peng Roc&lt;/author&gt;&lt;/authors&gt;&lt;/contributors&gt;&lt;titles&gt;&lt;title&gt;Antiplatelet therapy for the prevention of peri-coiling thromboembolism in high-risk patients with ruptured intracranial aneurysms&lt;/title&gt;&lt;secondary-title&gt;Journal of Neurosurgery&lt;/secondary-title&gt;&lt;/titles&gt;&lt;periodical&gt;&lt;full-title&gt;J Neurosurg&lt;/full-title&gt;&lt;abbr-1&gt;Journal of neurosurgery&lt;/abbr-1&gt;&lt;/periodical&gt;&lt;pages&gt;1326-1332&lt;/pages&gt;&lt;volume&gt;127&lt;/volume&gt;&lt;number&gt;6&lt;/number&gt;&lt;dates&gt;&lt;year&gt;2017&lt;/year&gt;&lt;pub-dates&gt;&lt;date&gt;01 Dec. 2017&lt;/date&gt;&lt;/pub-dates&gt;&lt;/dates&gt;&lt;publisher&gt;American Association of Neurological Surgeons&lt;/publisher&gt;&lt;urls&gt;&lt;related-urls&gt;&lt;url&gt;https://thejns.org/view/journals/j-neurosurg/127/6/article-p1326.xml&lt;/url&gt;&lt;/related-urls&gt;&lt;/urls&gt;&lt;electronic-resource-num&gt;https://doi.org/10.3171/2016.9.JNS161340&lt;/electronic-resource-num&gt;&lt;language&gt;English&lt;/language&gt;&lt;/record&gt;&lt;/Cite&gt;&lt;/EndNote&gt;</w:instrText>
            </w:r>
            <w:r>
              <w:fldChar w:fldCharType="separate"/>
            </w:r>
            <w:r w:rsidRPr="0066217E">
              <w:rPr>
                <w:noProof/>
                <w:vertAlign w:val="superscript"/>
                <w:lang w:val="it-IT"/>
              </w:rPr>
              <w:t>2</w:t>
            </w:r>
            <w:r>
              <w:fldChar w:fldCharType="end"/>
            </w:r>
          </w:p>
        </w:tc>
        <w:tc>
          <w:tcPr>
            <w:tcW w:w="0" w:type="auto"/>
          </w:tcPr>
          <w:p w14:paraId="62F62FC3" w14:textId="49A5DE4A"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19933664" w14:textId="7B4D89E8"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3F9A590B" w14:textId="68B07EFE"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1F56D61C" w14:textId="5604BDE6"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6160C537" w14:textId="0EF6026A"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587AAF0A" w14:textId="0EC75887"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7599E739" w14:textId="109BF97B"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1073" w:type="dxa"/>
          </w:tcPr>
          <w:p w14:paraId="2C4878AF" w14:textId="4ABE8D45"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909" w:type="dxa"/>
          </w:tcPr>
          <w:p w14:paraId="734A9887" w14:textId="0B3E62A4"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0FCA73C6" w14:textId="735AE77F"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64C828CD" w14:textId="016FDCA4"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6DD23150" w14:textId="3B702977"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33BAB908" w14:textId="58F38250" w:rsidR="0066217E" w:rsidRDefault="0066217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1D594233" w14:textId="10DB1254" w:rsidR="0066217E" w:rsidRDefault="0066217E" w:rsidP="0066217E">
            <w:pPr>
              <w:cnfStyle w:val="000000100000" w:firstRow="0" w:lastRow="0" w:firstColumn="0" w:lastColumn="0" w:oddVBand="0" w:evenVBand="0" w:oddHBand="1" w:evenHBand="0" w:firstRowFirstColumn="0" w:firstRowLastColumn="0" w:lastRowFirstColumn="0" w:lastRowLastColumn="0"/>
            </w:pPr>
            <w:r>
              <w:t>12/13</w:t>
            </w:r>
          </w:p>
        </w:tc>
      </w:tr>
      <w:tr w:rsidR="00885CFE" w14:paraId="75A286EA" w14:textId="77777777" w:rsidTr="00526496">
        <w:trPr>
          <w:trHeight w:val="421"/>
        </w:trPr>
        <w:tc>
          <w:tcPr>
            <w:cnfStyle w:val="001000000000" w:firstRow="0" w:lastRow="0" w:firstColumn="1" w:lastColumn="0" w:oddVBand="0" w:evenVBand="0" w:oddHBand="0" w:evenHBand="0" w:firstRowFirstColumn="0" w:firstRowLastColumn="0" w:lastRowFirstColumn="0" w:lastRowLastColumn="0"/>
            <w:tcW w:w="0" w:type="auto"/>
          </w:tcPr>
          <w:p w14:paraId="4BD7A356" w14:textId="13892B19" w:rsidR="0066217E" w:rsidRDefault="00885CFE" w:rsidP="00885CFE">
            <w:proofErr w:type="spellStart"/>
            <w:r w:rsidRPr="00885CFE">
              <w:rPr>
                <w:lang w:val="it-IT"/>
              </w:rPr>
              <w:t>Bürkl</w:t>
            </w:r>
            <w:r>
              <w:rPr>
                <w:lang w:val="it-IT"/>
              </w:rPr>
              <w:t>e</w:t>
            </w:r>
            <w:proofErr w:type="spellEnd"/>
            <w:r>
              <w:rPr>
                <w:lang w:val="it-IT"/>
              </w:rPr>
              <w:t xml:space="preserve"> et al</w:t>
            </w:r>
            <w:r>
              <w:rPr>
                <w:lang w:val="it-IT"/>
              </w:rPr>
              <w:fldChar w:fldCharType="begin"/>
            </w:r>
            <w:r>
              <w:rPr>
                <w:lang w:val="it-IT"/>
              </w:rPr>
              <w:instrText xml:space="preserve"> ADDIN EN.CITE &lt;EndNote&gt;&lt;Cite&gt;&lt;Author&gt;Bürkle&lt;/Author&gt;&lt;Year&gt;2024&lt;/Year&gt;&lt;RecNum&gt;251&lt;/RecNum&gt;&lt;DisplayText&gt;&lt;style face="superscript"&gt;3&lt;/style&gt;&lt;/DisplayText&gt;&lt;record&gt;&lt;rec-number&gt;251&lt;/rec-number&gt;&lt;foreign-keys&gt;&lt;key app="EN" db-id="9fzs292e69zr5sevra6x0r02s2e59es909se" timestamp="1760717377"&gt;251&lt;/key&gt;&lt;/foreign-keys&gt;&lt;ref-type name="Journal Article"&gt;17&lt;/ref-type&gt;&lt;contributors&gt;&lt;authors&gt;&lt;author&gt;Bürkle, Franziska&lt;/author&gt;&lt;author&gt;Weyland, Charlotte S.&lt;/author&gt;&lt;author&gt;Hasan, Dimah&lt;/author&gt;&lt;author&gt;Yousefi, Farzaneh&lt;/author&gt;&lt;author&gt;Ridwan, Hani&lt;/author&gt;&lt;author&gt;Nikoubashman, Omid&lt;/author&gt;&lt;author&gt;Wiesmann, Martin&lt;/author&gt;&lt;/authors&gt;&lt;/contributors&gt;&lt;titles&gt;&lt;title&gt;Propensity score-adjusted analysis on early tirofiban administration to prevent thromboembolic complications during stand-alone coil embolization of ruptured aneurysms&lt;/title&gt;&lt;secondary-title&gt;Scientific Reports&lt;/secondary-title&gt;&lt;/titles&gt;&lt;periodical&gt;&lt;full-title&gt;Scientific Reports&lt;/full-title&gt;&lt;/periodical&gt;&lt;pages&gt;26350&lt;/pages&gt;&lt;volume&gt;14&lt;/volume&gt;&lt;number&gt;1&lt;/number&gt;&lt;dates&gt;&lt;year&gt;2024&lt;/year&gt;&lt;pub-dates&gt;&lt;date&gt;2024/11/01&lt;/date&gt;&lt;/pub-dates&gt;&lt;/dates&gt;&lt;isbn&gt;2045-2322&lt;/isbn&gt;&lt;urls&gt;&lt;related-urls&gt;&lt;url&gt;https://doi.org/10.1038/s41598-024-77354-1&lt;/url&gt;&lt;/related-urls&gt;&lt;/urls&gt;&lt;electronic-resource-num&gt;10.1038/s41598-024-77354-1&lt;/electronic-resource-num&gt;&lt;/record&gt;&lt;/Cite&gt;&lt;/EndNote&gt;</w:instrText>
            </w:r>
            <w:r>
              <w:rPr>
                <w:lang w:val="it-IT"/>
              </w:rPr>
              <w:fldChar w:fldCharType="separate"/>
            </w:r>
            <w:r w:rsidRPr="00885CFE">
              <w:rPr>
                <w:noProof/>
                <w:vertAlign w:val="superscript"/>
                <w:lang w:val="it-IT"/>
              </w:rPr>
              <w:t>3</w:t>
            </w:r>
            <w:r>
              <w:rPr>
                <w:lang w:val="it-IT"/>
              </w:rPr>
              <w:fldChar w:fldCharType="end"/>
            </w:r>
          </w:p>
        </w:tc>
        <w:tc>
          <w:tcPr>
            <w:tcW w:w="0" w:type="auto"/>
          </w:tcPr>
          <w:p w14:paraId="2AA1F3A2" w14:textId="60A04BFF"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20C5C14" w14:textId="009051CD"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F353704" w14:textId="3B9EE8FC"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78C86CB" w14:textId="5A5CD846"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751BFAA0" w14:textId="36E1DABC"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D6AC702" w14:textId="119127F4"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4616D5F" w14:textId="08B68453"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1073" w:type="dxa"/>
          </w:tcPr>
          <w:p w14:paraId="78ADA096" w14:textId="5CFF1EF8"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909" w:type="dxa"/>
          </w:tcPr>
          <w:p w14:paraId="37F69AD8" w14:textId="4254007D"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0A9F3028" w14:textId="2BA38092"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18072049" w14:textId="3A882D9E"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46E5B5F" w14:textId="154AD24E"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78B436F5" w14:textId="7272ADE2"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4AD40FA" w14:textId="483E31AD" w:rsidR="0066217E" w:rsidRDefault="00885CFE" w:rsidP="0066217E">
            <w:pPr>
              <w:cnfStyle w:val="000000000000" w:firstRow="0" w:lastRow="0" w:firstColumn="0" w:lastColumn="0" w:oddVBand="0" w:evenVBand="0" w:oddHBand="0" w:evenHBand="0" w:firstRowFirstColumn="0" w:firstRowLastColumn="0" w:lastRowFirstColumn="0" w:lastRowLastColumn="0"/>
            </w:pPr>
            <w:r>
              <w:t>10/13</w:t>
            </w:r>
          </w:p>
        </w:tc>
      </w:tr>
      <w:tr w:rsidR="00885CFE" w14:paraId="5BDE93DB" w14:textId="77777777" w:rsidTr="00526496">
        <w:trPr>
          <w:cnfStyle w:val="000000100000" w:firstRow="0" w:lastRow="0" w:firstColumn="0" w:lastColumn="0" w:oddVBand="0" w:evenVBand="0" w:oddHBand="1" w:evenHBand="0" w:firstRowFirstColumn="0" w:firstRowLastColumn="0" w:lastRowFirstColumn="0" w:lastRowLastColumn="0"/>
          <w:trHeight w:val="421"/>
        </w:trPr>
        <w:tc>
          <w:tcPr>
            <w:cnfStyle w:val="001000000000" w:firstRow="0" w:lastRow="0" w:firstColumn="1" w:lastColumn="0" w:oddVBand="0" w:evenVBand="0" w:oddHBand="0" w:evenHBand="0" w:firstRowFirstColumn="0" w:firstRowLastColumn="0" w:lastRowFirstColumn="0" w:lastRowLastColumn="0"/>
            <w:tcW w:w="0" w:type="auto"/>
          </w:tcPr>
          <w:p w14:paraId="39656964" w14:textId="63C8AB53" w:rsidR="0066217E" w:rsidRDefault="00885CFE" w:rsidP="0066217E">
            <w:r>
              <w:t>Shimamura</w:t>
            </w:r>
            <w:r>
              <w:fldChar w:fldCharType="begin"/>
            </w:r>
            <w:r>
              <w:instrText xml:space="preserve"> ADDIN EN.CITE &lt;EndNote&gt;&lt;Cite&gt;&lt;Author&gt;Shimamura&lt;/Author&gt;&lt;Year&gt;2020&lt;/Year&gt;&lt;RecNum&gt;249&lt;/RecNum&gt;&lt;DisplayText&gt;&lt;style face="superscript"&gt;4&lt;/style&gt;&lt;/DisplayText&gt;&lt;record&gt;&lt;rec-number&gt;249&lt;/rec-number&gt;&lt;foreign-keys&gt;&lt;key app="EN" db-id="9fzs292e69zr5sevra6x0r02s2e59es909se" timestamp="1760713608"&gt;249&lt;/key&gt;&lt;/foreign-keys&gt;&lt;ref-type name="Journal Article"&gt;17&lt;/ref-type&gt;&lt;contributors&gt;&lt;authors&gt;&lt;author&gt;Shimamura, Norihito&lt;/author&gt;&lt;author&gt;Naraoka, Masato&lt;/author&gt;&lt;author&gt;Matsuda, Naoya&lt;/author&gt;&lt;author&gt;Katayama, Kosuke&lt;/author&gt;&lt;author&gt;Kakuta, Kiyohide&lt;/author&gt;&lt;author&gt;Katagai, Takeshi&lt;/author&gt;&lt;author&gt;Fujiwara, Nozomi&lt;/author&gt;&lt;author&gt;Hasegawa, Seiko&lt;/author&gt;&lt;author&gt;Ohkuma, Hiroki&lt;/author&gt;&lt;/authors&gt;&lt;/contributors&gt;&lt;titles&gt;&lt;title&gt;Use of Preprocedural, Multiple Antiplatelet Medications for Coil Embolization of Ruptured Cerebral Aneurysm in the Acute Stage Improved Clinical Outcome and Reduced Thromboembolic Complications without Hemorrhagic Complications&lt;/title&gt;&lt;secondary-title&gt;World Neurosurgery&lt;/secondary-title&gt;&lt;/titles&gt;&lt;periodical&gt;&lt;full-title&gt;World Neurosurgery&lt;/full-title&gt;&lt;/periodical&gt;&lt;pages&gt;e751-e756&lt;/pages&gt;&lt;volume&gt;133&lt;/volume&gt;&lt;keywords&gt;&lt;keyword&gt;Antiplatelet therapy&lt;/keyword&gt;&lt;keyword&gt;Cerebral aneurysm&lt;/keyword&gt;&lt;keyword&gt;Coiling&lt;/keyword&gt;&lt;keyword&gt;Subarachnoid hemorrhage&lt;/keyword&gt;&lt;/keywords&gt;&lt;dates&gt;&lt;year&gt;2020&lt;/year&gt;&lt;pub-dates&gt;&lt;date&gt;2020/01/01/&lt;/date&gt;&lt;/pub-dates&gt;&lt;/dates&gt;&lt;isbn&gt;1878-8750&lt;/isbn&gt;&lt;urls&gt;&lt;related-urls&gt;&lt;url&gt;https://www.sciencedirect.com/science/article/pii/S1878875019325938&lt;/url&gt;&lt;/related-urls&gt;&lt;/urls&gt;&lt;electronic-resource-num&gt;https://doi.org/10.1016/j.wneu.2019.09.149&lt;/electronic-resource-num&gt;&lt;/record&gt;&lt;/Cite&gt;&lt;/EndNote&gt;</w:instrText>
            </w:r>
            <w:r>
              <w:fldChar w:fldCharType="separate"/>
            </w:r>
            <w:r w:rsidRPr="00885CFE">
              <w:rPr>
                <w:noProof/>
                <w:vertAlign w:val="superscript"/>
              </w:rPr>
              <w:t>4</w:t>
            </w:r>
            <w:r>
              <w:fldChar w:fldCharType="end"/>
            </w:r>
          </w:p>
        </w:tc>
        <w:tc>
          <w:tcPr>
            <w:tcW w:w="0" w:type="auto"/>
          </w:tcPr>
          <w:p w14:paraId="0288F242" w14:textId="7351C879"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5AC26D25" w14:textId="2384B52E"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6FE213DC" w14:textId="35277CDB"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4F20D396" w14:textId="46ED9A8D"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3961F44A" w14:textId="244EE785"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7DE589B4" w14:textId="02149A0F"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69E0C1E3" w14:textId="6B66E286"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1073" w:type="dxa"/>
          </w:tcPr>
          <w:p w14:paraId="6E7B1946" w14:textId="650D2DE9"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909" w:type="dxa"/>
          </w:tcPr>
          <w:p w14:paraId="03857D48" w14:textId="45A71E88"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3323E788" w14:textId="374B2DE9"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037624FA" w14:textId="5A2D09B4"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667532C1" w14:textId="0CDA11DD"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39290F33" w14:textId="24EC0C1A" w:rsidR="0066217E" w:rsidRDefault="00885CFE" w:rsidP="0066217E">
            <w:pPr>
              <w:cnfStyle w:val="000000100000" w:firstRow="0" w:lastRow="0" w:firstColumn="0" w:lastColumn="0" w:oddVBand="0" w:evenVBand="0" w:oddHBand="1" w:evenHBand="0" w:firstRowFirstColumn="0" w:firstRowLastColumn="0" w:lastRowFirstColumn="0" w:lastRowLastColumn="0"/>
            </w:pPr>
            <w:r>
              <w:t>+</w:t>
            </w:r>
          </w:p>
        </w:tc>
        <w:tc>
          <w:tcPr>
            <w:tcW w:w="0" w:type="auto"/>
          </w:tcPr>
          <w:p w14:paraId="7738DF61" w14:textId="5D9288E0" w:rsidR="0066217E" w:rsidRDefault="00885CFE" w:rsidP="0066217E">
            <w:pPr>
              <w:cnfStyle w:val="000000100000" w:firstRow="0" w:lastRow="0" w:firstColumn="0" w:lastColumn="0" w:oddVBand="0" w:evenVBand="0" w:oddHBand="1" w:evenHBand="0" w:firstRowFirstColumn="0" w:firstRowLastColumn="0" w:lastRowFirstColumn="0" w:lastRowLastColumn="0"/>
            </w:pPr>
            <w:r>
              <w:t>11/13</w:t>
            </w:r>
          </w:p>
        </w:tc>
      </w:tr>
      <w:tr w:rsidR="00885CFE" w14:paraId="6AFADEA2" w14:textId="77777777" w:rsidTr="00526496">
        <w:trPr>
          <w:trHeight w:val="421"/>
        </w:trPr>
        <w:tc>
          <w:tcPr>
            <w:cnfStyle w:val="001000000000" w:firstRow="0" w:lastRow="0" w:firstColumn="1" w:lastColumn="0" w:oddVBand="0" w:evenVBand="0" w:oddHBand="0" w:evenHBand="0" w:firstRowFirstColumn="0" w:firstRowLastColumn="0" w:lastRowFirstColumn="0" w:lastRowLastColumn="0"/>
            <w:tcW w:w="0" w:type="auto"/>
          </w:tcPr>
          <w:p w14:paraId="20B33B30" w14:textId="15C95E37" w:rsidR="0066217E" w:rsidRDefault="00885CFE" w:rsidP="00885CFE">
            <w:r w:rsidRPr="00885CFE">
              <w:rPr>
                <w:i/>
                <w:iCs/>
                <w:lang w:val="it-IT"/>
              </w:rPr>
              <w:t>Muraoka</w:t>
            </w:r>
            <w:r>
              <w:rPr>
                <w:i/>
                <w:iCs/>
                <w:lang w:val="it-IT"/>
              </w:rPr>
              <w:fldChar w:fldCharType="begin"/>
            </w:r>
            <w:r>
              <w:rPr>
                <w:i/>
                <w:iCs/>
                <w:lang w:val="it-IT"/>
              </w:rPr>
              <w:instrText xml:space="preserve"> ADDIN EN.CITE &lt;EndNote&gt;&lt;Cite&gt;&lt;Author&gt;Muraoka&lt;/Author&gt;&lt;Year&gt;2018&lt;/Year&gt;&lt;RecNum&gt;267&lt;/RecNum&gt;&lt;DisplayText&gt;&lt;style face="superscript"&gt;5&lt;/style&gt;&lt;/DisplayText&gt;&lt;record&gt;&lt;rec-number&gt;267&lt;/rec-number&gt;&lt;foreign-keys&gt;&lt;key app="EN" db-id="9fzs292e69zr5sevra6x0r02s2e59es909se" timestamp="1760876220"&gt;267&lt;/key&gt;&lt;/foreign-keys&gt;&lt;ref-type name="Journal Article"&gt;17&lt;/ref-type&gt;&lt;contributors&gt;&lt;authors&gt;&lt;author&gt;Muraoka, Kenichiro&lt;/author&gt;&lt;author&gt;Sato, Yu&lt;/author&gt;&lt;author&gt;Hosomoto, Kakeru&lt;/author&gt;&lt;author&gt;Okuma, Yu&lt;/author&gt;&lt;author&gt;Shimazu, Yosuke&lt;/author&gt;&lt;author&gt;Tanabe, Tomoyuki&lt;/author&gt;&lt;author&gt;Hirotsune, Nobuyuki&lt;/author&gt;&lt;author&gt;Nishino, Shigeki&lt;/author&gt;&lt;/authors&gt;&lt;/contributors&gt;&lt;titles&gt;&lt;title&gt;Effectiveness of antiplatelet drug loading before acute-phase coil embolization of ruptured cerebral aneurysms&lt;/title&gt;&lt;secondary-title&gt;Journal of Neuroendovascular Therapy&lt;/secondary-title&gt;&lt;/titles&gt;&lt;periodical&gt;&lt;full-title&gt;Journal of Neuroendovascular Therapy&lt;/full-title&gt;&lt;/periodical&gt;&lt;pages&gt;75-80&lt;/pages&gt;&lt;volume&gt;12&lt;/volume&gt;&lt;number&gt;2&lt;/number&gt;&lt;dates&gt;&lt;year&gt;2018&lt;/year&gt;&lt;/dates&gt;&lt;isbn&gt;1882-4072&lt;/isbn&gt;&lt;urls&gt;&lt;/urls&gt;&lt;/record&gt;&lt;/Cite&gt;&lt;/EndNote&gt;</w:instrText>
            </w:r>
            <w:r>
              <w:rPr>
                <w:i/>
                <w:iCs/>
                <w:lang w:val="it-IT"/>
              </w:rPr>
              <w:fldChar w:fldCharType="separate"/>
            </w:r>
            <w:r w:rsidRPr="00885CFE">
              <w:rPr>
                <w:i/>
                <w:iCs/>
                <w:noProof/>
                <w:vertAlign w:val="superscript"/>
                <w:lang w:val="it-IT"/>
              </w:rPr>
              <w:t>5</w:t>
            </w:r>
            <w:r>
              <w:rPr>
                <w:i/>
                <w:iCs/>
                <w:lang w:val="it-IT"/>
              </w:rPr>
              <w:fldChar w:fldCharType="end"/>
            </w:r>
          </w:p>
        </w:tc>
        <w:tc>
          <w:tcPr>
            <w:tcW w:w="0" w:type="auto"/>
          </w:tcPr>
          <w:p w14:paraId="16F25484" w14:textId="3A68F50A"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9A108A5" w14:textId="678D5945"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1D580B9" w14:textId="34A6A7B3"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56B830CB" w14:textId="787C4CA0"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7334B1B0" w14:textId="539484B8"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479193E4" w14:textId="03B46495"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6E35B7C" w14:textId="3A836486"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1073" w:type="dxa"/>
          </w:tcPr>
          <w:p w14:paraId="4B396CBA" w14:textId="5DB42B97"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909" w:type="dxa"/>
          </w:tcPr>
          <w:p w14:paraId="750CFCC0" w14:textId="63F9218F"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0E494225" w14:textId="678965C1"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B7B4A9A" w14:textId="6F413CC3"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33E9C286" w14:textId="1D119227"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29D85A95" w14:textId="4620B15E" w:rsidR="0066217E" w:rsidRDefault="00885CFE" w:rsidP="0066217E">
            <w:pPr>
              <w:cnfStyle w:val="000000000000" w:firstRow="0" w:lastRow="0" w:firstColumn="0" w:lastColumn="0" w:oddVBand="0" w:evenVBand="0" w:oddHBand="0" w:evenHBand="0" w:firstRowFirstColumn="0" w:firstRowLastColumn="0" w:lastRowFirstColumn="0" w:lastRowLastColumn="0"/>
            </w:pPr>
            <w:r>
              <w:t>+</w:t>
            </w:r>
          </w:p>
        </w:tc>
        <w:tc>
          <w:tcPr>
            <w:tcW w:w="0" w:type="auto"/>
          </w:tcPr>
          <w:p w14:paraId="6C17E00A" w14:textId="209ACA37" w:rsidR="0066217E" w:rsidRDefault="00885CFE" w:rsidP="0066217E">
            <w:pPr>
              <w:cnfStyle w:val="000000000000" w:firstRow="0" w:lastRow="0" w:firstColumn="0" w:lastColumn="0" w:oddVBand="0" w:evenVBand="0" w:oddHBand="0" w:evenHBand="0" w:firstRowFirstColumn="0" w:firstRowLastColumn="0" w:lastRowFirstColumn="0" w:lastRowLastColumn="0"/>
            </w:pPr>
            <w:r>
              <w:t>11/13</w:t>
            </w:r>
          </w:p>
        </w:tc>
      </w:tr>
    </w:tbl>
    <w:p w14:paraId="249AAA2F" w14:textId="77777777" w:rsidR="00526496" w:rsidRDefault="00526496" w:rsidP="00526496"/>
    <w:p w14:paraId="04EDF0D6" w14:textId="7D99888D" w:rsidR="00885CFE" w:rsidRDefault="00526496" w:rsidP="00526496">
      <w:pPr>
        <w:rPr>
          <w:b/>
          <w:bCs/>
          <w:lang w:val="en-US"/>
        </w:rPr>
      </w:pPr>
      <w:r w:rsidRPr="00526496">
        <w:rPr>
          <w:b/>
          <w:bCs/>
          <w:lang w:val="en-US"/>
        </w:rPr>
        <w:t>Table S2. Methodological index for non-randomized studies</w:t>
      </w:r>
    </w:p>
    <w:p w14:paraId="0618769F" w14:textId="77777777" w:rsidR="00885CFE" w:rsidRDefault="00885CFE">
      <w:pPr>
        <w:rPr>
          <w:b/>
          <w:bCs/>
          <w:lang w:val="en-US"/>
        </w:rPr>
      </w:pPr>
      <w:r>
        <w:rPr>
          <w:b/>
          <w:bCs/>
          <w:lang w:val="en-US"/>
        </w:rPr>
        <w:br w:type="page"/>
      </w:r>
    </w:p>
    <w:p w14:paraId="2D6CC920" w14:textId="77777777" w:rsidR="00885CFE" w:rsidRDefault="00885CFE" w:rsidP="00885CFE"/>
    <w:tbl>
      <w:tblPr>
        <w:tblStyle w:val="Grigliatabella"/>
        <w:tblW w:w="14280" w:type="dxa"/>
        <w:tblLayout w:type="fixed"/>
        <w:tblLook w:val="04A0" w:firstRow="1" w:lastRow="0" w:firstColumn="1" w:lastColumn="0" w:noHBand="0" w:noVBand="1"/>
      </w:tblPr>
      <w:tblGrid>
        <w:gridCol w:w="1280"/>
        <w:gridCol w:w="1635"/>
        <w:gridCol w:w="1448"/>
        <w:gridCol w:w="1626"/>
        <w:gridCol w:w="1522"/>
        <w:gridCol w:w="1559"/>
        <w:gridCol w:w="1382"/>
        <w:gridCol w:w="3828"/>
      </w:tblGrid>
      <w:tr w:rsidR="00885CFE" w:rsidRPr="00885CFE" w14:paraId="7F619995" w14:textId="77777777" w:rsidTr="00C4652A">
        <w:tc>
          <w:tcPr>
            <w:tcW w:w="14280" w:type="dxa"/>
            <w:gridSpan w:val="8"/>
          </w:tcPr>
          <w:p w14:paraId="416CA0CC" w14:textId="73CE4209" w:rsidR="00885CFE" w:rsidRPr="00993A51" w:rsidRDefault="00885CFE" w:rsidP="00C4652A">
            <w:pPr>
              <w:widowControl w:val="0"/>
              <w:rPr>
                <w:b/>
                <w:bCs/>
                <w:lang w:val="en-GB"/>
              </w:rPr>
            </w:pPr>
            <w:r w:rsidRPr="00993A51">
              <w:rPr>
                <w:rFonts w:eastAsia="Aptos"/>
                <w:b/>
                <w:bCs/>
                <w:kern w:val="0"/>
                <w:lang w:val="en-GB"/>
              </w:rPr>
              <w:t xml:space="preserve">PICO: </w:t>
            </w:r>
            <w:r>
              <w:rPr>
                <w:rFonts w:eastAsia="Aptos"/>
                <w:b/>
                <w:bCs/>
                <w:kern w:val="0"/>
                <w:lang w:val="en-GB"/>
              </w:rPr>
              <w:t xml:space="preserve"> </w:t>
            </w:r>
            <w:r w:rsidRPr="00885CFE">
              <w:rPr>
                <w:rFonts w:eastAsia="Aptos"/>
                <w:kern w:val="0"/>
              </w:rPr>
              <w:t>For aneurysmal subarachnoid hemorrhage, do combined antithrombotic regimens (antiplatelet or anti-coagulant) provide a better overall balance of fewer clots and no excess bleeding than monotherapy or no therapy regardless the time of administration ?</w:t>
            </w:r>
          </w:p>
        </w:tc>
      </w:tr>
      <w:tr w:rsidR="00885CFE" w14:paraId="6F98D6AA" w14:textId="77777777" w:rsidTr="00C4652A">
        <w:tc>
          <w:tcPr>
            <w:tcW w:w="1280" w:type="dxa"/>
          </w:tcPr>
          <w:p w14:paraId="5E4DE369" w14:textId="77777777" w:rsidR="00885CFE" w:rsidRDefault="00885CFE" w:rsidP="00C4652A">
            <w:pPr>
              <w:widowControl w:val="0"/>
              <w:rPr>
                <w:b/>
                <w:bCs/>
              </w:rPr>
            </w:pPr>
            <w:r>
              <w:rPr>
                <w:rFonts w:eastAsia="Aptos"/>
                <w:b/>
                <w:bCs/>
                <w:kern w:val="0"/>
              </w:rPr>
              <w:t xml:space="preserve">Body of </w:t>
            </w:r>
            <w:proofErr w:type="spellStart"/>
            <w:r>
              <w:rPr>
                <w:rFonts w:eastAsia="Aptos"/>
                <w:b/>
                <w:bCs/>
                <w:kern w:val="0"/>
              </w:rPr>
              <w:t>Evidence</w:t>
            </w:r>
            <w:proofErr w:type="spellEnd"/>
            <w:r>
              <w:rPr>
                <w:rFonts w:eastAsia="Aptos"/>
                <w:b/>
                <w:bCs/>
                <w:kern w:val="0"/>
              </w:rPr>
              <w:t xml:space="preserve"> </w:t>
            </w:r>
          </w:p>
        </w:tc>
        <w:tc>
          <w:tcPr>
            <w:tcW w:w="1635" w:type="dxa"/>
          </w:tcPr>
          <w:p w14:paraId="6D1A1DC4" w14:textId="77777777" w:rsidR="00885CFE" w:rsidRDefault="00885CFE" w:rsidP="00C4652A">
            <w:pPr>
              <w:widowControl w:val="0"/>
              <w:rPr>
                <w:b/>
                <w:bCs/>
              </w:rPr>
            </w:pPr>
            <w:r>
              <w:rPr>
                <w:rFonts w:eastAsia="Aptos"/>
                <w:b/>
                <w:bCs/>
                <w:kern w:val="0"/>
              </w:rPr>
              <w:t xml:space="preserve">Design </w:t>
            </w:r>
          </w:p>
        </w:tc>
        <w:tc>
          <w:tcPr>
            <w:tcW w:w="1448" w:type="dxa"/>
          </w:tcPr>
          <w:p w14:paraId="1DF4D441" w14:textId="77777777" w:rsidR="00885CFE" w:rsidRDefault="00885CFE" w:rsidP="00C4652A">
            <w:pPr>
              <w:widowControl w:val="0"/>
              <w:rPr>
                <w:b/>
                <w:bCs/>
              </w:rPr>
            </w:pPr>
            <w:proofErr w:type="spellStart"/>
            <w:r>
              <w:rPr>
                <w:rFonts w:eastAsia="Aptos"/>
                <w:b/>
                <w:bCs/>
                <w:kern w:val="0"/>
              </w:rPr>
              <w:t>Limitations</w:t>
            </w:r>
            <w:proofErr w:type="spellEnd"/>
            <w:r>
              <w:rPr>
                <w:rFonts w:eastAsia="Aptos"/>
                <w:b/>
                <w:bCs/>
                <w:kern w:val="0"/>
              </w:rPr>
              <w:t xml:space="preserve"> </w:t>
            </w:r>
          </w:p>
        </w:tc>
        <w:tc>
          <w:tcPr>
            <w:tcW w:w="1626" w:type="dxa"/>
          </w:tcPr>
          <w:p w14:paraId="547F7264" w14:textId="77777777" w:rsidR="00885CFE" w:rsidRDefault="00885CFE" w:rsidP="00C4652A">
            <w:pPr>
              <w:widowControl w:val="0"/>
              <w:rPr>
                <w:b/>
                <w:bCs/>
              </w:rPr>
            </w:pPr>
            <w:proofErr w:type="spellStart"/>
            <w:r>
              <w:rPr>
                <w:rFonts w:eastAsia="Aptos"/>
                <w:b/>
                <w:bCs/>
                <w:kern w:val="0"/>
              </w:rPr>
              <w:t>Inconsistency</w:t>
            </w:r>
            <w:proofErr w:type="spellEnd"/>
            <w:r>
              <w:rPr>
                <w:rFonts w:eastAsia="Aptos"/>
                <w:b/>
                <w:bCs/>
                <w:kern w:val="0"/>
              </w:rPr>
              <w:t xml:space="preserve"> </w:t>
            </w:r>
          </w:p>
        </w:tc>
        <w:tc>
          <w:tcPr>
            <w:tcW w:w="1522" w:type="dxa"/>
          </w:tcPr>
          <w:p w14:paraId="385449AF" w14:textId="77777777" w:rsidR="00885CFE" w:rsidRDefault="00885CFE" w:rsidP="00C4652A">
            <w:pPr>
              <w:widowControl w:val="0"/>
              <w:rPr>
                <w:b/>
                <w:bCs/>
              </w:rPr>
            </w:pPr>
            <w:proofErr w:type="spellStart"/>
            <w:r>
              <w:rPr>
                <w:rFonts w:eastAsia="Aptos"/>
                <w:b/>
                <w:bCs/>
                <w:kern w:val="0"/>
              </w:rPr>
              <w:t>Indirectness</w:t>
            </w:r>
            <w:proofErr w:type="spellEnd"/>
            <w:r>
              <w:rPr>
                <w:rFonts w:eastAsia="Aptos"/>
                <w:b/>
                <w:bCs/>
                <w:kern w:val="0"/>
              </w:rPr>
              <w:t xml:space="preserve"> </w:t>
            </w:r>
          </w:p>
        </w:tc>
        <w:tc>
          <w:tcPr>
            <w:tcW w:w="1559" w:type="dxa"/>
          </w:tcPr>
          <w:p w14:paraId="149B92DF" w14:textId="77777777" w:rsidR="00885CFE" w:rsidRDefault="00885CFE" w:rsidP="00C4652A">
            <w:pPr>
              <w:widowControl w:val="0"/>
              <w:rPr>
                <w:b/>
                <w:bCs/>
              </w:rPr>
            </w:pPr>
            <w:proofErr w:type="spellStart"/>
            <w:r>
              <w:rPr>
                <w:rFonts w:eastAsia="Aptos"/>
                <w:b/>
                <w:bCs/>
                <w:kern w:val="0"/>
              </w:rPr>
              <w:t>Imprecisions</w:t>
            </w:r>
            <w:proofErr w:type="spellEnd"/>
          </w:p>
        </w:tc>
        <w:tc>
          <w:tcPr>
            <w:tcW w:w="1382" w:type="dxa"/>
          </w:tcPr>
          <w:p w14:paraId="2F5E35C0" w14:textId="77777777" w:rsidR="00885CFE" w:rsidRDefault="00885CFE" w:rsidP="00C4652A">
            <w:pPr>
              <w:widowControl w:val="0"/>
              <w:rPr>
                <w:b/>
                <w:bCs/>
              </w:rPr>
            </w:pPr>
            <w:proofErr w:type="spellStart"/>
            <w:r>
              <w:rPr>
                <w:rFonts w:eastAsia="Aptos"/>
                <w:b/>
                <w:bCs/>
                <w:kern w:val="0"/>
              </w:rPr>
              <w:t>Publication</w:t>
            </w:r>
            <w:proofErr w:type="spellEnd"/>
            <w:r>
              <w:rPr>
                <w:rFonts w:eastAsia="Aptos"/>
                <w:b/>
                <w:bCs/>
                <w:kern w:val="0"/>
              </w:rPr>
              <w:t xml:space="preserve"> </w:t>
            </w:r>
            <w:proofErr w:type="spellStart"/>
            <w:r>
              <w:rPr>
                <w:rFonts w:eastAsia="Aptos"/>
                <w:b/>
                <w:bCs/>
                <w:kern w:val="0"/>
              </w:rPr>
              <w:t>bias</w:t>
            </w:r>
            <w:proofErr w:type="spellEnd"/>
          </w:p>
        </w:tc>
        <w:tc>
          <w:tcPr>
            <w:tcW w:w="3828" w:type="dxa"/>
          </w:tcPr>
          <w:p w14:paraId="4C40DE31" w14:textId="77777777" w:rsidR="00885CFE" w:rsidRDefault="00885CFE" w:rsidP="00C4652A">
            <w:pPr>
              <w:widowControl w:val="0"/>
              <w:rPr>
                <w:b/>
                <w:bCs/>
              </w:rPr>
            </w:pPr>
            <w:r>
              <w:rPr>
                <w:rFonts w:eastAsia="Aptos"/>
                <w:b/>
                <w:bCs/>
                <w:kern w:val="0"/>
              </w:rPr>
              <w:t>Quality</w:t>
            </w:r>
          </w:p>
        </w:tc>
      </w:tr>
      <w:tr w:rsidR="00885CFE" w14:paraId="5C9A54CB" w14:textId="77777777" w:rsidTr="00C4652A">
        <w:tc>
          <w:tcPr>
            <w:tcW w:w="1280" w:type="dxa"/>
          </w:tcPr>
          <w:p w14:paraId="557021EE" w14:textId="3414D3F5" w:rsidR="00885CFE" w:rsidRDefault="00885CFE" w:rsidP="00C4652A">
            <w:pPr>
              <w:widowControl w:val="0"/>
              <w:rPr>
                <w:rFonts w:ascii="Aptos" w:eastAsia="Aptos" w:hAnsi="Aptos"/>
                <w:kern w:val="0"/>
              </w:rPr>
            </w:pPr>
            <w:r>
              <w:rPr>
                <w:rFonts w:eastAsia="Aptos"/>
                <w:kern w:val="0"/>
              </w:rPr>
              <w:t>5</w:t>
            </w:r>
            <w:r>
              <w:rPr>
                <w:rFonts w:eastAsia="Aptos"/>
                <w:kern w:val="0"/>
              </w:rPr>
              <w:t xml:space="preserve"> </w:t>
            </w:r>
            <w:proofErr w:type="spellStart"/>
            <w:r>
              <w:rPr>
                <w:rFonts w:eastAsia="Aptos"/>
                <w:kern w:val="0"/>
              </w:rPr>
              <w:t>articles</w:t>
            </w:r>
            <w:proofErr w:type="spellEnd"/>
          </w:p>
        </w:tc>
        <w:tc>
          <w:tcPr>
            <w:tcW w:w="1635" w:type="dxa"/>
          </w:tcPr>
          <w:p w14:paraId="49D29023" w14:textId="0C2AFA87" w:rsidR="00885CFE" w:rsidRDefault="00885CFE" w:rsidP="00C4652A">
            <w:pPr>
              <w:widowControl w:val="0"/>
              <w:rPr>
                <w:rFonts w:ascii="Aptos" w:eastAsia="Aptos" w:hAnsi="Aptos"/>
                <w:kern w:val="0"/>
              </w:rPr>
            </w:pPr>
            <w:r>
              <w:rPr>
                <w:rFonts w:eastAsia="Aptos"/>
                <w:kern w:val="0"/>
              </w:rPr>
              <w:t>Case serie</w:t>
            </w:r>
          </w:p>
        </w:tc>
        <w:tc>
          <w:tcPr>
            <w:tcW w:w="1448" w:type="dxa"/>
          </w:tcPr>
          <w:p w14:paraId="2DF05F0A" w14:textId="77777777" w:rsidR="00885CFE" w:rsidRDefault="00885CFE" w:rsidP="00C4652A">
            <w:pPr>
              <w:widowControl w:val="0"/>
              <w:rPr>
                <w:rFonts w:ascii="Aptos" w:eastAsia="Aptos" w:hAnsi="Aptos"/>
                <w:kern w:val="0"/>
              </w:rPr>
            </w:pPr>
            <w:r>
              <w:rPr>
                <w:rFonts w:eastAsia="Aptos"/>
                <w:kern w:val="0"/>
              </w:rPr>
              <w:t xml:space="preserve">Not </w:t>
            </w:r>
            <w:proofErr w:type="spellStart"/>
            <w:r>
              <w:rPr>
                <w:rFonts w:eastAsia="Aptos"/>
                <w:kern w:val="0"/>
              </w:rPr>
              <w:t>serious</w:t>
            </w:r>
            <w:proofErr w:type="spellEnd"/>
            <w:r>
              <w:rPr>
                <w:rFonts w:eastAsia="Aptos"/>
                <w:kern w:val="0"/>
              </w:rPr>
              <w:t xml:space="preserve"> </w:t>
            </w:r>
          </w:p>
        </w:tc>
        <w:tc>
          <w:tcPr>
            <w:tcW w:w="1626" w:type="dxa"/>
          </w:tcPr>
          <w:p w14:paraId="797AD1AE" w14:textId="77777777" w:rsidR="00885CFE" w:rsidRDefault="00885CFE" w:rsidP="00C4652A">
            <w:pPr>
              <w:widowControl w:val="0"/>
              <w:rPr>
                <w:rFonts w:ascii="Aptos" w:eastAsia="Aptos" w:hAnsi="Aptos"/>
                <w:kern w:val="0"/>
              </w:rPr>
            </w:pPr>
            <w:r>
              <w:rPr>
                <w:rFonts w:eastAsia="Aptos"/>
                <w:kern w:val="0"/>
              </w:rPr>
              <w:t xml:space="preserve">Not </w:t>
            </w:r>
            <w:proofErr w:type="spellStart"/>
            <w:r>
              <w:rPr>
                <w:rFonts w:eastAsia="Aptos"/>
                <w:kern w:val="0"/>
              </w:rPr>
              <w:t>Serious</w:t>
            </w:r>
            <w:proofErr w:type="spellEnd"/>
          </w:p>
        </w:tc>
        <w:tc>
          <w:tcPr>
            <w:tcW w:w="1522" w:type="dxa"/>
          </w:tcPr>
          <w:p w14:paraId="77CAF240" w14:textId="77777777" w:rsidR="00885CFE" w:rsidRDefault="00885CFE" w:rsidP="00C4652A">
            <w:pPr>
              <w:widowControl w:val="0"/>
              <w:rPr>
                <w:b/>
                <w:bCs/>
              </w:rPr>
            </w:pPr>
            <w:r>
              <w:rPr>
                <w:rFonts w:eastAsia="Aptos"/>
                <w:kern w:val="0"/>
              </w:rPr>
              <w:t xml:space="preserve">Not </w:t>
            </w:r>
            <w:proofErr w:type="spellStart"/>
            <w:r>
              <w:rPr>
                <w:rFonts w:eastAsia="Aptos"/>
                <w:kern w:val="0"/>
              </w:rPr>
              <w:t>Serious</w:t>
            </w:r>
            <w:proofErr w:type="spellEnd"/>
          </w:p>
        </w:tc>
        <w:tc>
          <w:tcPr>
            <w:tcW w:w="1559" w:type="dxa"/>
          </w:tcPr>
          <w:p w14:paraId="3FBC6CC6" w14:textId="77777777" w:rsidR="00885CFE" w:rsidRDefault="00885CFE" w:rsidP="00C4652A">
            <w:pPr>
              <w:widowControl w:val="0"/>
              <w:rPr>
                <w:b/>
                <w:bCs/>
              </w:rPr>
            </w:pPr>
            <w:r>
              <w:rPr>
                <w:rFonts w:eastAsia="Aptos"/>
                <w:kern w:val="0"/>
              </w:rPr>
              <w:t xml:space="preserve">Not </w:t>
            </w:r>
            <w:proofErr w:type="spellStart"/>
            <w:r>
              <w:rPr>
                <w:rFonts w:eastAsia="Aptos"/>
                <w:kern w:val="0"/>
              </w:rPr>
              <w:t>Serious</w:t>
            </w:r>
            <w:proofErr w:type="spellEnd"/>
          </w:p>
        </w:tc>
        <w:tc>
          <w:tcPr>
            <w:tcW w:w="1382" w:type="dxa"/>
          </w:tcPr>
          <w:p w14:paraId="3AA5B495" w14:textId="77777777" w:rsidR="00885CFE" w:rsidRDefault="00885CFE" w:rsidP="00C4652A">
            <w:pPr>
              <w:widowControl w:val="0"/>
              <w:rPr>
                <w:rFonts w:ascii="Aptos" w:eastAsia="Aptos" w:hAnsi="Aptos"/>
                <w:kern w:val="0"/>
              </w:rPr>
            </w:pPr>
            <w:r>
              <w:rPr>
                <w:rFonts w:eastAsia="Aptos"/>
                <w:kern w:val="0"/>
              </w:rPr>
              <w:t xml:space="preserve">Not </w:t>
            </w:r>
            <w:proofErr w:type="spellStart"/>
            <w:r>
              <w:rPr>
                <w:rFonts w:eastAsia="Aptos"/>
                <w:kern w:val="0"/>
              </w:rPr>
              <w:t>Serious</w:t>
            </w:r>
            <w:proofErr w:type="spellEnd"/>
          </w:p>
        </w:tc>
        <w:tc>
          <w:tcPr>
            <w:tcW w:w="3828" w:type="dxa"/>
          </w:tcPr>
          <w:p w14:paraId="020D8B01" w14:textId="7DE1717B" w:rsidR="00885CFE" w:rsidRDefault="00885CFE" w:rsidP="00885CFE">
            <w:pPr>
              <w:widowControl w:val="0"/>
              <w:tabs>
                <w:tab w:val="center" w:pos="1806"/>
              </w:tabs>
              <w:rPr>
                <w:rFonts w:ascii="Aptos" w:eastAsia="Aptos" w:hAnsi="Aptos"/>
                <w:kern w:val="0"/>
              </w:rPr>
            </w:pPr>
            <w:r>
              <w:rPr>
                <w:rFonts w:eastAsia="Aptos"/>
                <w:kern w:val="0"/>
              </w:rPr>
              <w:t>low</w:t>
            </w:r>
          </w:p>
        </w:tc>
      </w:tr>
    </w:tbl>
    <w:p w14:paraId="27B3C8C4" w14:textId="77777777" w:rsidR="00885CFE" w:rsidRDefault="00885CFE" w:rsidP="00885CFE">
      <w:pPr>
        <w:rPr>
          <w:b/>
          <w:bCs/>
        </w:rPr>
      </w:pPr>
      <w:bookmarkStart w:id="0" w:name="_Hlk188474762"/>
      <w:proofErr w:type="spellStart"/>
      <w:r>
        <w:rPr>
          <w:b/>
          <w:bCs/>
        </w:rPr>
        <w:t>Table</w:t>
      </w:r>
      <w:proofErr w:type="spellEnd"/>
      <w:r>
        <w:rPr>
          <w:b/>
          <w:bCs/>
        </w:rPr>
        <w:t xml:space="preserve"> S2. GRADE system</w:t>
      </w:r>
    </w:p>
    <w:bookmarkEnd w:id="0"/>
    <w:p w14:paraId="3729C997" w14:textId="77777777" w:rsidR="00885CFE" w:rsidRDefault="00885CFE" w:rsidP="00885CFE">
      <w:pPr>
        <w:spacing w:after="0" w:line="240" w:lineRule="auto"/>
        <w:rPr>
          <w:b/>
          <w:bCs/>
        </w:rPr>
      </w:pPr>
      <w:r>
        <w:rPr>
          <w:b/>
          <w:bCs/>
        </w:rPr>
        <w:br w:type="page"/>
      </w:r>
    </w:p>
    <w:p w14:paraId="260A8B95" w14:textId="77777777" w:rsidR="0066217E" w:rsidRDefault="0066217E" w:rsidP="00526496">
      <w:pPr>
        <w:rPr>
          <w:b/>
          <w:bCs/>
          <w:lang w:val="en-US"/>
        </w:rPr>
      </w:pPr>
    </w:p>
    <w:p w14:paraId="786F0E33" w14:textId="77777777" w:rsidR="0066217E" w:rsidRDefault="0066217E">
      <w:pPr>
        <w:rPr>
          <w:b/>
          <w:bCs/>
          <w:lang w:val="en-US"/>
        </w:rPr>
      </w:pPr>
      <w:r>
        <w:rPr>
          <w:b/>
          <w:bCs/>
          <w:lang w:val="en-US"/>
        </w:rPr>
        <w:br w:type="page"/>
      </w:r>
    </w:p>
    <w:p w14:paraId="3941CF63" w14:textId="66B993FC" w:rsidR="0066217E" w:rsidRPr="00885CFE" w:rsidRDefault="0066217E" w:rsidP="00526496">
      <w:pPr>
        <w:rPr>
          <w:b/>
          <w:bCs/>
          <w:lang w:val="fr-FR"/>
        </w:rPr>
      </w:pPr>
      <w:proofErr w:type="spellStart"/>
      <w:r w:rsidRPr="00885CFE">
        <w:rPr>
          <w:b/>
          <w:bCs/>
          <w:lang w:val="fr-FR"/>
        </w:rPr>
        <w:lastRenderedPageBreak/>
        <w:t>Refences</w:t>
      </w:r>
      <w:proofErr w:type="spellEnd"/>
      <w:r w:rsidRPr="00885CFE">
        <w:rPr>
          <w:b/>
          <w:bCs/>
          <w:lang w:val="fr-FR"/>
        </w:rPr>
        <w:t xml:space="preserve"> </w:t>
      </w:r>
    </w:p>
    <w:p w14:paraId="5AC5A210" w14:textId="77777777" w:rsidR="00885CFE" w:rsidRPr="00885CFE" w:rsidRDefault="0066217E" w:rsidP="00885CFE">
      <w:pPr>
        <w:pStyle w:val="EndNoteBibliography"/>
        <w:spacing w:after="0"/>
        <w:ind w:left="720" w:hanging="720"/>
      </w:pPr>
      <w:r>
        <w:fldChar w:fldCharType="begin"/>
      </w:r>
      <w:r w:rsidRPr="00885CFE">
        <w:rPr>
          <w:lang w:val="fr-FR"/>
        </w:rPr>
        <w:instrText xml:space="preserve"> ADDIN EN.REFLIST </w:instrText>
      </w:r>
      <w:r>
        <w:fldChar w:fldCharType="separate"/>
      </w:r>
      <w:r w:rsidR="00885CFE" w:rsidRPr="00885CFE">
        <w:t xml:space="preserve">1. Ries T, Buhk J-H, Kucinski T, et al. Intravenous Administration of Acetylsalicylic Acid During Endovascular Treatment of Cerebral Aneurysms Reduces the Rate of Thromboembolic Events. </w:t>
      </w:r>
      <w:r w:rsidR="00885CFE" w:rsidRPr="00885CFE">
        <w:rPr>
          <w:i/>
        </w:rPr>
        <w:t>Stroke</w:t>
      </w:r>
      <w:r w:rsidR="00885CFE" w:rsidRPr="00885CFE">
        <w:t xml:space="preserve"> 2006;37(7):1816-21. doi: 10.1161/01.STR.0000226933.44962.a6</w:t>
      </w:r>
    </w:p>
    <w:p w14:paraId="408D7878" w14:textId="775CB3C1" w:rsidR="00885CFE" w:rsidRPr="00885CFE" w:rsidRDefault="00885CFE" w:rsidP="00885CFE">
      <w:pPr>
        <w:pStyle w:val="EndNoteBibliography"/>
        <w:spacing w:after="0"/>
        <w:ind w:left="720" w:hanging="720"/>
      </w:pPr>
      <w:r w:rsidRPr="00885CFE">
        <w:t xml:space="preserve">2. Edwards NJ, Jones WH, Sanzgiri A, et al. Antiplatelet therapy for the prevention of peri-coiling thromboembolism in high-risk patients with ruptured intracranial aneurysms. </w:t>
      </w:r>
      <w:r w:rsidRPr="00885CFE">
        <w:rPr>
          <w:i/>
        </w:rPr>
        <w:t>Journal of neurosurgery</w:t>
      </w:r>
      <w:r w:rsidRPr="00885CFE">
        <w:t xml:space="preserve"> 2017;127(6):1326-32. doi: </w:t>
      </w:r>
      <w:hyperlink r:id="rId4" w:history="1">
        <w:r w:rsidRPr="00885CFE">
          <w:rPr>
            <w:rStyle w:val="Collegamentoipertestuale"/>
          </w:rPr>
          <w:t>https://doi.org/10.3171/2016.9.JNS161340</w:t>
        </w:r>
      </w:hyperlink>
    </w:p>
    <w:p w14:paraId="6032EBFF" w14:textId="77777777" w:rsidR="00885CFE" w:rsidRPr="00885CFE" w:rsidRDefault="00885CFE" w:rsidP="00885CFE">
      <w:pPr>
        <w:pStyle w:val="EndNoteBibliography"/>
        <w:spacing w:after="0"/>
        <w:ind w:left="720" w:hanging="720"/>
      </w:pPr>
      <w:r w:rsidRPr="00885CFE">
        <w:t xml:space="preserve">3. Bürkle F, Weyland CS, Hasan D, et al. Propensity score-adjusted analysis on early tirofiban administration to prevent thromboembolic complications during stand-alone coil embolization of ruptured aneurysms. </w:t>
      </w:r>
      <w:r w:rsidRPr="00885CFE">
        <w:rPr>
          <w:i/>
        </w:rPr>
        <w:t>Scientific Reports</w:t>
      </w:r>
      <w:r w:rsidRPr="00885CFE">
        <w:t xml:space="preserve"> 2024;14(1):26350. doi: 10.1038/s41598-024-77354-1</w:t>
      </w:r>
    </w:p>
    <w:p w14:paraId="1158887A" w14:textId="71DDA0C7" w:rsidR="00885CFE" w:rsidRPr="00885CFE" w:rsidRDefault="00885CFE" w:rsidP="00885CFE">
      <w:pPr>
        <w:pStyle w:val="EndNoteBibliography"/>
        <w:spacing w:after="0"/>
        <w:ind w:left="720" w:hanging="720"/>
      </w:pPr>
      <w:r w:rsidRPr="00885CFE">
        <w:t xml:space="preserve">4. Shimamura N, Naraoka M, Matsuda N, et al. Use of Preprocedural, Multiple Antiplatelet Medications for Coil Embolization of Ruptured Cerebral Aneurysm in the Acute Stage Improved Clinical Outcome and Reduced Thromboembolic Complications without Hemorrhagic Complications. </w:t>
      </w:r>
      <w:r w:rsidRPr="00885CFE">
        <w:rPr>
          <w:i/>
        </w:rPr>
        <w:t>World Neurosurgery</w:t>
      </w:r>
      <w:r w:rsidRPr="00885CFE">
        <w:t xml:space="preserve"> 2020;133:e751-e56. doi: </w:t>
      </w:r>
      <w:hyperlink r:id="rId5" w:history="1">
        <w:r w:rsidRPr="00885CFE">
          <w:rPr>
            <w:rStyle w:val="Collegamentoipertestuale"/>
          </w:rPr>
          <w:t>https://doi.org/10.1016/j.wneu.2019.09.149</w:t>
        </w:r>
      </w:hyperlink>
    </w:p>
    <w:p w14:paraId="4959FCFE" w14:textId="77777777" w:rsidR="00885CFE" w:rsidRPr="00885CFE" w:rsidRDefault="00885CFE" w:rsidP="00885CFE">
      <w:pPr>
        <w:pStyle w:val="EndNoteBibliography"/>
        <w:ind w:left="720" w:hanging="720"/>
      </w:pPr>
      <w:r w:rsidRPr="00885CFE">
        <w:t xml:space="preserve">5. Muraoka K, Sato Y, Hosomoto K, et al. Effectiveness of antiplatelet drug loading before acute-phase coil embolization of ruptured cerebral aneurysms. </w:t>
      </w:r>
      <w:r w:rsidRPr="00885CFE">
        <w:rPr>
          <w:i/>
        </w:rPr>
        <w:t>Journal of Neuroendovascular Therapy</w:t>
      </w:r>
      <w:r w:rsidRPr="00885CFE">
        <w:t xml:space="preserve"> 2018;12(2):75-80.</w:t>
      </w:r>
    </w:p>
    <w:p w14:paraId="21D36E21" w14:textId="04C9B60E" w:rsidR="00526496" w:rsidRPr="00526496" w:rsidRDefault="0066217E" w:rsidP="00526496">
      <w:pPr>
        <w:rPr>
          <w:lang w:val="en-US"/>
        </w:rPr>
      </w:pPr>
      <w:r>
        <w:rPr>
          <w:lang w:val="en-US"/>
        </w:rPr>
        <w:fldChar w:fldCharType="end"/>
      </w:r>
    </w:p>
    <w:sectPr w:rsidR="00526496" w:rsidRPr="00526496" w:rsidSect="00526496">
      <w:pgSz w:w="16838" w:h="11906" w:orient="landscape"/>
      <w:pgMar w:top="1134" w:right="1417"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BMJ&lt;/Style&gt;&lt;LeftDelim&gt;{&lt;/LeftDelim&gt;&lt;RightDelim&gt;}&lt;/RightDelim&gt;&lt;FontName&gt;Aptos&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fzs292e69zr5sevra6x0r02s2e59es909se&quot;&gt;New library&lt;record-ids&gt;&lt;item&gt;249&lt;/item&gt;&lt;item&gt;250&lt;/item&gt;&lt;item&gt;251&lt;/item&gt;&lt;item&gt;265&lt;/item&gt;&lt;item&gt;267&lt;/item&gt;&lt;/record-ids&gt;&lt;/item&gt;&lt;/Libraries&gt;"/>
  </w:docVars>
  <w:rsids>
    <w:rsidRoot w:val="00D20CDC"/>
    <w:rsid w:val="002435AE"/>
    <w:rsid w:val="00270BEA"/>
    <w:rsid w:val="00526496"/>
    <w:rsid w:val="0066217E"/>
    <w:rsid w:val="006647DB"/>
    <w:rsid w:val="00885CFE"/>
    <w:rsid w:val="00A05EEF"/>
    <w:rsid w:val="00AA1419"/>
    <w:rsid w:val="00B10349"/>
    <w:rsid w:val="00BC71C6"/>
    <w:rsid w:val="00D20CDC"/>
    <w:rsid w:val="00E6585B"/>
    <w:rsid w:val="00F262A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C9B16"/>
  <w15:chartTrackingRefBased/>
  <w15:docId w15:val="{DFB5DE5D-FE95-43DA-BBEE-5B1C1CBAC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D20CD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D20CD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D20CDC"/>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D20CDC"/>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D20CDC"/>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D20CDC"/>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D20CDC"/>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D20CDC"/>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D20CDC"/>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D20CDC"/>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D20CDC"/>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D20CDC"/>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D20CDC"/>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D20CDC"/>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D20CDC"/>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D20CDC"/>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D20CDC"/>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D20CDC"/>
    <w:rPr>
      <w:rFonts w:eastAsiaTheme="majorEastAsia" w:cstheme="majorBidi"/>
      <w:color w:val="272727" w:themeColor="text1" w:themeTint="D8"/>
    </w:rPr>
  </w:style>
  <w:style w:type="paragraph" w:styleId="Titolo">
    <w:name w:val="Title"/>
    <w:basedOn w:val="Normale"/>
    <w:next w:val="Normale"/>
    <w:link w:val="TitoloCarattere"/>
    <w:uiPriority w:val="10"/>
    <w:qFormat/>
    <w:rsid w:val="00D20CD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D20CDC"/>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D20CDC"/>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D20CDC"/>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D20CDC"/>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D20CDC"/>
    <w:rPr>
      <w:i/>
      <w:iCs/>
      <w:color w:val="404040" w:themeColor="text1" w:themeTint="BF"/>
    </w:rPr>
  </w:style>
  <w:style w:type="paragraph" w:styleId="Paragrafoelenco">
    <w:name w:val="List Paragraph"/>
    <w:basedOn w:val="Normale"/>
    <w:uiPriority w:val="34"/>
    <w:qFormat/>
    <w:rsid w:val="00D20CDC"/>
    <w:pPr>
      <w:ind w:left="720"/>
      <w:contextualSpacing/>
    </w:pPr>
  </w:style>
  <w:style w:type="character" w:styleId="Enfasiintensa">
    <w:name w:val="Intense Emphasis"/>
    <w:basedOn w:val="Carpredefinitoparagrafo"/>
    <w:uiPriority w:val="21"/>
    <w:qFormat/>
    <w:rsid w:val="00D20CDC"/>
    <w:rPr>
      <w:i/>
      <w:iCs/>
      <w:color w:val="0F4761" w:themeColor="accent1" w:themeShade="BF"/>
    </w:rPr>
  </w:style>
  <w:style w:type="paragraph" w:styleId="Citazioneintensa">
    <w:name w:val="Intense Quote"/>
    <w:basedOn w:val="Normale"/>
    <w:next w:val="Normale"/>
    <w:link w:val="CitazioneintensaCarattere"/>
    <w:uiPriority w:val="30"/>
    <w:qFormat/>
    <w:rsid w:val="00D20CD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D20CDC"/>
    <w:rPr>
      <w:i/>
      <w:iCs/>
      <w:color w:val="0F4761" w:themeColor="accent1" w:themeShade="BF"/>
    </w:rPr>
  </w:style>
  <w:style w:type="character" w:styleId="Riferimentointenso">
    <w:name w:val="Intense Reference"/>
    <w:basedOn w:val="Carpredefinitoparagrafo"/>
    <w:uiPriority w:val="32"/>
    <w:qFormat/>
    <w:rsid w:val="00D20CDC"/>
    <w:rPr>
      <w:b/>
      <w:bCs/>
      <w:smallCaps/>
      <w:color w:val="0F4761" w:themeColor="accent1" w:themeShade="BF"/>
      <w:spacing w:val="5"/>
    </w:rPr>
  </w:style>
  <w:style w:type="table" w:styleId="Tabellagriglia5scura-colore1">
    <w:name w:val="Grid Table 5 Dark Accent 1"/>
    <w:basedOn w:val="Tabellanormale"/>
    <w:uiPriority w:val="50"/>
    <w:rsid w:val="00526496"/>
    <w:pPr>
      <w:spacing w:after="0" w:line="240" w:lineRule="auto"/>
    </w:pPr>
    <w:rPr>
      <w:kern w:val="0"/>
      <w:lang w:val="en-GB"/>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paragraph" w:customStyle="1" w:styleId="EndNoteBibliographyTitle">
    <w:name w:val="EndNote Bibliography Title"/>
    <w:basedOn w:val="Normale"/>
    <w:link w:val="EndNoteBibliographyTitleCarattere"/>
    <w:rsid w:val="0066217E"/>
    <w:pPr>
      <w:spacing w:after="0"/>
      <w:jc w:val="center"/>
    </w:pPr>
    <w:rPr>
      <w:rFonts w:ascii="Aptos" w:hAnsi="Aptos"/>
      <w:noProof/>
      <w:lang w:val="en-US"/>
    </w:rPr>
  </w:style>
  <w:style w:type="character" w:customStyle="1" w:styleId="EndNoteBibliographyTitleCarattere">
    <w:name w:val="EndNote Bibliography Title Carattere"/>
    <w:basedOn w:val="Carpredefinitoparagrafo"/>
    <w:link w:val="EndNoteBibliographyTitle"/>
    <w:rsid w:val="0066217E"/>
    <w:rPr>
      <w:rFonts w:ascii="Aptos" w:hAnsi="Aptos"/>
      <w:noProof/>
      <w:lang w:val="en-US"/>
    </w:rPr>
  </w:style>
  <w:style w:type="paragraph" w:customStyle="1" w:styleId="EndNoteBibliography">
    <w:name w:val="EndNote Bibliography"/>
    <w:basedOn w:val="Normale"/>
    <w:link w:val="EndNoteBibliographyCarattere"/>
    <w:rsid w:val="0066217E"/>
    <w:pPr>
      <w:spacing w:line="240" w:lineRule="auto"/>
    </w:pPr>
    <w:rPr>
      <w:rFonts w:ascii="Aptos" w:hAnsi="Aptos"/>
      <w:noProof/>
      <w:lang w:val="en-US"/>
    </w:rPr>
  </w:style>
  <w:style w:type="character" w:customStyle="1" w:styleId="EndNoteBibliographyCarattere">
    <w:name w:val="EndNote Bibliography Carattere"/>
    <w:basedOn w:val="Carpredefinitoparagrafo"/>
    <w:link w:val="EndNoteBibliography"/>
    <w:rsid w:val="0066217E"/>
    <w:rPr>
      <w:rFonts w:ascii="Aptos" w:hAnsi="Aptos"/>
      <w:noProof/>
      <w:lang w:val="en-US"/>
    </w:rPr>
  </w:style>
  <w:style w:type="character" w:styleId="Collegamentoipertestuale">
    <w:name w:val="Hyperlink"/>
    <w:basedOn w:val="Carpredefinitoparagrafo"/>
    <w:uiPriority w:val="99"/>
    <w:unhideWhenUsed/>
    <w:rsid w:val="0066217E"/>
    <w:rPr>
      <w:color w:val="467886" w:themeColor="hyperlink"/>
      <w:u w:val="single"/>
    </w:rPr>
  </w:style>
  <w:style w:type="character" w:styleId="Menzionenonrisolta">
    <w:name w:val="Unresolved Mention"/>
    <w:basedOn w:val="Carpredefinitoparagrafo"/>
    <w:uiPriority w:val="99"/>
    <w:semiHidden/>
    <w:unhideWhenUsed/>
    <w:rsid w:val="0066217E"/>
    <w:rPr>
      <w:color w:val="605E5C"/>
      <w:shd w:val="clear" w:color="auto" w:fill="E1DFDD"/>
    </w:rPr>
  </w:style>
  <w:style w:type="table" w:styleId="Grigliatabella">
    <w:name w:val="Table Grid"/>
    <w:basedOn w:val="Tabellanormale"/>
    <w:uiPriority w:val="39"/>
    <w:rsid w:val="00885CFE"/>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doi.org/10.1016/j.wneu.2019.09.149" TargetMode="External"/><Relationship Id="rId4" Type="http://schemas.openxmlformats.org/officeDocument/2006/relationships/hyperlink" Target="https://doi.org/10.3171/2016.9.JNS161340"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1942</Words>
  <Characters>11073</Characters>
  <Application>Microsoft Office Word</Application>
  <DocSecurity>0</DocSecurity>
  <Lines>92</Lines>
  <Paragraphs>25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12990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Gianluca De Rubeis</dc:creator>
  <cp:keywords/>
  <dc:description/>
  <cp:lastModifiedBy>Gianluca De Rubeis</cp:lastModifiedBy>
  <cp:revision>5</cp:revision>
  <dcterms:created xsi:type="dcterms:W3CDTF">2025-10-17T13:57:00Z</dcterms:created>
  <dcterms:modified xsi:type="dcterms:W3CDTF">2025-10-23T20:01:00Z</dcterms:modified>
</cp:coreProperties>
</file>