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DCA" w:rsidRDefault="00B86DCA" w:rsidP="007206AC">
      <w:bookmarkStart w:id="0" w:name="_GoBack"/>
    </w:p>
    <w:p w:rsidR="00B86DCA" w:rsidRDefault="00767371" w:rsidP="007206AC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</w:pPr>
      <w:r>
        <w:t>Table 1. Baseline Demographic and Educational Characteristic</w:t>
      </w:r>
      <w:r w:rsidR="00A36CB1">
        <w:t>s of Medical Students by Major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2413"/>
        <w:gridCol w:w="1061"/>
        <w:gridCol w:w="1475"/>
        <w:gridCol w:w="1045"/>
        <w:gridCol w:w="1268"/>
        <w:gridCol w:w="1863"/>
        <w:gridCol w:w="1268"/>
        <w:gridCol w:w="1789"/>
        <w:gridCol w:w="867"/>
        <w:gridCol w:w="955"/>
      </w:tblGrid>
      <w:tr w:rsidR="00B86DCA">
        <w:trPr>
          <w:tblHeader/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Baseline Characteristics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Overall 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br/>
              <w:t>N = 544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Clinical Medicine 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br/>
              <w:t>N = 225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Nursing 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br/>
              <w:t>N = 4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Pharmacy 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br/>
              <w:t>N = 213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Anesthesiology 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br/>
              <w:t>N = 8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Pediatrics 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br/>
              <w:t>N = 30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Pharmaceutics 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br/>
              <w:t>N = 54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Other 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br/>
              <w:t>N = 10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p-value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86DCA">
        <w:trPr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Gender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B86DCA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202 (37%)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104 (46%)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(25%)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63 (30%)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 (88%)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 (30%)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 (24%)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 (50%)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DCA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342 (63%)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121 (54%)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 (75%)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150 (70%)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(13%)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 (70%)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 (76%)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 (50%)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DCA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Academic Year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B86DCA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Sophomore (Year 2)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63 (12%)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 (1.3%)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(25%)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 (11%)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(13%)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 (61%)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 (20%)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DCA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Junior (Year 3)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383 (70%)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149 (66%)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 (50%)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177 (83%)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 (38%)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 (97%)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 (39%)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 (20%)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DCA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Senior (Year 4)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73 (13%)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59 (26%)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 (4.7%)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 (38%)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(10%)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DCA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Year 5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 (0.4%)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 (0.9%)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DCA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 (4.2%)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 (5.3%)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(25%)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 (1.4%)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(13%)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(3.3%)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 (50%)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DCA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First Choice of Major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334 (61%)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184 (82%)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 (50%)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99 (46%)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 (63%)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 (30%)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 (56%)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 (50%)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B86DCA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Academic Performance Rank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0.892</w:t>
            </w:r>
          </w:p>
        </w:tc>
      </w:tr>
      <w:tr w:rsidR="00B86DCA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Top 20%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144 (26%)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 (28%)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 (25%)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(13%)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 (37%)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 (22%)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 (20%)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DCA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21-50%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210 (39%)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86 (38%)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 (50%)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84 (39%)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 (38%)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 (33%)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 (35%)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 (60%)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DCA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51-80%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158 (29%)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62 (28%)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(25%)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62 (29%)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 (38%)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 (27%)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 (37%)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 (20%)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DCA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Bottom 20%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 (5.9%)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 (5.8%)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(25%)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 (6.1%)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(13%)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(3.3%)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 (5.6%)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DCA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Early Clinical Experience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B86DCA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243 (45%)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 (16%)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(25%)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140 (66%)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 (50%)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 (13%)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 (94%)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 (60%)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DCA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 1 Month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180 (33%)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110 (49%)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 (50%)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 (20%)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(13%)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 (67%)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 (3.7%)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 (20%)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DCA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1-3 Months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82 (15%)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 (22%)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 (11%)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(13%)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 (17%)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(1.9%)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 (20%)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DCA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&gt; 3 Months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 (7.2%)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 (13%)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(25%)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 (2.8%)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 (25%)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(3.3%)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DCA" w:rsidRDefault="00B86DCA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DCA">
        <w:trPr>
          <w:jc w:val="center"/>
        </w:trPr>
        <w:tc>
          <w:tcPr>
            <w:tcW w:w="0" w:type="auto"/>
            <w:gridSpan w:val="10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DCA" w:rsidRDefault="00767371" w:rsidP="007206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Data are presented as n (%). P-values were calculated using Fisher's exact test with Monte Carlo simulation (10,000 replicates) due to complex contingency tables.</w:t>
            </w:r>
          </w:p>
        </w:tc>
      </w:tr>
      <w:bookmarkEnd w:id="0"/>
    </w:tbl>
    <w:p w:rsidR="00767371" w:rsidRDefault="00767371" w:rsidP="007206AC"/>
    <w:sectPr w:rsidR="00767371" w:rsidSect="00A37BDC">
      <w:type w:val="continuous"/>
      <w:pgSz w:w="16838" w:h="11906" w:orient="landscape"/>
      <w:pgMar w:top="1417" w:right="1417" w:bottom="1417" w:left="1417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CA"/>
    <w:rsid w:val="001D0DC5"/>
    <w:rsid w:val="00397F6E"/>
    <w:rsid w:val="00500304"/>
    <w:rsid w:val="007206AC"/>
    <w:rsid w:val="00767371"/>
    <w:rsid w:val="00775089"/>
    <w:rsid w:val="00A36CB1"/>
    <w:rsid w:val="00A37BDC"/>
    <w:rsid w:val="00A37F58"/>
    <w:rsid w:val="00B86DCA"/>
    <w:rsid w:val="00EA3F7F"/>
    <w:rsid w:val="00FA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A474"/>
  <w15:docId w15:val="{848FDA8E-C4BE-4444-86CA-945E3138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12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19</cp:revision>
  <dcterms:created xsi:type="dcterms:W3CDTF">2017-02-28T11:18:00Z</dcterms:created>
  <dcterms:modified xsi:type="dcterms:W3CDTF">2026-04-08T07:36:00Z</dcterms:modified>
  <cp:category/>
</cp:coreProperties>
</file>