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A4E" w:rsidRDefault="001A7A4E">
      <w:bookmarkStart w:id="0" w:name="_GoBack"/>
    </w:p>
    <w:p w:rsidR="001A7A4E" w:rsidRDefault="00585FBF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</w:pPr>
      <w:r>
        <w:t xml:space="preserve">Table </w:t>
      </w:r>
      <w:r w:rsidR="001A025B">
        <w:t>S</w:t>
      </w:r>
      <w:r w:rsidR="006648F1">
        <w:t>1</w:t>
      </w:r>
      <w:r>
        <w:t>. Descriptive Statistics and Normality Tests of Core Latent Variables</w:t>
      </w:r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3054"/>
        <w:gridCol w:w="792"/>
        <w:gridCol w:w="1063"/>
        <w:gridCol w:w="877"/>
        <w:gridCol w:w="1763"/>
        <w:gridCol w:w="1523"/>
      </w:tblGrid>
      <w:tr w:rsidR="001A7A4E">
        <w:trPr>
          <w:tblHeader/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Variables / Dimensions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SD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Skewness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Kurtosis</w:t>
            </w:r>
          </w:p>
        </w:tc>
      </w:tr>
      <w:tr w:rsidR="001A7A4E">
        <w:trPr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Self-Awareness (SEA)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4.06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-0.709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1.164</w:t>
            </w:r>
          </w:p>
        </w:tc>
      </w:tr>
      <w:tr w:rsidR="001A7A4E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Empathy (OEA)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3.75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-0.394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0.644</w:t>
            </w:r>
          </w:p>
        </w:tc>
      </w:tr>
      <w:tr w:rsidR="001A7A4E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Emotion Use (UOE)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3.68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0.80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-0.222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0.167</w:t>
            </w:r>
          </w:p>
        </w:tc>
      </w:tr>
      <w:tr w:rsidR="001A7A4E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Emotion Regulation (ROE)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3.65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0.81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-0.207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0.099</w:t>
            </w:r>
          </w:p>
        </w:tc>
      </w:tr>
      <w:tr w:rsidR="001A7A4E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Emotional Intelligence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3.78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0.65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-0.317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1.113</w:t>
            </w:r>
          </w:p>
        </w:tc>
      </w:tr>
      <w:tr w:rsidR="001A7A4E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Medical Provider SE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3.39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0.91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-0.237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0.155</w:t>
            </w:r>
          </w:p>
        </w:tc>
      </w:tr>
      <w:tr w:rsidR="001A7A4E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Health Promoter SE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3.56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-0.344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0.522</w:t>
            </w:r>
          </w:p>
        </w:tc>
      </w:tr>
      <w:tr w:rsidR="001A7A4E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Team Member SE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3.54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0.83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-0.212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0.522</w:t>
            </w:r>
          </w:p>
        </w:tc>
      </w:tr>
      <w:tr w:rsidR="001A7A4E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Self-Efficacy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3.50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-0.198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0.541</w:t>
            </w:r>
          </w:p>
        </w:tc>
      </w:tr>
      <w:tr w:rsidR="001A7A4E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Error Anxiety (ES)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3.27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0.91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-0.205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0.031</w:t>
            </w:r>
          </w:p>
        </w:tc>
      </w:tr>
      <w:tr w:rsidR="001A7A4E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Conflict Anxiety (DP)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3.28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0.91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-0.180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0.061</w:t>
            </w:r>
          </w:p>
        </w:tc>
      </w:tr>
      <w:tr w:rsidR="001A7A4E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High-Pressure Anxiety (HP)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3.27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0.91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-0.189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0.034</w:t>
            </w:r>
          </w:p>
        </w:tc>
      </w:tr>
      <w:tr w:rsidR="001A7A4E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Occupational Anxiety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544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3.28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0.86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-0.229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0.276</w:t>
            </w:r>
          </w:p>
        </w:tc>
      </w:tr>
      <w:tr w:rsidR="001A7A4E">
        <w:trPr>
          <w:jc w:val="center"/>
        </w:trPr>
        <w:tc>
          <w:tcPr>
            <w:tcW w:w="0" w:type="auto"/>
            <w:gridSpan w:val="6"/>
            <w:tcBorders>
              <w:top w:val="single" w:sz="12" w:space="0" w:color="66666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A4E" w:rsidRDefault="00585F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SD = Standard Deviation. Skewness values between -3.0 and +3.0, and kurtosis values between -10.0 and +10.0 indicate acceptable univariate normality, meeting the fundamental assumptions for Maximum Likelihood (ML) estimation in Structural Equation Modeling (SEM).</w:t>
            </w:r>
          </w:p>
        </w:tc>
      </w:tr>
      <w:bookmarkEnd w:id="0"/>
    </w:tbl>
    <w:p w:rsidR="00585FBF" w:rsidRDefault="00585FBF"/>
    <w:sectPr w:rsidR="00585FBF">
      <w:type w:val="continuous"/>
      <w:pgSz w:w="11906" w:h="16838"/>
      <w:pgMar w:top="1417" w:right="1417" w:bottom="141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A4E"/>
    <w:rsid w:val="001A025B"/>
    <w:rsid w:val="001A7A4E"/>
    <w:rsid w:val="00585FBF"/>
    <w:rsid w:val="0066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4C3E7"/>
  <w15:docId w15:val="{87BF7E0C-1119-4B24-BF1D-1C16DE89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12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11</cp:revision>
  <dcterms:created xsi:type="dcterms:W3CDTF">2017-02-28T11:18:00Z</dcterms:created>
  <dcterms:modified xsi:type="dcterms:W3CDTF">2026-04-08T06:35:00Z</dcterms:modified>
  <cp:category/>
</cp:coreProperties>
</file>