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A111" w14:textId="2E695FC7" w:rsidR="0032437F" w:rsidRPr="0032437F" w:rsidRDefault="0032437F" w:rsidP="009D7D6D">
      <w:pPr>
        <w:rPr>
          <w:rFonts w:cstheme="minorHAnsi"/>
          <w:spacing w:val="-10"/>
          <w:sz w:val="36"/>
          <w:szCs w:val="36"/>
        </w:rPr>
      </w:pPr>
      <w:r w:rsidRPr="0032437F">
        <w:rPr>
          <w:rFonts w:cstheme="minorHAnsi"/>
          <w:spacing w:val="-10"/>
          <w:sz w:val="36"/>
          <w:szCs w:val="36"/>
        </w:rPr>
        <w:t>Cross-national expertise sharing in child and adolescent psychiatry: a scoping review</w:t>
      </w:r>
    </w:p>
    <w:p w14:paraId="1CAEE30F" w14:textId="786E9E7D" w:rsidR="00C35CE0" w:rsidRPr="00CE7599" w:rsidRDefault="00DF16D8">
      <w:pPr>
        <w:pStyle w:val="Kop1"/>
        <w:rPr>
          <w:rFonts w:asciiTheme="minorHAnsi" w:hAnsiTheme="minorHAnsi" w:cstheme="minorHAnsi"/>
        </w:rPr>
      </w:pPr>
      <w:r w:rsidRPr="00CE7599">
        <w:rPr>
          <w:rFonts w:asciiTheme="minorHAnsi" w:hAnsiTheme="minorHAnsi" w:cstheme="minorHAnsi"/>
        </w:rPr>
        <w:t>Authors</w:t>
      </w:r>
      <w:r w:rsidR="00F1458A">
        <w:rPr>
          <w:rFonts w:asciiTheme="minorHAnsi" w:hAnsiTheme="minorHAnsi" w:cstheme="minorHAnsi"/>
        </w:rPr>
        <w:tab/>
      </w:r>
    </w:p>
    <w:p w14:paraId="1A21051E" w14:textId="6D15DBCA" w:rsidR="00530387" w:rsidRPr="00530387" w:rsidRDefault="00530387" w:rsidP="009D7D6D">
      <w:pPr>
        <w:rPr>
          <w:rFonts w:cstheme="minorHAnsi"/>
          <w:color w:val="000000"/>
        </w:rPr>
      </w:pPr>
      <w:r w:rsidRPr="00530387">
        <w:rPr>
          <w:rFonts w:cstheme="minorHAnsi"/>
          <w:color w:val="000000"/>
        </w:rPr>
        <w:t xml:space="preserve">Bas T.H. de Veen1,3, </w:t>
      </w:r>
      <w:r>
        <w:rPr>
          <w:rFonts w:cstheme="minorHAnsi"/>
          <w:color w:val="000000"/>
        </w:rPr>
        <w:t xml:space="preserve">Katrin Bringmann3, </w:t>
      </w:r>
      <w:r w:rsidRPr="00530387">
        <w:rPr>
          <w:rFonts w:cstheme="minorHAnsi"/>
          <w:color w:val="000000"/>
        </w:rPr>
        <w:t xml:space="preserve">Pierre C.M. Herpers2, Martine van Dongen-Boomsma3,  </w:t>
      </w:r>
      <w:proofErr w:type="spellStart"/>
      <w:r w:rsidRPr="00530387">
        <w:rPr>
          <w:rFonts w:cstheme="minorHAnsi"/>
          <w:color w:val="000000"/>
        </w:rPr>
        <w:t>Wouter</w:t>
      </w:r>
      <w:proofErr w:type="spellEnd"/>
      <w:r w:rsidRPr="00530387">
        <w:rPr>
          <w:rFonts w:cstheme="minorHAnsi"/>
          <w:color w:val="000000"/>
        </w:rPr>
        <w:t xml:space="preserve"> G. Staal3, Ron H.J. Scholte1, Peter Deschamps3</w:t>
      </w:r>
    </w:p>
    <w:p w14:paraId="4A7D8A81" w14:textId="5B16EEB5" w:rsidR="00530387" w:rsidRDefault="00530387" w:rsidP="009D7D6D">
      <w:pPr>
        <w:rPr>
          <w:rFonts w:cstheme="minorHAnsi"/>
          <w:color w:val="000000"/>
        </w:rPr>
      </w:pPr>
      <w:r w:rsidRPr="00530387">
        <w:rPr>
          <w:rFonts w:cstheme="minorHAnsi"/>
          <w:color w:val="000000"/>
        </w:rPr>
        <w:t>1 Radboud University, Behavioural Science Institute, Nijmegen, Netherlands</w:t>
      </w:r>
      <w:r>
        <w:rPr>
          <w:rFonts w:cstheme="minorHAnsi"/>
          <w:color w:val="000000"/>
        </w:rPr>
        <w:br/>
      </w:r>
      <w:r w:rsidRPr="00530387">
        <w:rPr>
          <w:rFonts w:cstheme="minorHAnsi"/>
          <w:color w:val="000000"/>
        </w:rPr>
        <w:t>2 GGZ Oost Brabant, Oss, Netherlands</w:t>
      </w:r>
      <w:r>
        <w:rPr>
          <w:rFonts w:cstheme="minorHAnsi"/>
          <w:color w:val="000000"/>
        </w:rPr>
        <w:br/>
      </w:r>
      <w:r w:rsidRPr="00530387">
        <w:rPr>
          <w:rFonts w:cstheme="minorHAnsi"/>
          <w:color w:val="000000"/>
        </w:rPr>
        <w:t xml:space="preserve">3 </w:t>
      </w:r>
      <w:proofErr w:type="spellStart"/>
      <w:r w:rsidRPr="00530387">
        <w:rPr>
          <w:rFonts w:cstheme="minorHAnsi"/>
          <w:color w:val="000000"/>
        </w:rPr>
        <w:t>Karakter</w:t>
      </w:r>
      <w:proofErr w:type="spellEnd"/>
      <w:r w:rsidRPr="00530387">
        <w:rPr>
          <w:rFonts w:cstheme="minorHAnsi"/>
          <w:color w:val="000000"/>
        </w:rPr>
        <w:t>, Child and Adolescent Psychiatry, Nijmegen, Netherlands</w:t>
      </w:r>
    </w:p>
    <w:p w14:paraId="2C008644" w14:textId="01984AE3" w:rsidR="00C35CE0" w:rsidRPr="00CE7599" w:rsidRDefault="00DF16D8" w:rsidP="00530387">
      <w:pPr>
        <w:pStyle w:val="Kop1"/>
        <w:rPr>
          <w:rFonts w:asciiTheme="minorHAnsi" w:hAnsiTheme="minorHAnsi" w:cstheme="minorHAnsi"/>
        </w:rPr>
      </w:pPr>
      <w:r w:rsidRPr="00CE7599">
        <w:rPr>
          <w:rFonts w:asciiTheme="minorHAnsi" w:hAnsiTheme="minorHAnsi" w:cstheme="minorHAnsi"/>
        </w:rPr>
        <w:t>Abstract</w:t>
      </w:r>
    </w:p>
    <w:p w14:paraId="2B2BA091" w14:textId="77777777" w:rsidR="00C35CE0" w:rsidRPr="00CE7599" w:rsidRDefault="00DF16D8">
      <w:pPr>
        <w:spacing w:beforeAutospacing="1" w:afterAutospacing="1"/>
        <w:rPr>
          <w:rFonts w:cstheme="minorHAnsi"/>
        </w:rPr>
      </w:pPr>
      <w:r w:rsidRPr="00CE7599">
        <w:rPr>
          <w:rFonts w:cstheme="minorHAnsi"/>
          <w:color w:val="000000"/>
        </w:rPr>
        <w:t>(Maximum - 250 words for Protocols/500 words for Reviews)</w:t>
      </w:r>
    </w:p>
    <w:p w14:paraId="0D2AF1D3" w14:textId="2E7F719E" w:rsidR="006B34A3" w:rsidRPr="00CE7599" w:rsidRDefault="006B34A3" w:rsidP="006B34A3">
      <w:pPr>
        <w:spacing w:beforeAutospacing="1" w:afterAutospacing="1"/>
        <w:rPr>
          <w:rFonts w:cstheme="minorHAnsi"/>
          <w:bCs/>
          <w:color w:val="000000"/>
        </w:rPr>
      </w:pPr>
      <w:r w:rsidRPr="00CE7599">
        <w:rPr>
          <w:rFonts w:cstheme="minorHAnsi"/>
          <w:bCs/>
          <w:color w:val="000000"/>
        </w:rPr>
        <w:t>Objective - The objective of this scoping review is to map and describe the literature on cross-national expertise sharing in child and adolescent psychiatry, focusing on reported benefits, challenges, and impacts on professional development, clinical practice, and patient care.</w:t>
      </w:r>
    </w:p>
    <w:p w14:paraId="0FF98A2E" w14:textId="547A4EE4" w:rsidR="006B34A3" w:rsidRPr="00CE7599" w:rsidRDefault="006B34A3" w:rsidP="006B34A3">
      <w:pPr>
        <w:spacing w:beforeAutospacing="1" w:afterAutospacing="1"/>
        <w:rPr>
          <w:rFonts w:cstheme="minorHAnsi"/>
          <w:b/>
          <w:color w:val="000000"/>
        </w:rPr>
      </w:pPr>
      <w:r w:rsidRPr="00CE7599">
        <w:rPr>
          <w:rFonts w:cstheme="minorHAnsi"/>
          <w:bCs/>
          <w:color w:val="000000"/>
        </w:rPr>
        <w:t>Introduction - Despite shared diagnostic frameworks and treatment guidelines, clinical practices in child and adolescent psychiatry vary across countries due to differences in health care policies, referral systems, and cultural influences. Cross-national expertise sharing, through exchanges, placements, and collaborations, offers opportunities for professional growth, cultural competence, and enhanced clinical practice. Yet, the extent to which these activities influence practice and patient care has not been systematically reviewed.</w:t>
      </w:r>
    </w:p>
    <w:p w14:paraId="152A19C5" w14:textId="43FFD38B" w:rsidR="006B34A3" w:rsidRPr="00CE7599" w:rsidRDefault="006B34A3" w:rsidP="006B34A3">
      <w:pPr>
        <w:spacing w:beforeAutospacing="1" w:afterAutospacing="1"/>
        <w:rPr>
          <w:rFonts w:cstheme="minorHAnsi"/>
          <w:bCs/>
          <w:color w:val="000000"/>
        </w:rPr>
      </w:pPr>
      <w:r w:rsidRPr="00CE7599">
        <w:rPr>
          <w:rFonts w:cstheme="minorHAnsi"/>
          <w:bCs/>
          <w:color w:val="000000"/>
        </w:rPr>
        <w:t>Inclusion criteria</w:t>
      </w:r>
      <w:r w:rsidRPr="00CE7599">
        <w:rPr>
          <w:rFonts w:cstheme="minorHAnsi"/>
          <w:b/>
          <w:color w:val="000000"/>
        </w:rPr>
        <w:t xml:space="preserve"> - </w:t>
      </w:r>
      <w:r w:rsidRPr="00CE7599">
        <w:rPr>
          <w:rFonts w:cstheme="minorHAnsi"/>
          <w:bCs/>
          <w:color w:val="000000"/>
        </w:rPr>
        <w:t>Eligible sources include empirical studies, reviews, policy reports, and case studies addressing cross-national sharing of knowledge or experience among clinicians, trainees, or multidisciplinary teams in child and adolescent psychiatry (ages 0–18 years). Exchanges may include placements, observerships, reciprocal visits, and collaborative programs. Clinical settings span inpatient, outpatient, community, and school-based services. Studies must report outcomes on professional development, practice, or patient care. Exclusions include purely national programs, opinion pieces without empirical data, and non-CAP populations.</w:t>
      </w:r>
    </w:p>
    <w:p w14:paraId="4AB73C79" w14:textId="065275C8" w:rsidR="006B34A3" w:rsidRPr="00CE7599" w:rsidRDefault="006B34A3" w:rsidP="006B34A3">
      <w:pPr>
        <w:spacing w:beforeAutospacing="1" w:afterAutospacing="1"/>
        <w:rPr>
          <w:rFonts w:cstheme="minorHAnsi"/>
          <w:bCs/>
          <w:color w:val="000000"/>
        </w:rPr>
      </w:pPr>
      <w:r w:rsidRPr="00CE7599">
        <w:rPr>
          <w:rFonts w:cstheme="minorHAnsi"/>
          <w:bCs/>
          <w:color w:val="000000"/>
        </w:rPr>
        <w:t>Methods - Following JBI methodology and PRISMA-</w:t>
      </w:r>
      <w:proofErr w:type="spellStart"/>
      <w:r w:rsidRPr="00CE7599">
        <w:rPr>
          <w:rFonts w:cstheme="minorHAnsi"/>
          <w:bCs/>
          <w:color w:val="000000"/>
        </w:rPr>
        <w:t>ScR</w:t>
      </w:r>
      <w:proofErr w:type="spellEnd"/>
      <w:r w:rsidRPr="00CE7599">
        <w:rPr>
          <w:rFonts w:cstheme="minorHAnsi"/>
          <w:bCs/>
          <w:color w:val="000000"/>
        </w:rPr>
        <w:t xml:space="preserve"> guidance, MEDLINE (via PubMed)</w:t>
      </w:r>
      <w:r w:rsidR="00B01BF0">
        <w:rPr>
          <w:rFonts w:cstheme="minorHAnsi"/>
          <w:bCs/>
          <w:color w:val="000000"/>
        </w:rPr>
        <w:t>,</w:t>
      </w:r>
      <w:r w:rsidRPr="00CE7599">
        <w:rPr>
          <w:rFonts w:cstheme="minorHAnsi"/>
          <w:bCs/>
          <w:color w:val="000000"/>
        </w:rPr>
        <w:t xml:space="preserve"> </w:t>
      </w:r>
      <w:r w:rsidR="00B01BF0" w:rsidRPr="00B01BF0">
        <w:rPr>
          <w:rFonts w:cstheme="minorHAnsi"/>
          <w:bCs/>
          <w:color w:val="000000"/>
        </w:rPr>
        <w:t xml:space="preserve">PsycINFO and Web of Science </w:t>
      </w:r>
      <w:r w:rsidRPr="00CE7599">
        <w:rPr>
          <w:rFonts w:cstheme="minorHAnsi"/>
          <w:bCs/>
          <w:color w:val="000000"/>
        </w:rPr>
        <w:t>and Google Scholar will be searched for publications from 201</w:t>
      </w:r>
      <w:r w:rsidR="004852DA">
        <w:rPr>
          <w:rFonts w:cstheme="minorHAnsi"/>
          <w:bCs/>
          <w:color w:val="000000"/>
        </w:rPr>
        <w:t>5</w:t>
      </w:r>
      <w:r w:rsidRPr="00CE7599">
        <w:rPr>
          <w:rFonts w:cstheme="minorHAnsi"/>
          <w:bCs/>
          <w:color w:val="000000"/>
        </w:rPr>
        <w:t>–2025 (English only). Screening will be conducted by one reviewer and verified by a second; disagreements will be resolved by consensus or a third reviewer. Data will be extracted into a standardized form and verified independently. Results will be presented descriptively, using thematic synthesis for qualitative data and counts for study characteristics.</w:t>
      </w:r>
    </w:p>
    <w:p w14:paraId="17610E6B" w14:textId="711974B2" w:rsidR="00C35CE0" w:rsidRPr="00CE7599" w:rsidRDefault="00DF16D8" w:rsidP="006B34A3">
      <w:pPr>
        <w:spacing w:beforeAutospacing="1" w:afterAutospacing="1"/>
        <w:rPr>
          <w:rFonts w:cstheme="minorHAnsi"/>
        </w:rPr>
      </w:pPr>
      <w:r w:rsidRPr="00CE7599">
        <w:rPr>
          <w:rFonts w:cstheme="minorHAnsi"/>
          <w:b/>
          <w:color w:val="000000"/>
        </w:rPr>
        <w:t>Keywords:</w:t>
      </w:r>
      <w:r w:rsidRPr="00CE7599">
        <w:rPr>
          <w:rFonts w:cstheme="minorHAnsi"/>
          <w:color w:val="000000"/>
        </w:rPr>
        <w:t xml:space="preserve"> </w:t>
      </w:r>
      <w:bookmarkStart w:id="0" w:name="_Hlk207888428"/>
      <w:r w:rsidR="00530387" w:rsidRPr="00530387">
        <w:rPr>
          <w:rFonts w:cstheme="minorHAnsi"/>
          <w:color w:val="000000"/>
        </w:rPr>
        <w:t>Child and adolescent psychiatry, Cross-national collaboration, Expertise sharing, Professional development, clinical practice</w:t>
      </w:r>
    </w:p>
    <w:bookmarkEnd w:id="0"/>
    <w:p w14:paraId="0172DC8B"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lastRenderedPageBreak/>
        <w:t>Introduction</w:t>
      </w:r>
    </w:p>
    <w:p w14:paraId="141A0552" w14:textId="76DB85AB" w:rsidR="001A0AE6" w:rsidRPr="001A0AE6" w:rsidRDefault="001A0AE6" w:rsidP="001A0AE6">
      <w:pPr>
        <w:spacing w:beforeAutospacing="1" w:afterAutospacing="1"/>
        <w:rPr>
          <w:rFonts w:cstheme="minorHAnsi"/>
          <w:color w:val="000000"/>
        </w:rPr>
      </w:pPr>
      <w:r w:rsidRPr="001A0AE6">
        <w:rPr>
          <w:rFonts w:cstheme="minorHAnsi"/>
          <w:color w:val="000000"/>
        </w:rPr>
        <w:t>Child and adolescent psychiatry is guided by international diagnostic frameworks such as the Diagnostic and Statistical Manual of Mental Disorders (DSM) and the International Classification of Diseases (ICD). Treatment guidelines and evidence-based protocols are also widely shared. Even so, clinical practice may vary across countries. Health systems vary in referral pathways, funding models, and access to care. Cultural differences may shape how symptoms are expressed, perceived, and treated. The result is that children and adolescents with similar conditions may receive different care depending on the country in which they live.</w:t>
      </w:r>
    </w:p>
    <w:p w14:paraId="454AE02C" w14:textId="77777777" w:rsidR="001A0AE6" w:rsidRPr="001A0AE6" w:rsidRDefault="001A0AE6" w:rsidP="001A0AE6">
      <w:pPr>
        <w:spacing w:beforeAutospacing="1" w:afterAutospacing="1"/>
        <w:rPr>
          <w:rFonts w:cstheme="minorHAnsi"/>
          <w:color w:val="000000"/>
        </w:rPr>
      </w:pPr>
      <w:r w:rsidRPr="001A0AE6">
        <w:rPr>
          <w:rFonts w:cstheme="minorHAnsi"/>
          <w:color w:val="000000"/>
        </w:rPr>
        <w:t>These differences create both challenges and opportunities. For clinicians, the diversity of practice across countries can provide important learning opportunities. Cross-national expertise sharing allows professionals to exchange knowledge and experiences with colleagues abroad. These may include clinical placements, observerships, fellowships, exchange programs, joint training, virtual exchanges, and collaborative research. Such activities can broaden clinicians’ perspectives, enhance cultural competence, and introduce new approaches to care.</w:t>
      </w:r>
    </w:p>
    <w:p w14:paraId="1020DEBF" w14:textId="16652596" w:rsidR="001A0AE6" w:rsidRDefault="001A0AE6" w:rsidP="001A0AE6">
      <w:pPr>
        <w:spacing w:beforeAutospacing="1" w:afterAutospacing="1"/>
        <w:rPr>
          <w:rFonts w:cstheme="minorHAnsi"/>
          <w:color w:val="000000"/>
        </w:rPr>
      </w:pPr>
      <w:r w:rsidRPr="001A0AE6">
        <w:rPr>
          <w:rFonts w:cstheme="minorHAnsi"/>
          <w:color w:val="000000"/>
        </w:rPr>
        <w:t xml:space="preserve">The potential benefits of these exchanges are often assumed but </w:t>
      </w:r>
      <w:r w:rsidR="00B7725B">
        <w:rPr>
          <w:rFonts w:cstheme="minorHAnsi"/>
          <w:color w:val="000000"/>
        </w:rPr>
        <w:t>not systematically studied</w:t>
      </w:r>
      <w:r w:rsidRPr="001A0AE6">
        <w:rPr>
          <w:rFonts w:cstheme="minorHAnsi"/>
          <w:color w:val="000000"/>
        </w:rPr>
        <w:t xml:space="preserve">. </w:t>
      </w:r>
      <w:r w:rsidR="00B7725B">
        <w:rPr>
          <w:rFonts w:cstheme="minorHAnsi"/>
          <w:color w:val="000000"/>
        </w:rPr>
        <w:t>Existing r</w:t>
      </w:r>
      <w:r w:rsidRPr="001A0AE6">
        <w:rPr>
          <w:rFonts w:cstheme="minorHAnsi"/>
          <w:color w:val="000000"/>
        </w:rPr>
        <w:t>eports suggest that participants gain new skills, expand their networks, and develop a better understanding of different health systems</w:t>
      </w:r>
      <w:r w:rsidR="00B7725B">
        <w:rPr>
          <w:rFonts w:cstheme="minorHAnsi"/>
          <w:color w:val="000000"/>
        </w:rPr>
        <w:t xml:space="preserve">, </w:t>
      </w:r>
      <w:r w:rsidR="00B7725B">
        <w:t xml:space="preserve">with some describing improved diagnostic insight or therapeutic strategies and others highlighting professional growth </w:t>
      </w:r>
      <w:r w:rsidR="00B7725B">
        <w:fldChar w:fldCharType="begin">
          <w:fldData xml:space="preserve">PEVuZE5vdGU+PENpdGU+PEF1dGhvcj5Ib2RlczwvQXV0aG9yPjxZZWFyPjIwMTg8L1llYXI+PFJl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</w:fldData>
        </w:fldChar>
      </w:r>
      <w:r w:rsidR="00B7725B">
        <w:instrText xml:space="preserve"> ADDIN EN.CITE </w:instrText>
      </w:r>
      <w:r w:rsidR="00B7725B">
        <w:fldChar w:fldCharType="begin">
          <w:fldData xml:space="preserve">PEVuZE5vdGU+PENpdGU+PEF1dGhvcj5Ib2RlczwvQXV0aG9yPjxZZWFyPjIwMTg8L1llYXI+PFJl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</w:fldData>
        </w:fldChar>
      </w:r>
      <w:r w:rsidR="00B7725B">
        <w:instrText xml:space="preserve"> ADDIN EN.CITE.DATA </w:instrText>
      </w:r>
      <w:r w:rsidR="00B7725B">
        <w:fldChar w:fldCharType="end"/>
      </w:r>
      <w:r w:rsidR="00B7725B">
        <w:fldChar w:fldCharType="separate"/>
      </w:r>
      <w:r w:rsidR="00B7725B">
        <w:rPr>
          <w:noProof/>
        </w:rPr>
        <w:t>(Hodes et al., 2018; Rebowska, 2017; Tehrani et al., 2025)</w:t>
      </w:r>
      <w:r w:rsidR="00B7725B">
        <w:fldChar w:fldCharType="end"/>
      </w:r>
      <w:r w:rsidRPr="001A0AE6">
        <w:rPr>
          <w:rFonts w:cstheme="minorHAnsi"/>
          <w:color w:val="000000"/>
        </w:rPr>
        <w:t xml:space="preserve">. However, it is less clear how often these gains lead to changes in day-to-day practice or patient outcomes. The evidence is scattered across different types of publications and has not yet been brought together in a comprehensive way. </w:t>
      </w:r>
      <w:r w:rsidRPr="00CE7599">
        <w:rPr>
          <w:rFonts w:cstheme="minorHAnsi"/>
          <w:color w:val="000000"/>
        </w:rPr>
        <w:t xml:space="preserve">A preliminary search of MEDLINE, the Cochrane Database of Systematic Reviews and </w:t>
      </w:r>
      <w:r w:rsidRPr="00CE7599">
        <w:rPr>
          <w:rFonts w:cstheme="minorHAnsi"/>
          <w:i/>
          <w:color w:val="000000"/>
        </w:rPr>
        <w:t xml:space="preserve">JBI Evidence Synthesis </w:t>
      </w:r>
      <w:r w:rsidRPr="00CE7599">
        <w:rPr>
          <w:rFonts w:cstheme="minorHAnsi"/>
          <w:color w:val="000000"/>
        </w:rPr>
        <w:t>was conducted and no current or underway systematic reviews or scoping reviews on the topic were identified. </w:t>
      </w:r>
    </w:p>
    <w:p w14:paraId="5D05C5A6" w14:textId="0D0E21EC" w:rsidR="001A0AE6" w:rsidRDefault="001A0AE6" w:rsidP="001A0AE6">
      <w:pPr>
        <w:spacing w:beforeAutospacing="1" w:afterAutospacing="1"/>
        <w:rPr>
          <w:rFonts w:cstheme="minorHAnsi"/>
          <w:b/>
          <w:bCs/>
          <w:color w:val="000000"/>
        </w:rPr>
      </w:pPr>
      <w:r>
        <w:rPr>
          <w:rFonts w:cstheme="minorHAnsi"/>
          <w:b/>
          <w:bCs/>
          <w:color w:val="000000"/>
        </w:rPr>
        <w:t>Definitions and scope</w:t>
      </w:r>
    </w:p>
    <w:p w14:paraId="72381B9F" w14:textId="1394C7E1" w:rsidR="001A0AE6" w:rsidRDefault="001A0AE6" w:rsidP="001A0AE6">
      <w:pPr>
        <w:spacing w:beforeAutospacing="1" w:afterAutospacing="1"/>
        <w:rPr>
          <w:rFonts w:cstheme="minorHAnsi"/>
        </w:rPr>
      </w:pPr>
      <w:r w:rsidRPr="001A0AE6">
        <w:rPr>
          <w:rFonts w:cstheme="minorHAnsi"/>
        </w:rPr>
        <w:t>Several key terms guide this review.</w:t>
      </w:r>
      <w:r>
        <w:rPr>
          <w:rFonts w:cstheme="minorHAnsi"/>
        </w:rPr>
        <w:t xml:space="preserve"> First, c</w:t>
      </w:r>
      <w:r w:rsidRPr="001A0AE6">
        <w:rPr>
          <w:rFonts w:cstheme="minorHAnsi"/>
        </w:rPr>
        <w:t>ross-national expertise sharing</w:t>
      </w:r>
      <w:r>
        <w:rPr>
          <w:rFonts w:cstheme="minorHAnsi"/>
        </w:rPr>
        <w:t>; This is defined as a</w:t>
      </w:r>
      <w:r w:rsidRPr="001A0AE6">
        <w:rPr>
          <w:rFonts w:cstheme="minorHAnsi"/>
        </w:rPr>
        <w:t>ny structured activity in which clinicians, trainees, or multidisciplinary teams in CAP engage in mutual exchange of knowledge and practice across national borders. This includes in-person and virtual activities, as well as bilateral or multilateral collaborations. Purely one-way transfer of information, such as guideline dissemination, is not included.</w:t>
      </w:r>
      <w:r>
        <w:rPr>
          <w:rFonts w:cstheme="minorHAnsi"/>
        </w:rPr>
        <w:t xml:space="preserve"> Second, p</w:t>
      </w:r>
      <w:r w:rsidRPr="001A0AE6">
        <w:rPr>
          <w:rFonts w:cstheme="minorHAnsi"/>
        </w:rPr>
        <w:t>rofessional development</w:t>
      </w:r>
      <w:r>
        <w:rPr>
          <w:rFonts w:cstheme="minorHAnsi"/>
        </w:rPr>
        <w:t>;</w:t>
      </w:r>
      <w:r w:rsidRPr="001A0AE6">
        <w:rPr>
          <w:rFonts w:cstheme="minorHAnsi"/>
        </w:rPr>
        <w:t xml:space="preserve"> </w:t>
      </w:r>
      <w:r>
        <w:rPr>
          <w:rFonts w:cstheme="minorHAnsi"/>
        </w:rPr>
        <w:t>This term is defined as t</w:t>
      </w:r>
      <w:r w:rsidRPr="001A0AE6">
        <w:rPr>
          <w:rFonts w:cstheme="minorHAnsi"/>
        </w:rPr>
        <w:t>he knowledge, skills, and competencies that clinicians report gaining from exchange. Examples include improved diagnostic ability, enhanced therapeutic skills, cultural competence, and opportunities for academic or career advancement.</w:t>
      </w:r>
      <w:r>
        <w:rPr>
          <w:rFonts w:cstheme="minorHAnsi"/>
        </w:rPr>
        <w:t xml:space="preserve"> Third; c</w:t>
      </w:r>
      <w:r w:rsidRPr="001A0AE6">
        <w:rPr>
          <w:rFonts w:cstheme="minorHAnsi"/>
        </w:rPr>
        <w:t>linical practice</w:t>
      </w:r>
      <w:r>
        <w:rPr>
          <w:rFonts w:cstheme="minorHAnsi"/>
        </w:rPr>
        <w:t>;</w:t>
      </w:r>
      <w:r w:rsidRPr="001A0AE6">
        <w:rPr>
          <w:rFonts w:cstheme="minorHAnsi"/>
        </w:rPr>
        <w:t xml:space="preserve"> Th</w:t>
      </w:r>
      <w:r>
        <w:rPr>
          <w:rFonts w:cstheme="minorHAnsi"/>
        </w:rPr>
        <w:t xml:space="preserve">is </w:t>
      </w:r>
      <w:r w:rsidR="008A7943">
        <w:rPr>
          <w:rFonts w:cstheme="minorHAnsi"/>
        </w:rPr>
        <w:t>is specified as</w:t>
      </w:r>
      <w:r>
        <w:rPr>
          <w:rFonts w:cstheme="minorHAnsi"/>
        </w:rPr>
        <w:t xml:space="preserve"> the </w:t>
      </w:r>
      <w:r w:rsidRPr="001A0AE6">
        <w:rPr>
          <w:rFonts w:cstheme="minorHAnsi"/>
        </w:rPr>
        <w:t>application of professional knowledge and skills in direct care of children and adolescents. This includes diagnostic procedures, treatment approaches, teamwork, and models of service delivery.</w:t>
      </w:r>
      <w:r w:rsidR="008A7943">
        <w:rPr>
          <w:rFonts w:cstheme="minorHAnsi"/>
        </w:rPr>
        <w:t xml:space="preserve"> Fourth, relating to the i</w:t>
      </w:r>
      <w:r w:rsidRPr="001A0AE6">
        <w:rPr>
          <w:rFonts w:cstheme="minorHAnsi"/>
        </w:rPr>
        <w:t>mpact on patient care</w:t>
      </w:r>
      <w:r w:rsidR="008A7943">
        <w:rPr>
          <w:rFonts w:cstheme="minorHAnsi"/>
        </w:rPr>
        <w:t>;</w:t>
      </w:r>
      <w:r w:rsidRPr="001A0AE6">
        <w:rPr>
          <w:rFonts w:cstheme="minorHAnsi"/>
        </w:rPr>
        <w:t xml:space="preserve"> Any reported change in accessibility, quality, or experience of care for patients and families that can be linked to clinicians’ participation in cross-national exchange. This can include indirect indicators such as changes in referral patterns or clinician-patient communication.</w:t>
      </w:r>
    </w:p>
    <w:p w14:paraId="4DC4CBA5" w14:textId="77777777" w:rsidR="008A7943" w:rsidRPr="008A7943" w:rsidRDefault="008A7943" w:rsidP="001A0AE6">
      <w:pPr>
        <w:spacing w:beforeAutospacing="1" w:afterAutospacing="1"/>
        <w:rPr>
          <w:rFonts w:cstheme="minorHAnsi"/>
          <w:b/>
          <w:bCs/>
        </w:rPr>
      </w:pPr>
    </w:p>
    <w:p w14:paraId="4DC2649B"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lastRenderedPageBreak/>
        <w:t>Review question</w:t>
      </w:r>
    </w:p>
    <w:p w14:paraId="15CC2727" w14:textId="20AEF283" w:rsidR="000352BC" w:rsidRPr="00CE7599" w:rsidRDefault="000352BC" w:rsidP="004852DA">
      <w:pPr>
        <w:rPr>
          <w:rFonts w:cstheme="minorHAnsi"/>
          <w:iCs/>
          <w:color w:val="000000"/>
        </w:rPr>
      </w:pPr>
      <w:r w:rsidRPr="00CE7599">
        <w:rPr>
          <w:rFonts w:cstheme="minorHAnsi"/>
          <w:iCs/>
          <w:color w:val="000000"/>
        </w:rPr>
        <w:t xml:space="preserve">This review addresses the question, ‘What is known from literature about cross-national expertise sharing by clinicians in child and adolescent psychiatry and its impacts on clinical practice?’. A systemic scoping review was employed (1) to map the literature on cross-national expertise exchange in child and adolescent psychiatry; (2) to summarise </w:t>
      </w:r>
      <w:r w:rsidR="00F75B81">
        <w:rPr>
          <w:rFonts w:cstheme="minorHAnsi"/>
          <w:iCs/>
          <w:color w:val="000000"/>
        </w:rPr>
        <w:t xml:space="preserve">potential </w:t>
      </w:r>
      <w:r w:rsidRPr="00CE7599">
        <w:rPr>
          <w:rFonts w:cstheme="minorHAnsi"/>
          <w:iCs/>
          <w:color w:val="000000"/>
        </w:rPr>
        <w:t>reported impacts on professional development, clinical practice, and patient care; (3) and to identify evidence gaps and priorities for future research. The objectives, inclusion criteria and methods for this scoping review were specified in advance and documented in a protocol.</w:t>
      </w:r>
    </w:p>
    <w:p w14:paraId="00D0BD83" w14:textId="65469DC1" w:rsidR="00C35CE0" w:rsidRDefault="00DF16D8">
      <w:pPr>
        <w:pStyle w:val="Kop1"/>
        <w:rPr>
          <w:rFonts w:asciiTheme="minorHAnsi" w:hAnsiTheme="minorHAnsi" w:cstheme="minorHAnsi"/>
        </w:rPr>
      </w:pPr>
      <w:r w:rsidRPr="00CE7599">
        <w:rPr>
          <w:rFonts w:asciiTheme="minorHAnsi" w:hAnsiTheme="minorHAnsi" w:cstheme="minorHAnsi"/>
        </w:rPr>
        <w:t>Inclusion criteria</w:t>
      </w:r>
    </w:p>
    <w:p w14:paraId="611EE79A" w14:textId="460D2167" w:rsidR="007809E4" w:rsidRPr="007809E4" w:rsidRDefault="001A0AE6" w:rsidP="007809E4">
      <w:r>
        <w:rPr>
          <w:rFonts w:cstheme="minorHAnsi"/>
        </w:rPr>
        <w:br/>
      </w:r>
      <w:r w:rsidR="007809E4" w:rsidRPr="00F2718B">
        <w:rPr>
          <w:rFonts w:cstheme="minorHAnsi"/>
        </w:rPr>
        <w:t xml:space="preserve">Eligibility </w:t>
      </w:r>
      <w:r w:rsidR="007809E4">
        <w:rPr>
          <w:rFonts w:cstheme="minorHAnsi"/>
        </w:rPr>
        <w:t>will be</w:t>
      </w:r>
      <w:r w:rsidR="007809E4" w:rsidRPr="00F2718B">
        <w:rPr>
          <w:rFonts w:cstheme="minorHAnsi"/>
        </w:rPr>
        <w:t xml:space="preserve"> determined by relevance to the research question using the PCC framework (Population, Concept, Context). Consistent with scoping review guidance, no formal methodological quality appraisal </w:t>
      </w:r>
      <w:r w:rsidR="007809E4">
        <w:rPr>
          <w:rFonts w:cstheme="minorHAnsi"/>
        </w:rPr>
        <w:t>will be</w:t>
      </w:r>
      <w:r w:rsidR="007809E4" w:rsidRPr="00F2718B">
        <w:rPr>
          <w:rFonts w:cstheme="minorHAnsi"/>
        </w:rPr>
        <w:t xml:space="preserve"> undertaken. Missing data </w:t>
      </w:r>
      <w:r w:rsidR="007809E4">
        <w:rPr>
          <w:rFonts w:cstheme="minorHAnsi"/>
        </w:rPr>
        <w:t>will be</w:t>
      </w:r>
      <w:r w:rsidR="007809E4" w:rsidRPr="00F2718B">
        <w:rPr>
          <w:rFonts w:cstheme="minorHAnsi"/>
        </w:rPr>
        <w:t xml:space="preserve"> charted as “not reported.”.</w:t>
      </w:r>
      <w:r w:rsidR="007809E4" w:rsidRPr="007809E4">
        <w:rPr>
          <w:rFonts w:cstheme="minorHAnsi"/>
        </w:rPr>
        <w:t xml:space="preserve"> </w:t>
      </w:r>
      <w:r w:rsidR="007809E4" w:rsidRPr="00F2718B">
        <w:rPr>
          <w:rFonts w:cstheme="minorHAnsi"/>
        </w:rPr>
        <w:t xml:space="preserve">Full-text exclusions </w:t>
      </w:r>
      <w:r w:rsidR="007809E4">
        <w:rPr>
          <w:rFonts w:cstheme="minorHAnsi"/>
        </w:rPr>
        <w:t>a</w:t>
      </w:r>
      <w:r w:rsidR="007809E4" w:rsidRPr="00F2718B">
        <w:rPr>
          <w:rFonts w:cstheme="minorHAnsi"/>
        </w:rPr>
        <w:t xml:space="preserve">re recorded using prespecified categories: wrong population, wrong concept, wrong context/setting, wrong study design/type, not focused on clinicians, not about clinical practice/impact, language not eligible, full text unavailable, or conference abstract only. </w:t>
      </w:r>
    </w:p>
    <w:p w14:paraId="63030CE6"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Participants</w:t>
      </w:r>
    </w:p>
    <w:p w14:paraId="224E6718" w14:textId="4505024B" w:rsidR="007809E4" w:rsidRPr="00CE7599" w:rsidRDefault="007809E4" w:rsidP="007809E4">
      <w:pPr>
        <w:spacing w:beforeAutospacing="1" w:afterAutospacing="1"/>
        <w:rPr>
          <w:rFonts w:cstheme="minorHAnsi"/>
        </w:rPr>
      </w:pPr>
      <w:r w:rsidRPr="00F2718B">
        <w:rPr>
          <w:rFonts w:cstheme="minorHAnsi"/>
        </w:rPr>
        <w:t xml:space="preserve">The review </w:t>
      </w:r>
      <w:r>
        <w:rPr>
          <w:rFonts w:cstheme="minorHAnsi"/>
        </w:rPr>
        <w:t xml:space="preserve">will </w:t>
      </w:r>
      <w:r w:rsidRPr="00F2718B">
        <w:rPr>
          <w:rFonts w:cstheme="minorHAnsi"/>
        </w:rPr>
        <w:t xml:space="preserve">include clinicians, trainees or multidisciplinary teams working in child and adolescent psychiatry or mental health (0 – 18 years). </w:t>
      </w:r>
    </w:p>
    <w:p w14:paraId="76E58709"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Concept</w:t>
      </w:r>
    </w:p>
    <w:p w14:paraId="2C22B420" w14:textId="78199A76" w:rsidR="007809E4" w:rsidRDefault="007809E4" w:rsidP="004852DA">
      <w:pPr>
        <w:rPr>
          <w:rFonts w:cstheme="minorHAnsi"/>
        </w:rPr>
      </w:pPr>
      <w:r w:rsidRPr="00F2718B">
        <w:rPr>
          <w:rFonts w:cstheme="minorHAnsi"/>
        </w:rPr>
        <w:t xml:space="preserve">Cross-national sharing of clinical knowledge and experience </w:t>
      </w:r>
      <w:r>
        <w:rPr>
          <w:rFonts w:cstheme="minorHAnsi"/>
        </w:rPr>
        <w:t xml:space="preserve">is </w:t>
      </w:r>
      <w:r w:rsidRPr="00F2718B">
        <w:rPr>
          <w:rFonts w:cstheme="minorHAnsi"/>
        </w:rPr>
        <w:t>defined as cross-national placements or observerships, in-person or virtual exchanges, and reciprocal visits with a focus on clinical practice. Studies reporting at least one theme related to professional development, clinical practice or patient care</w:t>
      </w:r>
      <w:r>
        <w:rPr>
          <w:rFonts w:cstheme="minorHAnsi"/>
        </w:rPr>
        <w:t xml:space="preserve"> will be</w:t>
      </w:r>
      <w:r w:rsidRPr="00F2718B">
        <w:rPr>
          <w:rFonts w:cstheme="minorHAnsi"/>
        </w:rPr>
        <w:t xml:space="preserve"> eligible.</w:t>
      </w:r>
    </w:p>
    <w:p w14:paraId="151A6DFD"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Context</w:t>
      </w:r>
    </w:p>
    <w:p w14:paraId="4D0471B0" w14:textId="31205B1E" w:rsidR="004852DA" w:rsidRDefault="004852DA" w:rsidP="004852DA">
      <w:r w:rsidRPr="004852DA">
        <w:t xml:space="preserve">The context for this review was child and adolescent psychiatry, defined as the medical and multidisciplinary specialty focused on the prevention, diagnosis, and treatment of psychiatric disorders in children and adolescents. The review considered cross-national expertise sharing within CAP across diverse cultural and health system settings, without restriction to a specific geographic region. Studies were included if they described initiatives situated in CAP services or networks, regardless of whether they occurred in outpatient, inpatient, community, or digital settings. Literature was excluded if the context was limited to adult psychiatry, general mental health without specific relevance to children and adolescents, or other </w:t>
      </w:r>
      <w:r w:rsidR="00F109CB" w:rsidRPr="004852DA">
        <w:t>paediatric</w:t>
      </w:r>
      <w:r w:rsidRPr="004852DA">
        <w:t xml:space="preserve"> medical specialties.</w:t>
      </w:r>
    </w:p>
    <w:p w14:paraId="5C81B2AB" w14:textId="77777777" w:rsidR="004852DA" w:rsidRDefault="004852DA" w:rsidP="004852DA"/>
    <w:p w14:paraId="66D467D5" w14:textId="3E8A58E9" w:rsidR="00C35CE0" w:rsidRPr="00CE7599" w:rsidRDefault="00DF16D8">
      <w:pPr>
        <w:pStyle w:val="Kop3"/>
        <w:rPr>
          <w:rFonts w:asciiTheme="minorHAnsi" w:hAnsiTheme="minorHAnsi" w:cstheme="minorHAnsi"/>
        </w:rPr>
      </w:pPr>
      <w:r w:rsidRPr="00CE7599">
        <w:rPr>
          <w:rFonts w:asciiTheme="minorHAnsi" w:hAnsiTheme="minorHAnsi" w:cstheme="minorHAnsi"/>
        </w:rPr>
        <w:t>Types of sources</w:t>
      </w:r>
    </w:p>
    <w:p w14:paraId="0A155017" w14:textId="77777777" w:rsidR="00C35CE0" w:rsidRPr="00CE7599" w:rsidRDefault="00DF16D8">
      <w:pPr>
        <w:spacing w:beforeAutospacing="1" w:afterAutospacing="1"/>
        <w:rPr>
          <w:rFonts w:cstheme="minorHAnsi"/>
        </w:rPr>
      </w:pPr>
      <w:r w:rsidRPr="00CE7599">
        <w:rPr>
          <w:rFonts w:cstheme="minorHAnsi"/>
          <w:color w:val="000000"/>
        </w:rPr>
        <w:t>This scoping review will consider both experimental and quasi-experimental study designs including randomized controlled trials, non-randomized controlled trials, before and after studies and interrupted time-series studies. In addition, analytical observational studies including prospective and retrospective cohort studies, case-control studies and analytical cross-sectional studies will be considered for inclusion. This review will also consider descriptive observational study designs including case series, individual case reports and descriptive cross-sectional studies for inclusion.</w:t>
      </w:r>
    </w:p>
    <w:p w14:paraId="6EAE3D52" w14:textId="77777777" w:rsidR="00C35CE0" w:rsidRPr="00CE7599" w:rsidRDefault="00DF16D8">
      <w:pPr>
        <w:spacing w:beforeAutospacing="1" w:afterAutospacing="1"/>
        <w:rPr>
          <w:rFonts w:cstheme="minorHAnsi"/>
        </w:rPr>
      </w:pPr>
      <w:r w:rsidRPr="00CE7599">
        <w:rPr>
          <w:rFonts w:cstheme="minorHAnsi"/>
          <w:color w:val="000000"/>
        </w:rPr>
        <w:lastRenderedPageBreak/>
        <w:t xml:space="preserve">Qualitative studies will also be considered that focus on qualitative data including, but not limited to, designs such as phenomenology, grounded theory, ethnography, qualitative description, action research and feminist research. </w:t>
      </w:r>
    </w:p>
    <w:p w14:paraId="2D73711F" w14:textId="77777777" w:rsidR="00C35CE0" w:rsidRPr="00CE7599" w:rsidRDefault="00DF16D8">
      <w:pPr>
        <w:spacing w:beforeAutospacing="1" w:afterAutospacing="1"/>
        <w:rPr>
          <w:rFonts w:cstheme="minorHAnsi"/>
        </w:rPr>
      </w:pPr>
      <w:r w:rsidRPr="00CE7599">
        <w:rPr>
          <w:rFonts w:cstheme="minorHAnsi"/>
          <w:color w:val="000000"/>
        </w:rPr>
        <w:t xml:space="preserve">In addition, systematic reviews that meet the inclusion criteria will also be considered, depending on the research question. </w:t>
      </w:r>
    </w:p>
    <w:p w14:paraId="40C76F54" w14:textId="77777777" w:rsidR="00C35CE0" w:rsidRPr="00CE7599" w:rsidRDefault="00DF16D8">
      <w:pPr>
        <w:spacing w:beforeAutospacing="1" w:afterAutospacing="1"/>
        <w:rPr>
          <w:rFonts w:cstheme="minorHAnsi"/>
        </w:rPr>
      </w:pPr>
      <w:r w:rsidRPr="00CE7599">
        <w:rPr>
          <w:rFonts w:cstheme="minorHAnsi"/>
          <w:color w:val="000000"/>
        </w:rPr>
        <w:t>Text and opinion papers will also be considered for inclusion in this scoping review.</w:t>
      </w:r>
    </w:p>
    <w:p w14:paraId="3E06C4C7"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t>Methods</w:t>
      </w:r>
    </w:p>
    <w:p w14:paraId="3E7CFA3F" w14:textId="3554AC20" w:rsidR="00C35CE0" w:rsidRPr="00CE7599" w:rsidRDefault="00DF16D8">
      <w:pPr>
        <w:spacing w:beforeAutospacing="1" w:afterAutospacing="1"/>
        <w:rPr>
          <w:rFonts w:cstheme="minorHAnsi"/>
        </w:rPr>
      </w:pPr>
      <w:r w:rsidRPr="00CE7599">
        <w:rPr>
          <w:rFonts w:cstheme="minorHAnsi"/>
          <w:color w:val="000000"/>
        </w:rPr>
        <w:t>The proposed scoping review will be conducted in accordance with the JBI methodology for scoping reviews</w:t>
      </w:r>
      <w:r w:rsidR="00CE7599">
        <w:rPr>
          <w:rFonts w:cstheme="minorHAnsi"/>
          <w:color w:val="000000"/>
        </w:rPr>
        <w:t xml:space="preserve"> </w:t>
      </w:r>
      <w:r w:rsidR="00CE7599" w:rsidRPr="00CE7599">
        <w:rPr>
          <w:rFonts w:cstheme="minorHAnsi"/>
        </w:rPr>
        <w:fldChar w:fldCharType="begin"/>
      </w:r>
      <w:r w:rsidR="00CE7599" w:rsidRPr="00CE7599">
        <w:rPr>
          <w:rFonts w:cstheme="minorHAnsi"/>
        </w:rPr>
        <w:instrText xml:space="preserve"> ADDIN EN.CITE &lt;EndNote&gt;&lt;Cite&gt;&lt;Author&gt;Munn&lt;/Author&gt;&lt;Year&gt;2019&lt;/Year&gt;&lt;RecNum&gt;824&lt;/RecNum&gt;&lt;DisplayText&gt;(Munn et al., 2019)&lt;/DisplayText&gt;&lt;record&gt;&lt;rec-number&gt;824&lt;/rec-number&gt;&lt;foreign-keys&gt;&lt;key app="EN" db-id="defrrttrgevxskefwfove05ra0tatr0axa92" timestamp="1756983951"&gt;824&lt;/key&gt;&lt;/foreign-keys&gt;&lt;ref-type name="Journal Article"&gt;17&lt;/ref-type&gt;&lt;contributors&gt;&lt;authors&gt;&lt;author&gt;Munn, Zachary&lt;/author&gt;&lt;author&gt;Aromataris, Edoardo&lt;/author&gt;&lt;author&gt;Tufanaru, Catalin&lt;/author&gt;&lt;author&gt;Stern, Cindy&lt;/author&gt;&lt;author&gt;Porritt, Kylie&lt;/author&gt;&lt;author&gt;Farrow, James&lt;/author&gt;&lt;author&gt;Lockwood, Craig&lt;/author&gt;&lt;author&gt;Stephenson, Matthew&lt;/author&gt;&lt;author&gt;Moola, Sandeep&lt;/author&gt;&lt;author&gt;Lizarondo, Lucylynn&lt;/author&gt;&lt;/authors&gt;&lt;/contributors&gt;&lt;titles&gt;&lt;title&gt;The development of software to support multiple systematic review types: the Joanna Briggs Institute System for the Unified Management, Assessment and Review of Information (JBI SUMARI)&lt;/title&gt;&lt;secondary-title&gt;JBI evidence implementation&lt;/secondary-title&gt;&lt;/titles&gt;&lt;periodical&gt;&lt;full-title&gt;JBI evidence implementation&lt;/full-title&gt;&lt;/periodical&gt;&lt;pages&gt;36-43&lt;/pages&gt;&lt;volume&gt;17&lt;/volume&gt;&lt;number&gt;1&lt;/number&gt;&lt;dates&gt;&lt;year&gt;2019&lt;/year&gt;&lt;/dates&gt;&lt;isbn&gt;2691-3321&lt;/isbn&gt;&lt;urls&gt;&lt;/urls&gt;&lt;/record&gt;&lt;/Cite&gt;&lt;/EndNote&gt;</w:instrText>
      </w:r>
      <w:r w:rsidR="00CE7599" w:rsidRPr="00CE7599">
        <w:rPr>
          <w:rFonts w:cstheme="minorHAnsi"/>
        </w:rPr>
        <w:fldChar w:fldCharType="separate"/>
      </w:r>
      <w:r w:rsidR="00CE7599" w:rsidRPr="00CE7599">
        <w:rPr>
          <w:rFonts w:cstheme="minorHAnsi"/>
          <w:noProof/>
        </w:rPr>
        <w:t>(Munn et al., 2019)</w:t>
      </w:r>
      <w:r w:rsidR="00CE7599" w:rsidRPr="00CE7599">
        <w:rPr>
          <w:rFonts w:cstheme="minorHAnsi"/>
        </w:rPr>
        <w:fldChar w:fldCharType="end"/>
      </w:r>
      <w:r w:rsidRPr="00CE7599">
        <w:rPr>
          <w:rFonts w:cstheme="minorHAnsi"/>
          <w:color w:val="000000"/>
        </w:rPr>
        <w:t>.</w:t>
      </w:r>
      <w:r w:rsidR="00CE7599">
        <w:rPr>
          <w:rFonts w:cstheme="minorHAnsi"/>
          <w:color w:val="000000"/>
        </w:rPr>
        <w:t xml:space="preserve"> T</w:t>
      </w:r>
      <w:r w:rsidRPr="00CE7599">
        <w:rPr>
          <w:rFonts w:cstheme="minorHAnsi"/>
          <w:color w:val="000000"/>
        </w:rPr>
        <w:t xml:space="preserve">he review title has been </w:t>
      </w:r>
      <w:r w:rsidR="00CE7599">
        <w:rPr>
          <w:rFonts w:cstheme="minorHAnsi"/>
          <w:color w:val="000000"/>
        </w:rPr>
        <w:t>pre</w:t>
      </w:r>
      <w:r w:rsidRPr="00CE7599">
        <w:rPr>
          <w:rFonts w:cstheme="minorHAnsi"/>
          <w:color w:val="000000"/>
        </w:rPr>
        <w:t>registered</w:t>
      </w:r>
      <w:r w:rsidR="00CE7599">
        <w:rPr>
          <w:rFonts w:cstheme="minorHAnsi"/>
          <w:color w:val="000000"/>
        </w:rPr>
        <w:t xml:space="preserve"> in the OSF </w:t>
      </w:r>
      <w:r w:rsidRPr="00CE7599">
        <w:rPr>
          <w:rFonts w:cstheme="minorHAnsi"/>
          <w:color w:val="000000"/>
        </w:rPr>
        <w:t>registry (e.g. OSF).</w:t>
      </w:r>
      <w:r w:rsidR="004234C1">
        <w:rPr>
          <w:rFonts w:cstheme="minorHAnsi"/>
          <w:color w:val="000000"/>
        </w:rPr>
        <w:t xml:space="preserve"> </w:t>
      </w:r>
      <w:r w:rsidRPr="00CE7599">
        <w:rPr>
          <w:rFonts w:cstheme="minorHAnsi"/>
          <w:color w:val="000000"/>
        </w:rPr>
        <w:t xml:space="preserve">This review was conducted in accordance with an </w:t>
      </w:r>
      <w:r w:rsidRPr="00CE7599">
        <w:rPr>
          <w:rFonts w:cstheme="minorHAnsi"/>
          <w:i/>
          <w:color w:val="000000"/>
        </w:rPr>
        <w:t>a priori</w:t>
      </w:r>
      <w:r w:rsidRPr="00CE7599">
        <w:rPr>
          <w:rFonts w:cstheme="minorHAnsi"/>
          <w:color w:val="000000"/>
        </w:rPr>
        <w:t xml:space="preserve"> protocol </w:t>
      </w:r>
      <w:r w:rsidR="004234C1" w:rsidRPr="004234C1">
        <w:rPr>
          <w:rFonts w:cstheme="minorHAnsi"/>
          <w:color w:val="000000"/>
          <w:highlight w:val="yellow"/>
        </w:rPr>
        <w:t>[</w:t>
      </w:r>
      <w:r w:rsidRPr="004234C1">
        <w:rPr>
          <w:rFonts w:cstheme="minorHAnsi"/>
          <w:color w:val="000000"/>
          <w:highlight w:val="yellow"/>
        </w:rPr>
        <w:t>insert superscript citation to the published or in press protocol and add it to the reference list</w:t>
      </w:r>
      <w:r w:rsidR="004234C1" w:rsidRPr="004234C1">
        <w:rPr>
          <w:rFonts w:cstheme="minorHAnsi"/>
          <w:color w:val="000000"/>
          <w:highlight w:val="yellow"/>
        </w:rPr>
        <w:t>]</w:t>
      </w:r>
      <w:r w:rsidRPr="00CE7599">
        <w:rPr>
          <w:rFonts w:cstheme="minorHAnsi"/>
          <w:color w:val="000000"/>
        </w:rPr>
        <w:t xml:space="preserve">. </w:t>
      </w:r>
    </w:p>
    <w:p w14:paraId="5B99183B"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Search strategy</w:t>
      </w:r>
    </w:p>
    <w:p w14:paraId="5E074F11" w14:textId="2CC875FB" w:rsidR="00C35CE0" w:rsidRPr="00CE7599" w:rsidRDefault="00DF16D8">
      <w:pPr>
        <w:spacing w:beforeAutospacing="1" w:afterAutospacing="1"/>
        <w:rPr>
          <w:rFonts w:cstheme="minorHAnsi"/>
        </w:rPr>
      </w:pPr>
      <w:r w:rsidRPr="00CE7599">
        <w:rPr>
          <w:rFonts w:cstheme="minorHAnsi"/>
          <w:color w:val="000000"/>
        </w:rPr>
        <w:t>The search strategy will aim to locate both published and unpublished studies. A three-step search strategy will be utilized in this review. First an initial limited search of MEDLINE (PubMed) was undertaken to identify articles on the topic. The text words contained in the titles and abstracts of relevant articles, and the index terms used to describe the articles were used to develop a full search strategy for</w:t>
      </w:r>
      <w:r w:rsidRPr="00CE7599">
        <w:rPr>
          <w:rFonts w:cstheme="minorHAnsi"/>
          <w:i/>
          <w:color w:val="000000"/>
        </w:rPr>
        <w:t> </w:t>
      </w:r>
      <w:r w:rsidRPr="00CE7599">
        <w:rPr>
          <w:rFonts w:cstheme="minorHAnsi"/>
          <w:color w:val="000000"/>
        </w:rPr>
        <w:t>report the name of the relevant databases</w:t>
      </w:r>
      <w:r w:rsidR="001507F4" w:rsidRPr="00CE7599">
        <w:rPr>
          <w:rFonts w:cstheme="minorHAnsi"/>
          <w:color w:val="000000"/>
        </w:rPr>
        <w:t xml:space="preserve"> and </w:t>
      </w:r>
      <w:r w:rsidRPr="00CE7599">
        <w:rPr>
          <w:rFonts w:cstheme="minorHAnsi"/>
          <w:color w:val="000000"/>
        </w:rPr>
        <w:t>information sources</w:t>
      </w:r>
      <w:r w:rsidRPr="00CE7599">
        <w:rPr>
          <w:rFonts w:cstheme="minorHAnsi"/>
          <w:i/>
          <w:color w:val="000000"/>
        </w:rPr>
        <w:t xml:space="preserve"> (see Appendix </w:t>
      </w:r>
      <w:r w:rsidR="001507F4" w:rsidRPr="00CE7599">
        <w:rPr>
          <w:rFonts w:cstheme="minorHAnsi"/>
          <w:i/>
          <w:color w:val="000000"/>
        </w:rPr>
        <w:t>1</w:t>
      </w:r>
      <w:r w:rsidRPr="00CE7599">
        <w:rPr>
          <w:rFonts w:cstheme="minorHAnsi"/>
          <w:color w:val="000000"/>
        </w:rPr>
        <w:t xml:space="preserve">). The search strategy, including all identified keywords and index terms, will be adapted for each included database and/or information source. The reference list of all included sources of evidence will be screened for additional studies. </w:t>
      </w:r>
      <w:r w:rsidR="004234C1" w:rsidRPr="00530387">
        <w:rPr>
          <w:rFonts w:cstheme="minorHAnsi"/>
          <w:iCs/>
          <w:color w:val="000000"/>
        </w:rPr>
        <w:t>The strategy, including identified keywords, index terms, and relevant</w:t>
      </w:r>
      <w:r w:rsidR="004234C1" w:rsidRPr="004234C1">
        <w:rPr>
          <w:rFonts w:cstheme="minorHAnsi"/>
          <w:i/>
          <w:color w:val="000000"/>
        </w:rPr>
        <w:t xml:space="preserve"> </w:t>
      </w:r>
      <w:r w:rsidR="004234C1" w:rsidRPr="004234C1">
        <w:rPr>
          <w:rFonts w:cstheme="minorHAnsi"/>
          <w:iCs/>
          <w:color w:val="000000"/>
        </w:rPr>
        <w:t>filters (e.g., English language, publication years 201</w:t>
      </w:r>
      <w:r w:rsidR="004852DA">
        <w:rPr>
          <w:rFonts w:cstheme="minorHAnsi"/>
          <w:iCs/>
          <w:color w:val="000000"/>
        </w:rPr>
        <w:t>5</w:t>
      </w:r>
      <w:r w:rsidR="004234C1" w:rsidRPr="004234C1">
        <w:rPr>
          <w:rFonts w:cstheme="minorHAnsi"/>
          <w:iCs/>
          <w:color w:val="000000"/>
        </w:rPr>
        <w:t>–2025), will be adapted for each database and information source. Second, the full strategy will be applied to all selected databases. Third, the reference lists of included primary studies and relevant systematic reviews on cross-national expertise sharing will be screened to identify additional sources. The search strategy will be validated through peer</w:t>
      </w:r>
      <w:r w:rsidR="004E4F6A">
        <w:rPr>
          <w:rFonts w:cstheme="minorHAnsi"/>
          <w:iCs/>
          <w:color w:val="000000"/>
        </w:rPr>
        <w:t>-</w:t>
      </w:r>
      <w:r w:rsidR="004234C1" w:rsidRPr="004234C1">
        <w:rPr>
          <w:rFonts w:cstheme="minorHAnsi"/>
          <w:iCs/>
          <w:color w:val="000000"/>
        </w:rPr>
        <w:t xml:space="preserve">review </w:t>
      </w:r>
      <w:r w:rsidR="004E4F6A">
        <w:rPr>
          <w:rFonts w:cstheme="minorHAnsi"/>
          <w:iCs/>
          <w:color w:val="000000"/>
        </w:rPr>
        <w:t xml:space="preserve">by an information specialist </w:t>
      </w:r>
      <w:r w:rsidR="004234C1" w:rsidRPr="004234C1">
        <w:rPr>
          <w:rFonts w:cstheme="minorHAnsi"/>
          <w:iCs/>
          <w:color w:val="000000"/>
        </w:rPr>
        <w:t>prior to implementation.</w:t>
      </w:r>
      <w:r w:rsidRPr="004234C1">
        <w:rPr>
          <w:rFonts w:cstheme="minorHAnsi"/>
          <w:iCs/>
          <w:color w:val="000000"/>
        </w:rPr>
        <w:t> Studies</w:t>
      </w:r>
      <w:r w:rsidRPr="00CE7599">
        <w:rPr>
          <w:rFonts w:cstheme="minorHAnsi"/>
          <w:color w:val="000000"/>
        </w:rPr>
        <w:t xml:space="preserve"> published in </w:t>
      </w:r>
      <w:r w:rsidR="00EF2CF2" w:rsidRPr="00CE7599">
        <w:rPr>
          <w:rFonts w:cstheme="minorHAnsi"/>
          <w:color w:val="000000"/>
        </w:rPr>
        <w:t>English</w:t>
      </w:r>
      <w:r w:rsidRPr="00CE7599">
        <w:rPr>
          <w:rFonts w:cstheme="minorHAnsi"/>
          <w:color w:val="000000"/>
        </w:rPr>
        <w:t xml:space="preserve"> will be included. </w:t>
      </w:r>
      <w:r w:rsidR="004234C1">
        <w:t>Studies published since 201</w:t>
      </w:r>
      <w:r w:rsidR="004852DA">
        <w:t>5</w:t>
      </w:r>
      <w:r w:rsidR="004234C1">
        <w:t xml:space="preserve"> will be included, as this scoping review aims to capture more current and relevant evidence in line with recent developments in child and adolescent psychiatry. Only studies published in English were included, due to the dominance of English in the scientific literature on child and adolescent psychiatry and the lack of resources for translation.</w:t>
      </w:r>
    </w:p>
    <w:p w14:paraId="50E2ED24" w14:textId="0E8C27AD" w:rsidR="00C35CE0" w:rsidRPr="00CE7599" w:rsidRDefault="004234C1">
      <w:pPr>
        <w:spacing w:beforeAutospacing="1" w:afterAutospacing="1"/>
        <w:rPr>
          <w:rFonts w:cstheme="minorHAnsi"/>
        </w:rPr>
      </w:pPr>
      <w:r>
        <w:t>Information sources will include electronic databases (</w:t>
      </w:r>
      <w:r w:rsidR="009E6C2B" w:rsidRPr="004234C1">
        <w:rPr>
          <w:rFonts w:cstheme="minorHAnsi"/>
          <w:color w:val="000000"/>
        </w:rPr>
        <w:t xml:space="preserve">MEDLINE (via </w:t>
      </w:r>
      <w:proofErr w:type="spellStart"/>
      <w:r w:rsidR="009E6C2B" w:rsidRPr="004234C1">
        <w:rPr>
          <w:rFonts w:cstheme="minorHAnsi"/>
          <w:color w:val="000000"/>
        </w:rPr>
        <w:t>Pubmed</w:t>
      </w:r>
      <w:proofErr w:type="spellEnd"/>
      <w:r w:rsidR="009E6C2B" w:rsidRPr="004234C1">
        <w:rPr>
          <w:rFonts w:cstheme="minorHAnsi"/>
          <w:color w:val="000000"/>
        </w:rPr>
        <w:t>)</w:t>
      </w:r>
      <w:r w:rsidR="009E6C2B">
        <w:rPr>
          <w:rFonts w:cstheme="minorHAnsi"/>
          <w:color w:val="000000"/>
        </w:rPr>
        <w:t xml:space="preserve"> and </w:t>
      </w:r>
      <w:r w:rsidR="009E6C2B" w:rsidRPr="009E6C2B">
        <w:rPr>
          <w:rFonts w:cstheme="minorHAnsi"/>
          <w:color w:val="000000"/>
        </w:rPr>
        <w:t>PsycINFO and Web of Science</w:t>
      </w:r>
      <w:r>
        <w:t xml:space="preserve">), grey literature identified through Google Scholar, and manual screening of reference lists from included studies and relevant systematic reviews. Additional sources may include conference proceedings, policy reports, and websites of professional associations in child and adolescent psychiatry. </w:t>
      </w:r>
      <w:r w:rsidRPr="004234C1">
        <w:rPr>
          <w:rFonts w:cstheme="minorHAnsi"/>
          <w:color w:val="000000"/>
        </w:rPr>
        <w:t>Grey literature was sought via Google Scholar.</w:t>
      </w:r>
    </w:p>
    <w:p w14:paraId="2CB06747"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Study/Source of evidence selection</w:t>
      </w:r>
    </w:p>
    <w:p w14:paraId="191BC4C3" w14:textId="6462C995" w:rsidR="00C35CE0" w:rsidRPr="00CE7599" w:rsidRDefault="00DF16D8">
      <w:pPr>
        <w:spacing w:beforeAutospacing="1" w:afterAutospacing="1"/>
        <w:rPr>
          <w:rFonts w:cstheme="minorHAnsi"/>
        </w:rPr>
      </w:pPr>
      <w:r w:rsidRPr="00CE7599">
        <w:rPr>
          <w:rFonts w:cstheme="minorHAnsi"/>
          <w:color w:val="000000"/>
        </w:rPr>
        <w:t>Following the search, all identified citations will be collated and uploaded into EndNote</w:t>
      </w:r>
      <w:r w:rsidR="000352BC" w:rsidRPr="00CE7599">
        <w:rPr>
          <w:rFonts w:cstheme="minorHAnsi"/>
          <w:color w:val="000000"/>
        </w:rPr>
        <w:t xml:space="preserve"> 21</w:t>
      </w:r>
      <w:r w:rsidRPr="00CE7599">
        <w:rPr>
          <w:rFonts w:cstheme="minorHAnsi"/>
          <w:color w:val="000000"/>
        </w:rPr>
        <w:t xml:space="preserve"> and duplicates removed. Following a pilot test, titles and abstracts will then be screened by </w:t>
      </w:r>
      <w:r w:rsidR="000352BC" w:rsidRPr="00CE7599">
        <w:rPr>
          <w:rFonts w:cstheme="minorHAnsi"/>
          <w:color w:val="000000"/>
        </w:rPr>
        <w:t>one</w:t>
      </w:r>
      <w:r w:rsidRPr="00CE7599">
        <w:rPr>
          <w:rFonts w:cstheme="minorHAnsi"/>
          <w:color w:val="000000"/>
        </w:rPr>
        <w:t xml:space="preserve"> reviewer </w:t>
      </w:r>
      <w:r w:rsidRPr="00CE7599">
        <w:rPr>
          <w:rFonts w:cstheme="minorHAnsi"/>
          <w:color w:val="000000"/>
        </w:rPr>
        <w:lastRenderedPageBreak/>
        <w:t>for assessment against the inclusion</w:t>
      </w:r>
      <w:r w:rsidR="000352BC" w:rsidRPr="00CE7599">
        <w:rPr>
          <w:rFonts w:cstheme="minorHAnsi"/>
          <w:color w:val="000000"/>
        </w:rPr>
        <w:t xml:space="preserve"> criteria, and verified by a second reviewer</w:t>
      </w:r>
      <w:r w:rsidRPr="00CE7599">
        <w:rPr>
          <w:rFonts w:cstheme="minorHAnsi"/>
          <w:color w:val="000000"/>
        </w:rPr>
        <w:t xml:space="preserve"> for the review. Potentially relevant sources will be retrieved in full and their citation details imported into the JBI System for the Unified Management, Assessment and Review of Information (JBI SUMARI) (JBI, Adelaide, Australia)</w:t>
      </w:r>
      <w:r w:rsidR="000352BC" w:rsidRPr="00CE7599">
        <w:rPr>
          <w:rFonts w:cstheme="minorHAnsi"/>
          <w:color w:val="000000"/>
        </w:rPr>
        <w:t xml:space="preserve"> </w:t>
      </w:r>
      <w:r w:rsidR="000352BC" w:rsidRPr="00CE7599">
        <w:rPr>
          <w:rFonts w:cstheme="minorHAnsi"/>
          <w:color w:val="000000"/>
        </w:rPr>
        <w:fldChar w:fldCharType="begin"/>
      </w:r>
      <w:r w:rsidR="000352BC" w:rsidRPr="00CE7599">
        <w:rPr>
          <w:rFonts w:cstheme="minorHAnsi"/>
          <w:color w:val="000000"/>
        </w:rPr>
        <w:instrText xml:space="preserve"> ADDIN EN.CITE &lt;EndNote&gt;&lt;Cite&gt;&lt;Author&gt;Munn&lt;/Author&gt;&lt;Year&gt;2019&lt;/Year&gt;&lt;RecNum&gt;824&lt;/RecNum&gt;&lt;DisplayText&gt;(Munn et al., 2019)&lt;/DisplayText&gt;&lt;record&gt;&lt;rec-number&gt;824&lt;/rec-number&gt;&lt;foreign-keys&gt;&lt;key app="EN" db-id="defrrttrgevxskefwfove05ra0tatr0axa92" timestamp="1756983951"&gt;824&lt;/key&gt;&lt;/foreign-keys&gt;&lt;ref-type name="Journal Article"&gt;17&lt;/ref-type&gt;&lt;contributors&gt;&lt;authors&gt;&lt;author&gt;Munn, Zachary&lt;/author&gt;&lt;author&gt;Aromataris, Edoardo&lt;/author&gt;&lt;author&gt;Tufanaru, Catalin&lt;/author&gt;&lt;author&gt;Stern, Cindy&lt;/author&gt;&lt;author&gt;Porritt, Kylie&lt;/author&gt;&lt;author&gt;Farrow, James&lt;/author&gt;&lt;author&gt;Lockwood, Craig&lt;/author&gt;&lt;author&gt;Stephenson, Matthew&lt;/author&gt;&lt;author&gt;Moola, Sandeep&lt;/author&gt;&lt;author&gt;Lizarondo, Lucylynn&lt;/author&gt;&lt;/authors&gt;&lt;/contributors&gt;&lt;titles&gt;&lt;title&gt;The development of software to support multiple systematic review types: the Joanna Briggs Institute System for the Unified Management, Assessment and Review of Information (JBI SUMARI)&lt;/title&gt;&lt;secondary-title&gt;JBI evidence implementation&lt;/secondary-title&gt;&lt;/titles&gt;&lt;periodical&gt;&lt;full-title&gt;JBI evidence implementation&lt;/full-title&gt;&lt;/periodical&gt;&lt;pages&gt;36-43&lt;/pages&gt;&lt;volume&gt;17&lt;/volume&gt;&lt;number&gt;1&lt;/number&gt;&lt;dates&gt;&lt;year&gt;2019&lt;/year&gt;&lt;/dates&gt;&lt;isbn&gt;2691-3321&lt;/isbn&gt;&lt;urls&gt;&lt;/urls&gt;&lt;/record&gt;&lt;/Cite&gt;&lt;/EndNote&gt;</w:instrText>
      </w:r>
      <w:r w:rsidR="000352BC" w:rsidRPr="00CE7599">
        <w:rPr>
          <w:rFonts w:cstheme="minorHAnsi"/>
          <w:color w:val="000000"/>
        </w:rPr>
        <w:fldChar w:fldCharType="separate"/>
      </w:r>
      <w:r w:rsidR="000352BC" w:rsidRPr="00CE7599">
        <w:rPr>
          <w:rFonts w:cstheme="minorHAnsi"/>
          <w:noProof/>
          <w:color w:val="000000"/>
        </w:rPr>
        <w:t>(Munn et al., 2019)</w:t>
      </w:r>
      <w:r w:rsidR="000352BC" w:rsidRPr="00CE7599">
        <w:rPr>
          <w:rFonts w:cstheme="minorHAnsi"/>
          <w:color w:val="000000"/>
        </w:rPr>
        <w:fldChar w:fldCharType="end"/>
      </w:r>
      <w:r w:rsidRPr="00CE7599">
        <w:rPr>
          <w:rFonts w:cstheme="minorHAnsi"/>
          <w:color w:val="000000"/>
        </w:rPr>
        <w:t xml:space="preserve">. The full text of selected citations will be assessed in detail against the inclusion criteria by </w:t>
      </w:r>
      <w:r w:rsidR="001507F4" w:rsidRPr="00CE7599">
        <w:rPr>
          <w:rFonts w:cstheme="minorHAnsi"/>
          <w:color w:val="000000"/>
        </w:rPr>
        <w:t>one</w:t>
      </w:r>
      <w:r w:rsidRPr="00CE7599">
        <w:rPr>
          <w:rFonts w:cstheme="minorHAnsi"/>
          <w:color w:val="000000"/>
        </w:rPr>
        <w:t xml:space="preserve"> reviewer</w:t>
      </w:r>
      <w:r w:rsidR="001507F4" w:rsidRPr="00CE7599">
        <w:rPr>
          <w:rFonts w:cstheme="minorHAnsi"/>
          <w:color w:val="000000"/>
        </w:rPr>
        <w:t xml:space="preserve"> and verified by a second reviewer</w:t>
      </w:r>
      <w:r w:rsidRPr="00CE7599">
        <w:rPr>
          <w:rFonts w:cstheme="minorHAnsi"/>
          <w:color w:val="000000"/>
        </w:rPr>
        <w:t xml:space="preserve">. Reasons for exclusion of sources of evidence at full text that do not meet the inclusion criteria will be recorded and reported in the scoping review. Any disagreements that arise between the reviewers at each stage of the selection process will be resolved through discussion, or </w:t>
      </w:r>
      <w:r w:rsidR="001507F4" w:rsidRPr="00CE7599">
        <w:rPr>
          <w:rFonts w:cstheme="minorHAnsi"/>
          <w:color w:val="000000"/>
        </w:rPr>
        <w:t xml:space="preserve">if necessary </w:t>
      </w:r>
      <w:r w:rsidRPr="00CE7599">
        <w:rPr>
          <w:rFonts w:cstheme="minorHAnsi"/>
          <w:color w:val="000000"/>
        </w:rPr>
        <w:t xml:space="preserve">with </w:t>
      </w:r>
      <w:r w:rsidR="001507F4" w:rsidRPr="00CE7599">
        <w:rPr>
          <w:rFonts w:cstheme="minorHAnsi"/>
          <w:color w:val="000000"/>
        </w:rPr>
        <w:t xml:space="preserve">third </w:t>
      </w:r>
      <w:r w:rsidRPr="00CE7599">
        <w:rPr>
          <w:rFonts w:cstheme="minorHAnsi"/>
          <w:color w:val="000000"/>
        </w:rPr>
        <w:t>reviewer. The results of the search and the study inclusion process will be reported in full in the final scoping review and presented in a PRISMA flow diagram </w:t>
      </w:r>
      <w:r w:rsidR="001507F4" w:rsidRPr="00CE7599">
        <w:rPr>
          <w:rFonts w:cstheme="minorHAnsi"/>
          <w:color w:val="000000"/>
        </w:rPr>
        <w:fldChar w:fldCharType="begin"/>
      </w:r>
      <w:r w:rsidR="001507F4" w:rsidRPr="00CE7599">
        <w:rPr>
          <w:rFonts w:cstheme="minorHAnsi"/>
          <w:color w:val="000000"/>
        </w:rPr>
        <w:instrText xml:space="preserve"> ADDIN EN.CITE &lt;EndNote&gt;&lt;Cite&gt;&lt;Author&gt;Tricco&lt;/Author&gt;&lt;Year&gt;2018&lt;/Year&gt;&lt;RecNum&gt;825&lt;/RecNum&gt;&lt;DisplayText&gt;(Tricco et al., 2018)&lt;/DisplayText&gt;&lt;record&gt;&lt;rec-number&gt;825&lt;/rec-number&gt;&lt;foreign-keys&gt;&lt;key app="EN" db-id="defrrttrgevxskefwfove05ra0tatr0axa92" timestamp="1756984660"&gt;825&lt;/key&gt;&lt;/foreign-keys&gt;&lt;ref-type name="Journal Article"&gt;17&lt;/ref-type&gt;&lt;contributors&gt;&lt;authors&gt;&lt;author&gt;Tricco, Andrea C&lt;/author&gt;&lt;author&gt;Lillie, Erin&lt;/author&gt;&lt;author&gt;Zarin, Wasifa&lt;/author&gt;&lt;author&gt;O&amp;apos;Brien, Kelly K&lt;/author&gt;&lt;author&gt;Colquhoun, Heather&lt;/author&gt;&lt;author&gt;Levac, Danielle&lt;/author&gt;&lt;author&gt;Moher, David&lt;/author&gt;&lt;author&gt;Peters, Micah DJ&lt;/author&gt;&lt;author&gt;Horsley, Tanya&lt;/author&gt;&lt;author&gt;Weeks, Laura&lt;/author&gt;&lt;/authors&gt;&lt;/contributors&gt;&lt;titles&gt;&lt;title&gt;PRISMA extension for scoping reviews (PRISMA-ScR): checklist and explanation&lt;/title&gt;&lt;secondary-title&gt;Annals of internal medicine&lt;/secondary-title&gt;&lt;/titles&gt;&lt;periodical&gt;&lt;full-title&gt;Annals of internal medicine&lt;/full-title&gt;&lt;/periodical&gt;&lt;pages&gt;467-473&lt;/pages&gt;&lt;volume&gt;169&lt;/volume&gt;&lt;number&gt;7&lt;/number&gt;&lt;dates&gt;&lt;year&gt;2018&lt;/year&gt;&lt;/dates&gt;&lt;isbn&gt;0003-4819&lt;/isbn&gt;&lt;urls&gt;&lt;/urls&gt;&lt;/record&gt;&lt;/Cite&gt;&lt;/EndNote&gt;</w:instrText>
      </w:r>
      <w:r w:rsidR="001507F4" w:rsidRPr="00CE7599">
        <w:rPr>
          <w:rFonts w:cstheme="minorHAnsi"/>
          <w:color w:val="000000"/>
        </w:rPr>
        <w:fldChar w:fldCharType="separate"/>
      </w:r>
      <w:r w:rsidR="001507F4" w:rsidRPr="00CE7599">
        <w:rPr>
          <w:rFonts w:cstheme="minorHAnsi"/>
          <w:noProof/>
          <w:color w:val="000000"/>
        </w:rPr>
        <w:t>(Tricco et al., 2018)</w:t>
      </w:r>
      <w:r w:rsidR="001507F4" w:rsidRPr="00CE7599">
        <w:rPr>
          <w:rFonts w:cstheme="minorHAnsi"/>
          <w:color w:val="000000"/>
        </w:rPr>
        <w:fldChar w:fldCharType="end"/>
      </w:r>
      <w:r w:rsidRPr="00CE7599">
        <w:rPr>
          <w:rFonts w:cstheme="minorHAnsi"/>
          <w:color w:val="000000"/>
        </w:rPr>
        <w:t>.</w:t>
      </w:r>
    </w:p>
    <w:p w14:paraId="59581932"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Data extraction</w:t>
      </w:r>
    </w:p>
    <w:p w14:paraId="512F6DDC" w14:textId="1BD72589" w:rsidR="00C35CE0" w:rsidRPr="00CE7599" w:rsidRDefault="00DF16D8">
      <w:pPr>
        <w:spacing w:beforeAutospacing="1" w:afterAutospacing="1"/>
        <w:rPr>
          <w:rFonts w:cstheme="minorHAnsi"/>
        </w:rPr>
      </w:pPr>
      <w:r w:rsidRPr="00CE7599">
        <w:rPr>
          <w:rFonts w:cstheme="minorHAnsi"/>
          <w:color w:val="000000"/>
        </w:rPr>
        <w:t xml:space="preserve">Data will be extracted from papers included in the scoping review by </w:t>
      </w:r>
      <w:r w:rsidR="004234C1">
        <w:rPr>
          <w:rFonts w:cstheme="minorHAnsi"/>
          <w:color w:val="000000"/>
        </w:rPr>
        <w:t>one reviewer</w:t>
      </w:r>
      <w:r w:rsidRPr="00CE7599">
        <w:rPr>
          <w:rFonts w:cstheme="minorHAnsi"/>
          <w:color w:val="000000"/>
        </w:rPr>
        <w:t xml:space="preserve"> using a data extraction tool developed by the reviewers. </w:t>
      </w:r>
      <w:r w:rsidR="004234C1" w:rsidRPr="004234C1">
        <w:rPr>
          <w:rFonts w:cstheme="minorHAnsi"/>
          <w:color w:val="000000"/>
        </w:rPr>
        <w:t xml:space="preserve">Study decisions </w:t>
      </w:r>
      <w:r w:rsidR="00F2718B">
        <w:rPr>
          <w:rFonts w:cstheme="minorHAnsi"/>
          <w:color w:val="000000"/>
        </w:rPr>
        <w:t>will be</w:t>
      </w:r>
      <w:r w:rsidR="004234C1" w:rsidRPr="004234C1">
        <w:rPr>
          <w:rFonts w:cstheme="minorHAnsi"/>
          <w:color w:val="000000"/>
        </w:rPr>
        <w:t xml:space="preserve"> tracked in a standardized Excel sheet with predefined drop-down codes for screening stage, reviewer decisions, and prespecified full-text exclusion reasons. </w:t>
      </w:r>
      <w:r w:rsidRPr="00CE7599">
        <w:rPr>
          <w:rFonts w:cstheme="minorHAnsi"/>
          <w:color w:val="000000"/>
        </w:rPr>
        <w:t xml:space="preserve">The data extracted will include specific details about the participants, concept, context, study methods and key findings relevant to the review question. </w:t>
      </w:r>
    </w:p>
    <w:p w14:paraId="75C887E1" w14:textId="3A5CCF00" w:rsidR="00C35CE0" w:rsidRDefault="00DF16D8">
      <w:pPr>
        <w:spacing w:beforeAutospacing="1" w:afterAutospacing="1"/>
        <w:rPr>
          <w:rFonts w:cstheme="minorHAnsi"/>
          <w:color w:val="000000"/>
        </w:rPr>
      </w:pPr>
      <w:r w:rsidRPr="00CE7599">
        <w:rPr>
          <w:rFonts w:cstheme="minorHAnsi"/>
          <w:color w:val="000000"/>
        </w:rPr>
        <w:t xml:space="preserve">A draft extraction form is provided (see Appendix </w:t>
      </w:r>
      <w:r w:rsidR="0089764D">
        <w:rPr>
          <w:rFonts w:cstheme="minorHAnsi"/>
          <w:color w:val="000000"/>
        </w:rPr>
        <w:t>X</w:t>
      </w:r>
      <w:r w:rsidRPr="00CE7599">
        <w:rPr>
          <w:rFonts w:cstheme="minorHAnsi"/>
          <w:color w:val="000000"/>
        </w:rPr>
        <w:t xml:space="preserve">). The draft data extraction tool will be modified and revised as necessary during the process of extracting data from each included evidence source. Modifications will be detailed in the scoping review. </w:t>
      </w:r>
      <w:r w:rsidR="00F2718B" w:rsidRPr="00F2718B">
        <w:rPr>
          <w:rFonts w:cstheme="minorHAnsi"/>
          <w:color w:val="000000"/>
        </w:rPr>
        <w:t xml:space="preserve">Screening </w:t>
      </w:r>
      <w:r w:rsidR="00F2718B">
        <w:rPr>
          <w:rFonts w:cstheme="minorHAnsi"/>
          <w:color w:val="000000"/>
        </w:rPr>
        <w:t>will be</w:t>
      </w:r>
      <w:r w:rsidR="00F2718B" w:rsidRPr="00F2718B">
        <w:rPr>
          <w:rFonts w:cstheme="minorHAnsi"/>
          <w:color w:val="000000"/>
        </w:rPr>
        <w:t xml:space="preserve"> piloted on 25 records to calibrate eligibility criteria </w:t>
      </w:r>
      <w:r w:rsidR="00F2718B">
        <w:rPr>
          <w:rFonts w:cstheme="minorHAnsi"/>
          <w:color w:val="000000"/>
        </w:rPr>
        <w:t xml:space="preserve">and presented as </w:t>
      </w:r>
      <w:r w:rsidR="0089764D">
        <w:rPr>
          <w:rFonts w:cstheme="minorHAnsi"/>
          <w:color w:val="000000"/>
        </w:rPr>
        <w:t>‘</w:t>
      </w:r>
      <w:r w:rsidR="00F2718B">
        <w:rPr>
          <w:rFonts w:cstheme="minorHAnsi"/>
          <w:color w:val="000000"/>
        </w:rPr>
        <w:t>% agreement</w:t>
      </w:r>
      <w:r w:rsidR="0089764D">
        <w:rPr>
          <w:rFonts w:cstheme="minorHAnsi"/>
          <w:color w:val="000000"/>
        </w:rPr>
        <w:t>’</w:t>
      </w:r>
      <w:r w:rsidR="00F2718B">
        <w:rPr>
          <w:rFonts w:cstheme="minorHAnsi"/>
          <w:color w:val="000000"/>
        </w:rPr>
        <w:t xml:space="preserve"> and </w:t>
      </w:r>
      <w:r w:rsidR="0089764D">
        <w:rPr>
          <w:rFonts w:cstheme="minorHAnsi"/>
          <w:color w:val="000000"/>
        </w:rPr>
        <w:t>‘</w:t>
      </w:r>
      <w:r w:rsidR="00F2718B" w:rsidRPr="00F2718B">
        <w:rPr>
          <w:rFonts w:cstheme="minorHAnsi"/>
          <w:color w:val="000000"/>
        </w:rPr>
        <w:t>κ</w:t>
      </w:r>
      <w:r w:rsidR="0089764D">
        <w:rPr>
          <w:rFonts w:cstheme="minorHAnsi"/>
          <w:color w:val="000000"/>
        </w:rPr>
        <w:t>’</w:t>
      </w:r>
      <w:r w:rsidR="00F2718B" w:rsidRPr="00F2718B">
        <w:rPr>
          <w:rFonts w:cstheme="minorHAnsi"/>
          <w:color w:val="000000"/>
        </w:rPr>
        <w:t xml:space="preserve">. </w:t>
      </w:r>
      <w:r w:rsidRPr="00CE7599">
        <w:rPr>
          <w:rFonts w:cstheme="minorHAnsi"/>
          <w:color w:val="000000"/>
        </w:rPr>
        <w:t xml:space="preserve">Any disagreements that arise between the reviewers will be resolved through discussion, or </w:t>
      </w:r>
      <w:r w:rsidR="00F2718B">
        <w:rPr>
          <w:rFonts w:cstheme="minorHAnsi"/>
          <w:color w:val="000000"/>
        </w:rPr>
        <w:t xml:space="preserve">if necessary </w:t>
      </w:r>
      <w:r w:rsidRPr="00CE7599">
        <w:rPr>
          <w:rFonts w:cstheme="minorHAnsi"/>
          <w:color w:val="000000"/>
        </w:rPr>
        <w:t xml:space="preserve">with a </w:t>
      </w:r>
      <w:r w:rsidR="00F2718B">
        <w:rPr>
          <w:rFonts w:cstheme="minorHAnsi"/>
          <w:color w:val="000000"/>
        </w:rPr>
        <w:t xml:space="preserve">third </w:t>
      </w:r>
      <w:r w:rsidRPr="00CE7599">
        <w:rPr>
          <w:rFonts w:cstheme="minorHAnsi"/>
          <w:color w:val="000000"/>
        </w:rPr>
        <w:t xml:space="preserve">reviewer. If appropriate, authors of papers will be contacted to request missing or additional data, where required. </w:t>
      </w:r>
    </w:p>
    <w:p w14:paraId="26D2A782"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Data analysis and presentation</w:t>
      </w:r>
    </w:p>
    <w:p w14:paraId="2CEE177C" w14:textId="64438EE0" w:rsidR="00F2718B" w:rsidRPr="00F2718B" w:rsidRDefault="00F2718B">
      <w:pPr>
        <w:spacing w:beforeAutospacing="1" w:afterAutospacing="1"/>
        <w:rPr>
          <w:rFonts w:cstheme="minorHAnsi"/>
          <w:iCs/>
          <w:color w:val="000000"/>
        </w:rPr>
      </w:pPr>
      <w:r>
        <w:rPr>
          <w:rFonts w:cstheme="minorHAnsi"/>
          <w:iCs/>
          <w:color w:val="000000"/>
        </w:rPr>
        <w:t xml:space="preserve">Data will be presented graphically, diagrammatically or in tabular form. </w:t>
      </w:r>
      <w:r w:rsidRPr="00F2718B">
        <w:rPr>
          <w:rFonts w:cstheme="minorHAnsi"/>
          <w:iCs/>
          <w:color w:val="000000"/>
        </w:rPr>
        <w:t xml:space="preserve">Findings are summarized narratively by theme. Where available, simple counts or medians are reported for descriptive variables; representative quotations from qualitative studies illustrate themes. </w:t>
      </w:r>
    </w:p>
    <w:p w14:paraId="588D26D8"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t>Acknowledgements</w:t>
      </w:r>
    </w:p>
    <w:p w14:paraId="2AF3C23C" w14:textId="77777777" w:rsidR="00F103FD" w:rsidRDefault="00F103FD">
      <w:pPr>
        <w:spacing w:beforeAutospacing="1" w:afterAutospacing="1"/>
        <w:rPr>
          <w:rFonts w:cstheme="minorHAnsi"/>
          <w:color w:val="000000"/>
        </w:rPr>
      </w:pPr>
      <w:r w:rsidRPr="00F103FD">
        <w:rPr>
          <w:rFonts w:cstheme="minorHAnsi"/>
          <w:color w:val="000000"/>
        </w:rPr>
        <w:t>Bas de Veen (</w:t>
      </w:r>
      <w:proofErr w:type="spellStart"/>
      <w:r w:rsidRPr="00F103FD">
        <w:rPr>
          <w:rFonts w:cstheme="minorHAnsi"/>
          <w:color w:val="000000"/>
        </w:rPr>
        <w:t>BdV</w:t>
      </w:r>
      <w:proofErr w:type="spellEnd"/>
      <w:r w:rsidRPr="00F103FD">
        <w:rPr>
          <w:rFonts w:cstheme="minorHAnsi"/>
          <w:color w:val="000000"/>
        </w:rPr>
        <w:t xml:space="preserve">) was responsible for conceptualization and protocol development, data curation, and drafting of the manuscript. Katrin </w:t>
      </w:r>
      <w:proofErr w:type="spellStart"/>
      <w:r w:rsidRPr="00F103FD">
        <w:rPr>
          <w:rFonts w:cstheme="minorHAnsi"/>
          <w:color w:val="000000"/>
        </w:rPr>
        <w:t>Bringmann</w:t>
      </w:r>
      <w:proofErr w:type="spellEnd"/>
      <w:r w:rsidRPr="00F103FD">
        <w:rPr>
          <w:rFonts w:cstheme="minorHAnsi"/>
          <w:color w:val="000000"/>
        </w:rPr>
        <w:t xml:space="preserve"> (KB) contributed to data verification and provided critical manuscript feedback. Pierre </w:t>
      </w:r>
      <w:proofErr w:type="spellStart"/>
      <w:r w:rsidRPr="00F103FD">
        <w:rPr>
          <w:rFonts w:cstheme="minorHAnsi"/>
          <w:color w:val="000000"/>
        </w:rPr>
        <w:t>Herpers</w:t>
      </w:r>
      <w:proofErr w:type="spellEnd"/>
      <w:r w:rsidRPr="00F103FD">
        <w:rPr>
          <w:rFonts w:cstheme="minorHAnsi"/>
          <w:color w:val="000000"/>
        </w:rPr>
        <w:t xml:space="preserve"> (PH), Martine van </w:t>
      </w:r>
      <w:proofErr w:type="spellStart"/>
      <w:r w:rsidRPr="00F103FD">
        <w:rPr>
          <w:rFonts w:cstheme="minorHAnsi"/>
          <w:color w:val="000000"/>
        </w:rPr>
        <w:t>Dongen-Boomsma</w:t>
      </w:r>
      <w:proofErr w:type="spellEnd"/>
      <w:r w:rsidRPr="00F103FD">
        <w:rPr>
          <w:rFonts w:cstheme="minorHAnsi"/>
          <w:color w:val="000000"/>
        </w:rPr>
        <w:t xml:space="preserve"> (</w:t>
      </w:r>
      <w:proofErr w:type="spellStart"/>
      <w:r w:rsidRPr="00F103FD">
        <w:rPr>
          <w:rFonts w:cstheme="minorHAnsi"/>
          <w:color w:val="000000"/>
        </w:rPr>
        <w:t>MvDB</w:t>
      </w:r>
      <w:proofErr w:type="spellEnd"/>
      <w:r w:rsidRPr="00F103FD">
        <w:rPr>
          <w:rFonts w:cstheme="minorHAnsi"/>
          <w:color w:val="000000"/>
        </w:rPr>
        <w:t xml:space="preserve">), </w:t>
      </w:r>
      <w:proofErr w:type="spellStart"/>
      <w:r w:rsidRPr="00F103FD">
        <w:rPr>
          <w:rFonts w:cstheme="minorHAnsi"/>
          <w:color w:val="000000"/>
        </w:rPr>
        <w:t>Wouter</w:t>
      </w:r>
      <w:proofErr w:type="spellEnd"/>
      <w:r w:rsidRPr="00F103FD">
        <w:rPr>
          <w:rFonts w:cstheme="minorHAnsi"/>
          <w:color w:val="000000"/>
        </w:rPr>
        <w:t xml:space="preserve"> </w:t>
      </w:r>
      <w:proofErr w:type="spellStart"/>
      <w:r w:rsidRPr="00F103FD">
        <w:rPr>
          <w:rFonts w:cstheme="minorHAnsi"/>
          <w:color w:val="000000"/>
        </w:rPr>
        <w:t>Staal</w:t>
      </w:r>
      <w:proofErr w:type="spellEnd"/>
      <w:r w:rsidRPr="00F103FD">
        <w:rPr>
          <w:rFonts w:cstheme="minorHAnsi"/>
          <w:color w:val="000000"/>
        </w:rPr>
        <w:t xml:space="preserve"> (WS), Ron Scholte (RS), and Peter Deschamps (PD) contributed to study design and offered critical revisions to the manuscript. This scoping review forms part of the doctoral research of </w:t>
      </w:r>
      <w:proofErr w:type="spellStart"/>
      <w:r w:rsidRPr="00F103FD">
        <w:rPr>
          <w:rFonts w:cstheme="minorHAnsi"/>
          <w:color w:val="000000"/>
        </w:rPr>
        <w:t>BdV</w:t>
      </w:r>
      <w:proofErr w:type="spellEnd"/>
      <w:r w:rsidRPr="00F103FD">
        <w:rPr>
          <w:rFonts w:cstheme="minorHAnsi"/>
          <w:color w:val="000000"/>
        </w:rPr>
        <w:t>.</w:t>
      </w:r>
    </w:p>
    <w:p w14:paraId="46F61387"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lastRenderedPageBreak/>
        <w:t>Funding</w:t>
      </w:r>
    </w:p>
    <w:p w14:paraId="1895C0D2" w14:textId="77777777" w:rsidR="00F103FD" w:rsidRDefault="00F103FD">
      <w:pPr>
        <w:pStyle w:val="Kop1"/>
        <w:rPr>
          <w:rFonts w:asciiTheme="minorHAnsi" w:eastAsiaTheme="minorEastAsia" w:hAnsiTheme="minorHAnsi" w:cstheme="minorHAnsi"/>
          <w:color w:val="000000"/>
          <w:sz w:val="22"/>
          <w:szCs w:val="22"/>
        </w:rPr>
      </w:pPr>
      <w:r w:rsidRPr="00F103FD">
        <w:rPr>
          <w:rFonts w:asciiTheme="minorHAnsi" w:eastAsiaTheme="minorEastAsia" w:hAnsiTheme="minorHAnsi" w:cstheme="minorHAnsi"/>
          <w:color w:val="000000"/>
          <w:sz w:val="22"/>
          <w:szCs w:val="22"/>
        </w:rPr>
        <w:t>No funding was received for this research.</w:t>
      </w:r>
    </w:p>
    <w:p w14:paraId="6D3EF79A" w14:textId="590464A4" w:rsidR="00C35CE0" w:rsidRPr="00CE7599" w:rsidRDefault="00DF16D8">
      <w:pPr>
        <w:pStyle w:val="Kop1"/>
        <w:rPr>
          <w:rFonts w:asciiTheme="minorHAnsi" w:hAnsiTheme="minorHAnsi" w:cstheme="minorHAnsi"/>
        </w:rPr>
      </w:pPr>
      <w:r w:rsidRPr="00CE7599">
        <w:rPr>
          <w:rFonts w:asciiTheme="minorHAnsi" w:hAnsiTheme="minorHAnsi" w:cstheme="minorHAnsi"/>
        </w:rPr>
        <w:t>Declarations</w:t>
      </w:r>
    </w:p>
    <w:p w14:paraId="26D719C3" w14:textId="1C565403" w:rsidR="00F103FD" w:rsidRDefault="00F103FD">
      <w:pPr>
        <w:spacing w:beforeAutospacing="1" w:afterAutospacing="1"/>
        <w:rPr>
          <w:rFonts w:cstheme="minorHAnsi"/>
          <w:color w:val="000000"/>
        </w:rPr>
      </w:pPr>
      <w:r>
        <w:t>The authors have nothing to declare.</w:t>
      </w:r>
    </w:p>
    <w:p w14:paraId="56DE10EA" w14:textId="77777777" w:rsidR="00F103FD" w:rsidRDefault="00F103FD">
      <w:pPr>
        <w:pStyle w:val="Kop1"/>
        <w:rPr>
          <w:rFonts w:asciiTheme="minorHAnsi" w:eastAsiaTheme="minorEastAsia" w:hAnsiTheme="minorHAnsi" w:cstheme="minorHAnsi"/>
          <w:color w:val="000000"/>
          <w:sz w:val="22"/>
          <w:szCs w:val="22"/>
        </w:rPr>
      </w:pPr>
      <w:r w:rsidRPr="00F103FD">
        <w:rPr>
          <w:rFonts w:asciiTheme="minorHAnsi" w:eastAsiaTheme="minorEastAsia" w:hAnsiTheme="minorHAnsi" w:cstheme="minorHAnsi"/>
          <w:color w:val="000000"/>
          <w:sz w:val="22"/>
          <w:szCs w:val="22"/>
        </w:rPr>
        <w:t xml:space="preserve">The author team has experience with Dutch–German cross-border collaborations in child and adolescent psychiatry. This background reflects a commitment to sharing knowledge across countries and care systems. By combining perspectives from psychiatry, psychology, and </w:t>
      </w:r>
      <w:proofErr w:type="spellStart"/>
      <w:r w:rsidRPr="00F103FD">
        <w:rPr>
          <w:rFonts w:asciiTheme="minorHAnsi" w:eastAsiaTheme="minorEastAsia" w:hAnsiTheme="minorHAnsi" w:cstheme="minorHAnsi"/>
          <w:color w:val="000000"/>
          <w:sz w:val="22"/>
          <w:szCs w:val="22"/>
        </w:rPr>
        <w:t>behavioral</w:t>
      </w:r>
      <w:proofErr w:type="spellEnd"/>
      <w:r w:rsidRPr="00F103FD">
        <w:rPr>
          <w:rFonts w:asciiTheme="minorHAnsi" w:eastAsiaTheme="minorEastAsia" w:hAnsiTheme="minorHAnsi" w:cstheme="minorHAnsi"/>
          <w:color w:val="000000"/>
          <w:sz w:val="22"/>
          <w:szCs w:val="22"/>
        </w:rPr>
        <w:t xml:space="preserve"> science, the team aims to emphasize the value of professional and international diversity in improving mental health care for young people.</w:t>
      </w:r>
    </w:p>
    <w:p w14:paraId="5BB79028" w14:textId="2E4637F9" w:rsidR="00C35CE0" w:rsidRPr="00CE7599" w:rsidRDefault="00DF16D8">
      <w:pPr>
        <w:pStyle w:val="Kop1"/>
        <w:rPr>
          <w:rFonts w:asciiTheme="minorHAnsi" w:hAnsiTheme="minorHAnsi" w:cstheme="minorHAnsi"/>
        </w:rPr>
      </w:pPr>
      <w:r w:rsidRPr="00CE7599">
        <w:rPr>
          <w:rFonts w:asciiTheme="minorHAnsi" w:hAnsiTheme="minorHAnsi" w:cstheme="minorHAnsi"/>
        </w:rPr>
        <w:t>Author contributions</w:t>
      </w:r>
    </w:p>
    <w:p w14:paraId="648CD900" w14:textId="6EC318F7" w:rsidR="0041729D" w:rsidRDefault="0041729D">
      <w:pPr>
        <w:spacing w:beforeAutospacing="1" w:afterAutospacing="1"/>
      </w:pPr>
      <w:r>
        <w:t>Bas de Veen (</w:t>
      </w:r>
      <w:proofErr w:type="spellStart"/>
      <w:r>
        <w:t>BdV</w:t>
      </w:r>
      <w:proofErr w:type="spellEnd"/>
      <w:r>
        <w:t xml:space="preserve">) was responsible for conceptualization and protocol development, data collection, data curation, and drafting of the manuscript. </w:t>
      </w:r>
      <w:proofErr w:type="spellStart"/>
      <w:r>
        <w:t>BdV</w:t>
      </w:r>
      <w:proofErr w:type="spellEnd"/>
      <w:r>
        <w:t xml:space="preserve"> and Katrin </w:t>
      </w:r>
      <w:proofErr w:type="spellStart"/>
      <w:r>
        <w:t>Bringmann</w:t>
      </w:r>
      <w:proofErr w:type="spellEnd"/>
      <w:r>
        <w:t xml:space="preserve"> (KB) will jointly conduct the data analysis; KB will also verify records and provide critical feedback on the manuscript. Pierre </w:t>
      </w:r>
      <w:proofErr w:type="spellStart"/>
      <w:r>
        <w:t>Herpers</w:t>
      </w:r>
      <w:proofErr w:type="spellEnd"/>
      <w:r>
        <w:t xml:space="preserve"> (PH), Martine van </w:t>
      </w:r>
      <w:proofErr w:type="spellStart"/>
      <w:r>
        <w:t>Dongen-Boomsma</w:t>
      </w:r>
      <w:proofErr w:type="spellEnd"/>
      <w:r>
        <w:t xml:space="preserve"> (</w:t>
      </w:r>
      <w:proofErr w:type="spellStart"/>
      <w:r>
        <w:t>MvDB</w:t>
      </w:r>
      <w:proofErr w:type="spellEnd"/>
      <w:r>
        <w:t xml:space="preserve">), </w:t>
      </w:r>
      <w:proofErr w:type="spellStart"/>
      <w:r>
        <w:t>Wouter</w:t>
      </w:r>
      <w:proofErr w:type="spellEnd"/>
      <w:r>
        <w:t xml:space="preserve"> </w:t>
      </w:r>
      <w:proofErr w:type="spellStart"/>
      <w:r>
        <w:t>Staal</w:t>
      </w:r>
      <w:proofErr w:type="spellEnd"/>
      <w:r>
        <w:t xml:space="preserve"> (WS), Ron Scholte (RS), and Peter Deschamps (PD) contributed to the design of the research and will offer critical revisions to the manuscript. </w:t>
      </w:r>
    </w:p>
    <w:p w14:paraId="37FA5916"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t>Conflicts of interest</w:t>
      </w:r>
    </w:p>
    <w:p w14:paraId="1A3873DE" w14:textId="2ECAB526" w:rsidR="00C35CE0" w:rsidRPr="00CE7599" w:rsidRDefault="00DF16D8">
      <w:pPr>
        <w:spacing w:beforeAutospacing="1" w:afterAutospacing="1"/>
        <w:rPr>
          <w:rFonts w:cstheme="minorHAnsi"/>
        </w:rPr>
      </w:pPr>
      <w:r w:rsidRPr="00CE7599">
        <w:rPr>
          <w:rFonts w:cstheme="minorHAnsi"/>
          <w:color w:val="000000"/>
        </w:rPr>
        <w:t>There is no conflict of interest in this project. </w:t>
      </w:r>
    </w:p>
    <w:p w14:paraId="02C1BB15"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t>References</w:t>
      </w:r>
    </w:p>
    <w:p w14:paraId="20D74BA4" w14:textId="77777777" w:rsidR="0041729D" w:rsidRPr="00CE7599" w:rsidRDefault="0041729D" w:rsidP="0041729D">
      <w:pPr>
        <w:spacing w:beforeAutospacing="1" w:afterAutospacing="1"/>
        <w:rPr>
          <w:rFonts w:cstheme="minorHAnsi"/>
          <w:color w:val="000000"/>
        </w:rPr>
      </w:pPr>
    </w:p>
    <w:p w14:paraId="379E04EC" w14:textId="77777777" w:rsidR="00B7725B" w:rsidRPr="00B7725B" w:rsidRDefault="0041729D" w:rsidP="00B7725B">
      <w:pPr>
        <w:pStyle w:val="EndNoteBibliography"/>
        <w:spacing w:after="0"/>
        <w:ind w:left="720" w:hanging="720"/>
        <w:rPr>
          <w:sz w:val="24"/>
        </w:rPr>
      </w:pPr>
      <w:r w:rsidRPr="00CE7599">
        <w:rPr>
          <w:rFonts w:asciiTheme="minorHAnsi" w:hAnsiTheme="minorHAnsi" w:cstheme="minorHAnsi"/>
        </w:rPr>
        <w:fldChar w:fldCharType="begin"/>
      </w:r>
      <w:r w:rsidRPr="00CE7599">
        <w:rPr>
          <w:rFonts w:asciiTheme="minorHAnsi" w:hAnsiTheme="minorHAnsi" w:cstheme="minorHAnsi"/>
        </w:rPr>
        <w:instrText xml:space="preserve"> ADDIN EN.REFLIST </w:instrText>
      </w:r>
      <w:r w:rsidRPr="00CE7599">
        <w:rPr>
          <w:rFonts w:asciiTheme="minorHAnsi" w:hAnsiTheme="minorHAnsi" w:cstheme="minorHAnsi"/>
        </w:rPr>
        <w:fldChar w:fldCharType="separate"/>
      </w:r>
      <w:r w:rsidR="00B7725B" w:rsidRPr="00B7725B">
        <w:rPr>
          <w:sz w:val="24"/>
        </w:rPr>
        <w:t xml:space="preserve">Hodes, M., Gau, S. S.-F., &amp; De Vries, P. J. (2018). </w:t>
      </w:r>
      <w:r w:rsidR="00B7725B" w:rsidRPr="00B7725B">
        <w:rPr>
          <w:i/>
          <w:sz w:val="24"/>
        </w:rPr>
        <w:t>Understanding uniqueness and diversity in child and adolescent mental health</w:t>
      </w:r>
      <w:r w:rsidR="00B7725B" w:rsidRPr="00B7725B">
        <w:rPr>
          <w:sz w:val="24"/>
        </w:rPr>
        <w:t xml:space="preserve">. Academic press. </w:t>
      </w:r>
    </w:p>
    <w:p w14:paraId="00A5B562" w14:textId="77777777" w:rsidR="00B7725B" w:rsidRPr="00B7725B" w:rsidRDefault="00B7725B" w:rsidP="00B7725B">
      <w:pPr>
        <w:pStyle w:val="EndNoteBibliography"/>
        <w:spacing w:after="0"/>
        <w:ind w:left="720" w:hanging="720"/>
        <w:rPr>
          <w:sz w:val="24"/>
        </w:rPr>
      </w:pPr>
      <w:r w:rsidRPr="00B7725B">
        <w:rPr>
          <w:sz w:val="24"/>
        </w:rPr>
        <w:t xml:space="preserve">Munn, Z., Aromataris, E., Tufanaru, C., et al. (2019). The development of software to support multiple systematic review types: the Joanna Briggs Institute System for the Unified Management, Assessment and Review of Information (JBI SUMARI). </w:t>
      </w:r>
      <w:r w:rsidRPr="00B7725B">
        <w:rPr>
          <w:i/>
          <w:sz w:val="24"/>
        </w:rPr>
        <w:t>JBI evidence implementation</w:t>
      </w:r>
      <w:r w:rsidRPr="00B7725B">
        <w:rPr>
          <w:sz w:val="24"/>
        </w:rPr>
        <w:t>,</w:t>
      </w:r>
      <w:r w:rsidRPr="00B7725B">
        <w:rPr>
          <w:i/>
          <w:sz w:val="24"/>
        </w:rPr>
        <w:t xml:space="preserve"> 17</w:t>
      </w:r>
      <w:r w:rsidRPr="00B7725B">
        <w:rPr>
          <w:sz w:val="24"/>
        </w:rPr>
        <w:t xml:space="preserve">(1), 36-43. </w:t>
      </w:r>
    </w:p>
    <w:p w14:paraId="578E246F" w14:textId="77777777" w:rsidR="00B7725B" w:rsidRPr="00B7725B" w:rsidRDefault="00B7725B" w:rsidP="00B7725B">
      <w:pPr>
        <w:pStyle w:val="EndNoteBibliography"/>
        <w:spacing w:after="0"/>
        <w:ind w:left="720" w:hanging="720"/>
        <w:rPr>
          <w:sz w:val="24"/>
        </w:rPr>
      </w:pPr>
      <w:r w:rsidRPr="00B7725B">
        <w:rPr>
          <w:sz w:val="24"/>
        </w:rPr>
        <w:t xml:space="preserve">Rebowska, A. (2017). European Federation of Psychiatric Trainees Exchange: Benefits to trainees and organisations. </w:t>
      </w:r>
      <w:r w:rsidRPr="00B7725B">
        <w:rPr>
          <w:i/>
          <w:sz w:val="24"/>
        </w:rPr>
        <w:t>European Psychiatry</w:t>
      </w:r>
      <w:r w:rsidRPr="00B7725B">
        <w:rPr>
          <w:sz w:val="24"/>
        </w:rPr>
        <w:t>,</w:t>
      </w:r>
      <w:r w:rsidRPr="00B7725B">
        <w:rPr>
          <w:i/>
          <w:sz w:val="24"/>
        </w:rPr>
        <w:t xml:space="preserve"> 41</w:t>
      </w:r>
      <w:r w:rsidRPr="00B7725B">
        <w:rPr>
          <w:sz w:val="24"/>
        </w:rPr>
        <w:t xml:space="preserve">(S1), s898-s898. </w:t>
      </w:r>
    </w:p>
    <w:p w14:paraId="1E1F55E9" w14:textId="77777777" w:rsidR="00B7725B" w:rsidRPr="00B7725B" w:rsidRDefault="00B7725B" w:rsidP="00B7725B">
      <w:pPr>
        <w:pStyle w:val="EndNoteBibliography"/>
        <w:spacing w:after="0"/>
        <w:ind w:left="720" w:hanging="720"/>
        <w:rPr>
          <w:sz w:val="24"/>
        </w:rPr>
      </w:pPr>
      <w:r w:rsidRPr="00B7725B">
        <w:rPr>
          <w:sz w:val="24"/>
        </w:rPr>
        <w:t xml:space="preserve">Tehrani, F. M., de Ridder, N., Santos, V., &amp; Konings, M. (2025). The Benefits of Active Participation in the European Federation of Psychiatric Trainees (EFPT) for Psychiatric Trainees Across Europe. </w:t>
      </w:r>
      <w:r w:rsidRPr="00B7725B">
        <w:rPr>
          <w:i/>
          <w:sz w:val="24"/>
        </w:rPr>
        <w:t>European Psychiatry</w:t>
      </w:r>
      <w:r w:rsidRPr="00B7725B">
        <w:rPr>
          <w:sz w:val="24"/>
        </w:rPr>
        <w:t>,</w:t>
      </w:r>
      <w:r w:rsidRPr="00B7725B">
        <w:rPr>
          <w:i/>
          <w:sz w:val="24"/>
        </w:rPr>
        <w:t xml:space="preserve"> 68</w:t>
      </w:r>
      <w:r w:rsidRPr="00B7725B">
        <w:rPr>
          <w:sz w:val="24"/>
        </w:rPr>
        <w:t xml:space="preserve">(S1), S1175-S1175. </w:t>
      </w:r>
    </w:p>
    <w:p w14:paraId="42AD9D18" w14:textId="77777777" w:rsidR="00B7725B" w:rsidRPr="00B7725B" w:rsidRDefault="00B7725B" w:rsidP="00B7725B">
      <w:pPr>
        <w:pStyle w:val="EndNoteBibliography"/>
        <w:ind w:left="720" w:hanging="720"/>
        <w:rPr>
          <w:sz w:val="24"/>
        </w:rPr>
      </w:pPr>
      <w:r w:rsidRPr="00B7725B">
        <w:rPr>
          <w:sz w:val="24"/>
        </w:rPr>
        <w:t xml:space="preserve">Tricco, A. C., Lillie, E., Zarin, W., et al. (2018). PRISMA extension for scoping reviews (PRISMA-ScR): checklist and explanation. </w:t>
      </w:r>
      <w:r w:rsidRPr="00B7725B">
        <w:rPr>
          <w:i/>
          <w:sz w:val="24"/>
        </w:rPr>
        <w:t>Annals of internal medicine</w:t>
      </w:r>
      <w:r w:rsidRPr="00B7725B">
        <w:rPr>
          <w:sz w:val="24"/>
        </w:rPr>
        <w:t>,</w:t>
      </w:r>
      <w:r w:rsidRPr="00B7725B">
        <w:rPr>
          <w:i/>
          <w:sz w:val="24"/>
        </w:rPr>
        <w:t xml:space="preserve"> 169</w:t>
      </w:r>
      <w:r w:rsidRPr="00B7725B">
        <w:rPr>
          <w:sz w:val="24"/>
        </w:rPr>
        <w:t xml:space="preserve">(7), 467-473. </w:t>
      </w:r>
    </w:p>
    <w:p w14:paraId="5D32C747" w14:textId="332F8FD5" w:rsidR="00C35CE0" w:rsidRPr="00CE7599" w:rsidRDefault="0041729D" w:rsidP="0041729D">
      <w:pPr>
        <w:spacing w:beforeAutospacing="1" w:afterAutospacing="1"/>
        <w:rPr>
          <w:rFonts w:cstheme="minorHAnsi"/>
        </w:rPr>
      </w:pPr>
      <w:r w:rsidRPr="00CE7599">
        <w:rPr>
          <w:rFonts w:cstheme="minorHAnsi"/>
        </w:rPr>
        <w:lastRenderedPageBreak/>
        <w:fldChar w:fldCharType="end"/>
      </w:r>
      <w:r w:rsidR="00DF16D8" w:rsidRPr="00CE7599">
        <w:rPr>
          <w:rFonts w:cstheme="minorHAnsi"/>
        </w:rPr>
        <w:br/>
      </w:r>
    </w:p>
    <w:p w14:paraId="0013E6E9" w14:textId="77777777" w:rsidR="00C35CE0" w:rsidRPr="00CE7599" w:rsidRDefault="00C35CE0">
      <w:pPr>
        <w:spacing w:beforeAutospacing="1" w:afterAutospacing="1"/>
        <w:rPr>
          <w:rFonts w:cstheme="minorHAnsi"/>
        </w:rPr>
      </w:pPr>
    </w:p>
    <w:p w14:paraId="168E2348" w14:textId="77777777" w:rsidR="00C35CE0" w:rsidRPr="00CE7599" w:rsidRDefault="00DF16D8">
      <w:pPr>
        <w:pStyle w:val="Kop1"/>
        <w:rPr>
          <w:rFonts w:asciiTheme="minorHAnsi" w:hAnsiTheme="minorHAnsi" w:cstheme="minorHAnsi"/>
        </w:rPr>
      </w:pPr>
      <w:r w:rsidRPr="00CE7599">
        <w:rPr>
          <w:rFonts w:asciiTheme="minorHAnsi" w:hAnsiTheme="minorHAnsi" w:cstheme="minorHAnsi"/>
        </w:rPr>
        <w:t>Appendices</w:t>
      </w:r>
    </w:p>
    <w:p w14:paraId="65EC4232"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Appendix I: Search strategy</w:t>
      </w:r>
    </w:p>
    <w:p w14:paraId="33B452C6" w14:textId="77777777" w:rsidR="00C35CE0" w:rsidRPr="00CE7599" w:rsidRDefault="00DF16D8">
      <w:pPr>
        <w:spacing w:beforeAutospacing="1" w:afterAutospacing="1"/>
        <w:rPr>
          <w:rFonts w:cstheme="minorHAnsi"/>
        </w:rPr>
      </w:pPr>
      <w:r w:rsidRPr="00CE7599">
        <w:rPr>
          <w:rFonts w:cstheme="minorHAnsi"/>
          <w:color w:val="000000"/>
        </w:rPr>
        <w:t>For protocols - present a full search strategy for at least one electronic database including planned limits, such that it can be reviewed and repeated. For systematic reviews all search strategies should be presented.</w:t>
      </w:r>
    </w:p>
    <w:p w14:paraId="27D838B1" w14:textId="77777777" w:rsidR="00C35CE0" w:rsidRPr="00CE7599" w:rsidRDefault="00DF16D8">
      <w:pPr>
        <w:spacing w:beforeAutospacing="1" w:afterAutospacing="1"/>
        <w:rPr>
          <w:rFonts w:cstheme="minorHAnsi"/>
        </w:rPr>
      </w:pPr>
      <w:r w:rsidRPr="00CE7599">
        <w:rPr>
          <w:rFonts w:cstheme="minorHAnsi"/>
          <w:color w:val="000000"/>
        </w:rPr>
        <w:t>The search strategy should detail the following information: the name of the information source and the platform/service provider used to search the particular database, eg, CINAHL (via Ovid); all the search terms to be used (both keywords/text words and index terms should be included) and how they are to be combined using Boolean logic; the use of truncation and wildcards; all planned limits (date, language, etc.); and the number of records retrieved by the search.</w:t>
      </w:r>
      <w:r w:rsidRPr="00CE7599">
        <w:rPr>
          <w:rFonts w:cstheme="minorHAnsi"/>
        </w:rPr>
        <w:br/>
      </w:r>
    </w:p>
    <w:p w14:paraId="2D03B212" w14:textId="77777777" w:rsidR="00C35CE0" w:rsidRPr="00CE7599" w:rsidRDefault="00DF16D8">
      <w:pPr>
        <w:spacing w:beforeAutospacing="1" w:afterAutospacing="1"/>
        <w:rPr>
          <w:rFonts w:cstheme="minorHAnsi"/>
        </w:rPr>
      </w:pPr>
      <w:r w:rsidRPr="00CE7599">
        <w:rPr>
          <w:rFonts w:cstheme="minorHAnsi"/>
          <w:color w:val="000000"/>
        </w:rPr>
        <w:t>Insert name of database (insert name of the platform/service provider), e.g. MEDLINE (Ovid)</w:t>
      </w:r>
    </w:p>
    <w:p w14:paraId="01D3393B" w14:textId="77777777" w:rsidR="00C35CE0" w:rsidRPr="00CE7599" w:rsidRDefault="00DF16D8">
      <w:pPr>
        <w:spacing w:beforeAutospacing="1" w:afterAutospacing="1"/>
        <w:rPr>
          <w:rFonts w:cstheme="minorHAnsi"/>
        </w:rPr>
      </w:pPr>
      <w:r w:rsidRPr="00CE7599">
        <w:rPr>
          <w:rFonts w:cstheme="minorHAnsi"/>
          <w:color w:val="000000"/>
        </w:rPr>
        <w:t>Search conducted on </w:t>
      </w:r>
    </w:p>
    <w:p w14:paraId="1F473400" w14:textId="77777777" w:rsidR="00C35CE0" w:rsidRPr="00CE7599" w:rsidRDefault="00DF16D8">
      <w:pPr>
        <w:spacing w:beforeAutospacing="1" w:afterAutospacing="1"/>
        <w:rPr>
          <w:rFonts w:cstheme="minorHAnsi"/>
        </w:rPr>
      </w:pPr>
      <w:r w:rsidRPr="00CE7599">
        <w:rPr>
          <w:rFonts w:cstheme="minorHAnsi"/>
          <w:color w:val="000000"/>
        </w:rPr>
        <w:t>month/year</w:t>
      </w:r>
    </w:p>
    <w:p w14:paraId="09A293E3" w14:textId="77777777" w:rsidR="00C35CE0" w:rsidRPr="00CE7599" w:rsidRDefault="00DF16D8">
      <w:pPr>
        <w:pStyle w:val="Kop3"/>
        <w:rPr>
          <w:rFonts w:asciiTheme="minorHAnsi" w:hAnsiTheme="minorHAnsi" w:cstheme="minorHAnsi"/>
        </w:rPr>
      </w:pPr>
      <w:r w:rsidRPr="00CE7599">
        <w:rPr>
          <w:rFonts w:asciiTheme="minorHAnsi" w:hAnsiTheme="minorHAnsi" w:cstheme="minorHAnsi"/>
        </w:rPr>
        <w:t>Appendix II: Data extraction instrument</w:t>
      </w:r>
    </w:p>
    <w:p w14:paraId="7AE99180" w14:textId="77777777" w:rsidR="000352BC" w:rsidRPr="00CE7599" w:rsidRDefault="00DF16D8">
      <w:pPr>
        <w:spacing w:beforeAutospacing="1" w:afterAutospacing="1"/>
        <w:rPr>
          <w:rFonts w:cstheme="minorHAnsi"/>
          <w:color w:val="000000"/>
        </w:rPr>
      </w:pPr>
      <w:r w:rsidRPr="00CE7599">
        <w:rPr>
          <w:rFonts w:cstheme="minorHAnsi"/>
          <w:color w:val="000000"/>
        </w:rPr>
        <w:t>#Only append the JBI or non-JBI data extraction instrument if the standardized tool has been modified in any way, otherwise simply cite the tool used in the text. Any modifications made to the instrument should also be described in the text.#</w:t>
      </w:r>
    </w:p>
    <w:p w14:paraId="3D101234" w14:textId="3BFAD557" w:rsidR="00C35CE0" w:rsidRPr="00CE7599" w:rsidRDefault="00C35CE0">
      <w:pPr>
        <w:spacing w:beforeAutospacing="1" w:afterAutospacing="1"/>
        <w:rPr>
          <w:rFonts w:cstheme="minorHAnsi"/>
        </w:rPr>
      </w:pPr>
    </w:p>
    <w:sectPr w:rsidR="00C35CE0" w:rsidRPr="00CE7599">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74386" w14:textId="77777777" w:rsidR="001F502D" w:rsidRDefault="001F502D" w:rsidP="00710936">
      <w:pPr>
        <w:spacing w:after="0" w:line="240" w:lineRule="auto"/>
      </w:pPr>
      <w:r>
        <w:separator/>
      </w:r>
    </w:p>
  </w:endnote>
  <w:endnote w:type="continuationSeparator" w:id="0">
    <w:p w14:paraId="3261F85C" w14:textId="77777777" w:rsidR="001F502D" w:rsidRDefault="001F502D" w:rsidP="00710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1FA80" w14:textId="77777777" w:rsidR="00710936" w:rsidRPr="00710936" w:rsidRDefault="00710936" w:rsidP="00710936">
    <w:pPr>
      <w:widowControl w:val="0"/>
      <w:pBdr>
        <w:top w:val="single" w:sz="4" w:space="0" w:color="auto"/>
      </w:pBdr>
      <w:autoSpaceDE w:val="0"/>
      <w:autoSpaceDN w:val="0"/>
      <w:adjustRightInd w:val="0"/>
      <w:spacing w:after="0" w:line="240" w:lineRule="auto"/>
      <w:jc w:val="right"/>
      <w:rPr>
        <w:rFonts w:eastAsia="Times New Roman" w:cstheme="minorHAnsi"/>
        <w:sz w:val="24"/>
        <w:szCs w:val="24"/>
      </w:rPr>
    </w:pPr>
    <w:r w:rsidRPr="00710936">
      <w:rPr>
        <w:rFonts w:eastAsia="Times New Roman" w:cstheme="minorHAnsi"/>
        <w:iCs/>
        <w:sz w:val="18"/>
        <w:szCs w:val="18"/>
      </w:rPr>
      <w:t xml:space="preserve">Page </w:t>
    </w:r>
    <w:r w:rsidR="0034117E" w:rsidRPr="0034117E">
      <w:rPr>
        <w:rFonts w:eastAsia="Times New Roman" w:cstheme="minorHAnsi"/>
        <w:iCs/>
        <w:sz w:val="18"/>
        <w:szCs w:val="18"/>
      </w:rPr>
      <w:fldChar w:fldCharType="begin"/>
    </w:r>
    <w:r w:rsidR="0034117E" w:rsidRPr="0034117E">
      <w:rPr>
        <w:rFonts w:eastAsia="Times New Roman" w:cstheme="minorHAnsi"/>
        <w:iCs/>
        <w:sz w:val="18"/>
        <w:szCs w:val="18"/>
      </w:rPr>
      <w:instrText xml:space="preserve"> PAGE   \* MERGEFORMAT </w:instrText>
    </w:r>
    <w:r w:rsidR="0034117E" w:rsidRPr="0034117E">
      <w:rPr>
        <w:rFonts w:eastAsia="Times New Roman" w:cstheme="minorHAnsi"/>
        <w:iCs/>
        <w:sz w:val="18"/>
        <w:szCs w:val="18"/>
      </w:rPr>
      <w:fldChar w:fldCharType="separate"/>
    </w:r>
    <w:r w:rsidR="0034117E">
      <w:rPr>
        <w:rFonts w:eastAsia="Times New Roman" w:cstheme="minorHAnsi"/>
        <w:iCs/>
        <w:noProof/>
        <w:sz w:val="18"/>
        <w:szCs w:val="18"/>
      </w:rPr>
      <w:t>1</w:t>
    </w:r>
    <w:r w:rsidR="0034117E" w:rsidRPr="0034117E">
      <w:rPr>
        <w:rFonts w:eastAsia="Times New Roman" w:cstheme="minorHAnsi"/>
        <w:iCs/>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173AF" w14:textId="77777777" w:rsidR="001F502D" w:rsidRDefault="001F502D" w:rsidP="00710936">
      <w:pPr>
        <w:spacing w:after="0" w:line="240" w:lineRule="auto"/>
      </w:pPr>
      <w:r>
        <w:separator/>
      </w:r>
    </w:p>
  </w:footnote>
  <w:footnote w:type="continuationSeparator" w:id="0">
    <w:p w14:paraId="7EC183B8" w14:textId="77777777" w:rsidR="001F502D" w:rsidRDefault="001F502D" w:rsidP="007109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52E38"/>
    <w:multiLevelType w:val="multilevel"/>
    <w:tmpl w:val="96F4A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_edited_TCP&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frrttrgevxskefwfove05ra0tatr0axa92&quot;&gt;School attendance paper&lt;record-ids&gt;&lt;item&gt;66&lt;/item&gt;&lt;item&gt;824&lt;/item&gt;&lt;item&gt;825&lt;/item&gt;&lt;item&gt;826&lt;/item&gt;&lt;item&gt;831&lt;/item&gt;&lt;/record-ids&gt;&lt;/item&gt;&lt;/Libraries&gt;"/>
  </w:docVars>
  <w:rsids>
    <w:rsidRoot w:val="00710936"/>
    <w:rsid w:val="00025276"/>
    <w:rsid w:val="000352BC"/>
    <w:rsid w:val="001507F4"/>
    <w:rsid w:val="001A0AE6"/>
    <w:rsid w:val="001F502D"/>
    <w:rsid w:val="0032437F"/>
    <w:rsid w:val="0034117E"/>
    <w:rsid w:val="0041729D"/>
    <w:rsid w:val="004234C1"/>
    <w:rsid w:val="00445852"/>
    <w:rsid w:val="004852DA"/>
    <w:rsid w:val="00485EA7"/>
    <w:rsid w:val="004E4F6A"/>
    <w:rsid w:val="00530387"/>
    <w:rsid w:val="005665DD"/>
    <w:rsid w:val="005C1CA5"/>
    <w:rsid w:val="006B34A3"/>
    <w:rsid w:val="00710936"/>
    <w:rsid w:val="007809E4"/>
    <w:rsid w:val="008120DD"/>
    <w:rsid w:val="00812F20"/>
    <w:rsid w:val="0083229C"/>
    <w:rsid w:val="0089764D"/>
    <w:rsid w:val="008A7943"/>
    <w:rsid w:val="009D7D6D"/>
    <w:rsid w:val="009E6C2B"/>
    <w:rsid w:val="00A43E9B"/>
    <w:rsid w:val="00B01BF0"/>
    <w:rsid w:val="00B7725B"/>
    <w:rsid w:val="00C35CE0"/>
    <w:rsid w:val="00CE7599"/>
    <w:rsid w:val="00D56741"/>
    <w:rsid w:val="00DF16D8"/>
    <w:rsid w:val="00E20258"/>
    <w:rsid w:val="00EC408C"/>
    <w:rsid w:val="00ED6726"/>
    <w:rsid w:val="00EF2CF2"/>
    <w:rsid w:val="00F103FD"/>
    <w:rsid w:val="00F109CB"/>
    <w:rsid w:val="00F1458A"/>
    <w:rsid w:val="00F2718B"/>
    <w:rsid w:val="00F75B8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8FBD"/>
  <w15:chartTrackingRefBased/>
  <w15:docId w15:val="{8A329D5E-54FB-454A-AB4F-C5535B73E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5852"/>
  </w:style>
  <w:style w:type="paragraph" w:styleId="Kop1">
    <w:name w:val="heading 1"/>
    <w:basedOn w:val="Standaard"/>
    <w:next w:val="Standaard"/>
    <w:link w:val="Kop1Char"/>
    <w:uiPriority w:val="9"/>
    <w:qFormat/>
    <w:rsid w:val="00445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445852"/>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Kop3">
    <w:name w:val="heading 3"/>
    <w:basedOn w:val="Standaard"/>
    <w:next w:val="Standaard"/>
    <w:link w:val="Kop3Char"/>
    <w:uiPriority w:val="9"/>
    <w:unhideWhenUsed/>
    <w:qFormat/>
    <w:rsid w:val="00445852"/>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Kop4">
    <w:name w:val="heading 4"/>
    <w:basedOn w:val="Standaard"/>
    <w:next w:val="Standaard"/>
    <w:link w:val="Kop4Char"/>
    <w:uiPriority w:val="9"/>
    <w:semiHidden/>
    <w:unhideWhenUsed/>
    <w:qFormat/>
    <w:rsid w:val="0044585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45852"/>
    <w:pPr>
      <w:keepNext/>
      <w:keepLines/>
      <w:spacing w:before="40" w:after="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445852"/>
    <w:pPr>
      <w:keepNext/>
      <w:keepLines/>
      <w:spacing w:before="40" w:after="0"/>
      <w:outlineLvl w:val="5"/>
    </w:pPr>
    <w:rPr>
      <w:rFonts w:asciiTheme="majorHAnsi" w:eastAsiaTheme="majorEastAsia" w:hAnsiTheme="majorHAnsi" w:cstheme="majorBidi"/>
      <w:color w:val="1F3864" w:themeColor="accent1" w:themeShade="80"/>
    </w:rPr>
  </w:style>
  <w:style w:type="paragraph" w:styleId="Kop7">
    <w:name w:val="heading 7"/>
    <w:basedOn w:val="Standaard"/>
    <w:next w:val="Standaard"/>
    <w:link w:val="Kop7Char"/>
    <w:uiPriority w:val="9"/>
    <w:semiHidden/>
    <w:unhideWhenUsed/>
    <w:qFormat/>
    <w:rsid w:val="00445852"/>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Kop8">
    <w:name w:val="heading 8"/>
    <w:basedOn w:val="Standaard"/>
    <w:next w:val="Standaard"/>
    <w:link w:val="Kop8Char"/>
    <w:uiPriority w:val="9"/>
    <w:semiHidden/>
    <w:unhideWhenUsed/>
    <w:qFormat/>
    <w:rsid w:val="00445852"/>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Kop9">
    <w:name w:val="heading 9"/>
    <w:basedOn w:val="Standaard"/>
    <w:next w:val="Standaard"/>
    <w:link w:val="Kop9Char"/>
    <w:uiPriority w:val="9"/>
    <w:semiHidden/>
    <w:unhideWhenUsed/>
    <w:qFormat/>
    <w:rsid w:val="00445852"/>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10936"/>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710936"/>
  </w:style>
  <w:style w:type="paragraph" w:styleId="Voettekst">
    <w:name w:val="footer"/>
    <w:basedOn w:val="Standaard"/>
    <w:link w:val="VoettekstChar"/>
    <w:uiPriority w:val="99"/>
    <w:unhideWhenUsed/>
    <w:rsid w:val="00710936"/>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710936"/>
  </w:style>
  <w:style w:type="paragraph" w:styleId="Titel">
    <w:name w:val="Title"/>
    <w:basedOn w:val="Standaard"/>
    <w:next w:val="Standaard"/>
    <w:link w:val="TitelChar"/>
    <w:uiPriority w:val="10"/>
    <w:qFormat/>
    <w:rsid w:val="00445852"/>
    <w:pPr>
      <w:spacing w:after="0" w:line="240" w:lineRule="auto"/>
      <w:contextualSpacing/>
    </w:pPr>
    <w:rPr>
      <w:rFonts w:asciiTheme="majorHAnsi" w:eastAsiaTheme="majorEastAsia" w:hAnsiTheme="majorHAnsi" w:cstheme="majorBidi"/>
      <w:spacing w:val="-10"/>
      <w:sz w:val="56"/>
      <w:szCs w:val="56"/>
    </w:rPr>
  </w:style>
  <w:style w:type="character" w:customStyle="1" w:styleId="TitelChar">
    <w:name w:val="Titel Char"/>
    <w:basedOn w:val="Standaardalinea-lettertype"/>
    <w:link w:val="Titel"/>
    <w:uiPriority w:val="10"/>
    <w:rsid w:val="00445852"/>
    <w:rPr>
      <w:rFonts w:asciiTheme="majorHAnsi" w:eastAsiaTheme="majorEastAsia" w:hAnsiTheme="majorHAnsi" w:cstheme="majorBidi"/>
      <w:spacing w:val="-10"/>
      <w:sz w:val="56"/>
      <w:szCs w:val="56"/>
    </w:rPr>
  </w:style>
  <w:style w:type="character" w:customStyle="1" w:styleId="Kop1Char">
    <w:name w:val="Kop 1 Char"/>
    <w:basedOn w:val="Standaardalinea-lettertype"/>
    <w:link w:val="Kop1"/>
    <w:uiPriority w:val="9"/>
    <w:rsid w:val="0044585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445852"/>
    <w:rPr>
      <w:rFonts w:asciiTheme="majorHAnsi" w:eastAsiaTheme="majorEastAsia" w:hAnsiTheme="majorHAnsi" w:cstheme="majorBidi"/>
      <w:color w:val="2F5496" w:themeColor="accent1" w:themeShade="BF"/>
      <w:sz w:val="28"/>
      <w:szCs w:val="28"/>
    </w:rPr>
  </w:style>
  <w:style w:type="character" w:customStyle="1" w:styleId="Kop3Char">
    <w:name w:val="Kop 3 Char"/>
    <w:basedOn w:val="Standaardalinea-lettertype"/>
    <w:link w:val="Kop3"/>
    <w:uiPriority w:val="9"/>
    <w:rsid w:val="00445852"/>
    <w:rPr>
      <w:rFonts w:asciiTheme="majorHAnsi" w:eastAsiaTheme="majorEastAsia" w:hAnsiTheme="majorHAnsi" w:cstheme="majorBidi"/>
      <w:color w:val="1F3864" w:themeColor="accent1" w:themeShade="80"/>
      <w:sz w:val="24"/>
      <w:szCs w:val="24"/>
    </w:rPr>
  </w:style>
  <w:style w:type="character" w:customStyle="1" w:styleId="Kop4Char">
    <w:name w:val="Kop 4 Char"/>
    <w:basedOn w:val="Standaardalinea-lettertype"/>
    <w:link w:val="Kop4"/>
    <w:uiPriority w:val="9"/>
    <w:semiHidden/>
    <w:rsid w:val="00445852"/>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445852"/>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445852"/>
    <w:rPr>
      <w:rFonts w:asciiTheme="majorHAnsi" w:eastAsiaTheme="majorEastAsia" w:hAnsiTheme="majorHAnsi" w:cstheme="majorBidi"/>
      <w:color w:val="1F3864" w:themeColor="accent1" w:themeShade="80"/>
    </w:rPr>
  </w:style>
  <w:style w:type="character" w:customStyle="1" w:styleId="Kop7Char">
    <w:name w:val="Kop 7 Char"/>
    <w:basedOn w:val="Standaardalinea-lettertype"/>
    <w:link w:val="Kop7"/>
    <w:uiPriority w:val="9"/>
    <w:semiHidden/>
    <w:rsid w:val="00445852"/>
    <w:rPr>
      <w:rFonts w:asciiTheme="majorHAnsi" w:eastAsiaTheme="majorEastAsia" w:hAnsiTheme="majorHAnsi" w:cstheme="majorBidi"/>
      <w:i/>
      <w:iCs/>
      <w:color w:val="1F3864" w:themeColor="accent1" w:themeShade="80"/>
    </w:rPr>
  </w:style>
  <w:style w:type="character" w:customStyle="1" w:styleId="Kop8Char">
    <w:name w:val="Kop 8 Char"/>
    <w:basedOn w:val="Standaardalinea-lettertype"/>
    <w:link w:val="Kop8"/>
    <w:uiPriority w:val="9"/>
    <w:semiHidden/>
    <w:rsid w:val="00445852"/>
    <w:rPr>
      <w:rFonts w:asciiTheme="majorHAnsi" w:eastAsiaTheme="majorEastAsia" w:hAnsiTheme="majorHAnsi" w:cstheme="majorBidi"/>
      <w:color w:val="262626" w:themeColor="text1" w:themeTint="D9"/>
      <w:sz w:val="21"/>
      <w:szCs w:val="21"/>
    </w:rPr>
  </w:style>
  <w:style w:type="character" w:customStyle="1" w:styleId="Kop9Char">
    <w:name w:val="Kop 9 Char"/>
    <w:basedOn w:val="Standaardalinea-lettertype"/>
    <w:link w:val="Kop9"/>
    <w:uiPriority w:val="9"/>
    <w:semiHidden/>
    <w:rsid w:val="00445852"/>
    <w:rPr>
      <w:rFonts w:asciiTheme="majorHAnsi" w:eastAsiaTheme="majorEastAsia" w:hAnsiTheme="majorHAnsi" w:cstheme="majorBidi"/>
      <w:i/>
      <w:iCs/>
      <w:color w:val="262626" w:themeColor="text1" w:themeTint="D9"/>
      <w:sz w:val="21"/>
      <w:szCs w:val="21"/>
    </w:rPr>
  </w:style>
  <w:style w:type="paragraph" w:styleId="Bijschrift">
    <w:name w:val="caption"/>
    <w:basedOn w:val="Standaard"/>
    <w:next w:val="Standaard"/>
    <w:uiPriority w:val="35"/>
    <w:semiHidden/>
    <w:unhideWhenUsed/>
    <w:qFormat/>
    <w:rsid w:val="00445852"/>
    <w:pPr>
      <w:spacing w:after="200" w:line="240" w:lineRule="auto"/>
    </w:pPr>
    <w:rPr>
      <w:i/>
      <w:iCs/>
      <w:color w:val="44546A" w:themeColor="text2"/>
      <w:sz w:val="18"/>
      <w:szCs w:val="18"/>
    </w:rPr>
  </w:style>
  <w:style w:type="paragraph" w:styleId="Ondertitel">
    <w:name w:val="Subtitle"/>
    <w:basedOn w:val="Standaard"/>
    <w:next w:val="Standaard"/>
    <w:link w:val="OndertitelChar"/>
    <w:uiPriority w:val="11"/>
    <w:qFormat/>
    <w:rsid w:val="00445852"/>
    <w:pPr>
      <w:numPr>
        <w:ilvl w:val="1"/>
      </w:numPr>
    </w:pPr>
    <w:rPr>
      <w:color w:val="5A5A5A" w:themeColor="text1" w:themeTint="A5"/>
      <w:spacing w:val="15"/>
    </w:rPr>
  </w:style>
  <w:style w:type="character" w:customStyle="1" w:styleId="OndertitelChar">
    <w:name w:val="Ondertitel Char"/>
    <w:basedOn w:val="Standaardalinea-lettertype"/>
    <w:link w:val="Ondertitel"/>
    <w:uiPriority w:val="11"/>
    <w:rsid w:val="00445852"/>
    <w:rPr>
      <w:color w:val="5A5A5A" w:themeColor="text1" w:themeTint="A5"/>
      <w:spacing w:val="15"/>
    </w:rPr>
  </w:style>
  <w:style w:type="character" w:styleId="Zwaar">
    <w:name w:val="Strong"/>
    <w:basedOn w:val="Standaardalinea-lettertype"/>
    <w:uiPriority w:val="22"/>
    <w:qFormat/>
    <w:rsid w:val="00445852"/>
    <w:rPr>
      <w:b/>
      <w:bCs/>
      <w:color w:val="auto"/>
    </w:rPr>
  </w:style>
  <w:style w:type="character" w:styleId="Nadruk">
    <w:name w:val="Emphasis"/>
    <w:basedOn w:val="Standaardalinea-lettertype"/>
    <w:uiPriority w:val="20"/>
    <w:qFormat/>
    <w:rsid w:val="00445852"/>
    <w:rPr>
      <w:i/>
      <w:iCs/>
      <w:color w:val="auto"/>
    </w:rPr>
  </w:style>
  <w:style w:type="paragraph" w:styleId="Geenafstand">
    <w:name w:val="No Spacing"/>
    <w:uiPriority w:val="1"/>
    <w:qFormat/>
    <w:rsid w:val="00445852"/>
    <w:pPr>
      <w:spacing w:after="0" w:line="240" w:lineRule="auto"/>
    </w:pPr>
  </w:style>
  <w:style w:type="paragraph" w:styleId="Citaat">
    <w:name w:val="Quote"/>
    <w:basedOn w:val="Standaard"/>
    <w:next w:val="Standaard"/>
    <w:link w:val="CitaatChar"/>
    <w:uiPriority w:val="29"/>
    <w:qFormat/>
    <w:rsid w:val="00445852"/>
    <w:pPr>
      <w:spacing w:before="200"/>
      <w:ind w:left="864" w:right="864"/>
    </w:pPr>
    <w:rPr>
      <w:i/>
      <w:iCs/>
      <w:color w:val="404040" w:themeColor="text1" w:themeTint="BF"/>
    </w:rPr>
  </w:style>
  <w:style w:type="character" w:customStyle="1" w:styleId="CitaatChar">
    <w:name w:val="Citaat Char"/>
    <w:basedOn w:val="Standaardalinea-lettertype"/>
    <w:link w:val="Citaat"/>
    <w:uiPriority w:val="29"/>
    <w:rsid w:val="00445852"/>
    <w:rPr>
      <w:i/>
      <w:iCs/>
      <w:color w:val="404040" w:themeColor="text1" w:themeTint="BF"/>
    </w:rPr>
  </w:style>
  <w:style w:type="paragraph" w:styleId="Duidelijkcitaat">
    <w:name w:val="Intense Quote"/>
    <w:basedOn w:val="Standaard"/>
    <w:next w:val="Standaard"/>
    <w:link w:val="DuidelijkcitaatChar"/>
    <w:uiPriority w:val="30"/>
    <w:qFormat/>
    <w:rsid w:val="0044585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445852"/>
    <w:rPr>
      <w:i/>
      <w:iCs/>
      <w:color w:val="4472C4" w:themeColor="accent1"/>
    </w:rPr>
  </w:style>
  <w:style w:type="character" w:styleId="Subtielebenadrukking">
    <w:name w:val="Subtle Emphasis"/>
    <w:basedOn w:val="Standaardalinea-lettertype"/>
    <w:uiPriority w:val="19"/>
    <w:qFormat/>
    <w:rsid w:val="00445852"/>
    <w:rPr>
      <w:i/>
      <w:iCs/>
      <w:color w:val="404040" w:themeColor="text1" w:themeTint="BF"/>
    </w:rPr>
  </w:style>
  <w:style w:type="character" w:styleId="Intensievebenadrukking">
    <w:name w:val="Intense Emphasis"/>
    <w:basedOn w:val="Standaardalinea-lettertype"/>
    <w:uiPriority w:val="21"/>
    <w:qFormat/>
    <w:rsid w:val="00445852"/>
    <w:rPr>
      <w:i/>
      <w:iCs/>
      <w:color w:val="4472C4" w:themeColor="accent1"/>
    </w:rPr>
  </w:style>
  <w:style w:type="character" w:styleId="Subtieleverwijzing">
    <w:name w:val="Subtle Reference"/>
    <w:basedOn w:val="Standaardalinea-lettertype"/>
    <w:uiPriority w:val="31"/>
    <w:qFormat/>
    <w:rsid w:val="00445852"/>
    <w:rPr>
      <w:smallCaps/>
      <w:color w:val="404040" w:themeColor="text1" w:themeTint="BF"/>
    </w:rPr>
  </w:style>
  <w:style w:type="character" w:styleId="Intensieveverwijzing">
    <w:name w:val="Intense Reference"/>
    <w:basedOn w:val="Standaardalinea-lettertype"/>
    <w:uiPriority w:val="32"/>
    <w:qFormat/>
    <w:rsid w:val="00445852"/>
    <w:rPr>
      <w:b/>
      <w:bCs/>
      <w:smallCaps/>
      <w:color w:val="4472C4" w:themeColor="accent1"/>
      <w:spacing w:val="5"/>
    </w:rPr>
  </w:style>
  <w:style w:type="character" w:styleId="Titelvanboek">
    <w:name w:val="Book Title"/>
    <w:basedOn w:val="Standaardalinea-lettertype"/>
    <w:uiPriority w:val="33"/>
    <w:qFormat/>
    <w:rsid w:val="00445852"/>
    <w:rPr>
      <w:b/>
      <w:bCs/>
      <w:i/>
      <w:iCs/>
      <w:spacing w:val="5"/>
    </w:rPr>
  </w:style>
  <w:style w:type="paragraph" w:styleId="Kopvaninhoudsopgave">
    <w:name w:val="TOC Heading"/>
    <w:basedOn w:val="Kop1"/>
    <w:next w:val="Standaard"/>
    <w:uiPriority w:val="39"/>
    <w:semiHidden/>
    <w:unhideWhenUsed/>
    <w:qFormat/>
    <w:rsid w:val="00445852"/>
    <w:pPr>
      <w:outlineLvl w:val="9"/>
    </w:pPr>
  </w:style>
  <w:style w:type="paragraph" w:customStyle="1" w:styleId="EndNoteBibliographyTitle">
    <w:name w:val="EndNote Bibliography Title"/>
    <w:basedOn w:val="Standaard"/>
    <w:link w:val="EndNoteBibliographyTitleChar"/>
    <w:rsid w:val="000352BC"/>
    <w:pPr>
      <w:spacing w:after="0"/>
      <w:jc w:val="center"/>
    </w:pPr>
    <w:rPr>
      <w:rFonts w:ascii="Calibri" w:hAnsi="Calibri" w:cs="Calibri"/>
      <w:noProof/>
      <w:lang w:val="en-US"/>
    </w:rPr>
  </w:style>
  <w:style w:type="character" w:customStyle="1" w:styleId="EndNoteBibliographyTitleChar">
    <w:name w:val="EndNote Bibliography Title Char"/>
    <w:basedOn w:val="Standaardalinea-lettertype"/>
    <w:link w:val="EndNoteBibliographyTitle"/>
    <w:rsid w:val="000352BC"/>
    <w:rPr>
      <w:rFonts w:ascii="Calibri" w:hAnsi="Calibri" w:cs="Calibri"/>
      <w:noProof/>
      <w:lang w:val="en-US"/>
    </w:rPr>
  </w:style>
  <w:style w:type="paragraph" w:customStyle="1" w:styleId="EndNoteBibliography">
    <w:name w:val="EndNote Bibliography"/>
    <w:basedOn w:val="Standaard"/>
    <w:link w:val="EndNoteBibliographyChar"/>
    <w:rsid w:val="000352BC"/>
    <w:pPr>
      <w:spacing w:line="240" w:lineRule="auto"/>
    </w:pPr>
    <w:rPr>
      <w:rFonts w:ascii="Calibri" w:hAnsi="Calibri" w:cs="Calibri"/>
      <w:noProof/>
      <w:lang w:val="en-US"/>
    </w:rPr>
  </w:style>
  <w:style w:type="character" w:customStyle="1" w:styleId="EndNoteBibliographyChar">
    <w:name w:val="EndNote Bibliography Char"/>
    <w:basedOn w:val="Standaardalinea-lettertype"/>
    <w:link w:val="EndNoteBibliography"/>
    <w:rsid w:val="000352BC"/>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580549">
      <w:bodyDiv w:val="1"/>
      <w:marLeft w:val="0"/>
      <w:marRight w:val="0"/>
      <w:marTop w:val="0"/>
      <w:marBottom w:val="0"/>
      <w:divBdr>
        <w:top w:val="none" w:sz="0" w:space="0" w:color="auto"/>
        <w:left w:val="none" w:sz="0" w:space="0" w:color="auto"/>
        <w:bottom w:val="none" w:sz="0" w:space="0" w:color="auto"/>
        <w:right w:val="none" w:sz="0" w:space="0" w:color="auto"/>
      </w:divBdr>
    </w:div>
    <w:div w:id="957637349">
      <w:bodyDiv w:val="1"/>
      <w:marLeft w:val="0"/>
      <w:marRight w:val="0"/>
      <w:marTop w:val="0"/>
      <w:marBottom w:val="0"/>
      <w:divBdr>
        <w:top w:val="none" w:sz="0" w:space="0" w:color="auto"/>
        <w:left w:val="none" w:sz="0" w:space="0" w:color="auto"/>
        <w:bottom w:val="none" w:sz="0" w:space="0" w:color="auto"/>
        <w:right w:val="none" w:sz="0" w:space="0" w:color="auto"/>
      </w:divBdr>
    </w:div>
    <w:div w:id="1486167268">
      <w:bodyDiv w:val="1"/>
      <w:marLeft w:val="0"/>
      <w:marRight w:val="0"/>
      <w:marTop w:val="0"/>
      <w:marBottom w:val="0"/>
      <w:divBdr>
        <w:top w:val="none" w:sz="0" w:space="0" w:color="auto"/>
        <w:left w:val="none" w:sz="0" w:space="0" w:color="auto"/>
        <w:bottom w:val="none" w:sz="0" w:space="0" w:color="auto"/>
        <w:right w:val="none" w:sz="0" w:space="0" w:color="auto"/>
      </w:divBdr>
    </w:div>
    <w:div w:id="1631738346">
      <w:bodyDiv w:val="1"/>
      <w:marLeft w:val="0"/>
      <w:marRight w:val="0"/>
      <w:marTop w:val="0"/>
      <w:marBottom w:val="0"/>
      <w:divBdr>
        <w:top w:val="none" w:sz="0" w:space="0" w:color="auto"/>
        <w:left w:val="none" w:sz="0" w:space="0" w:color="auto"/>
        <w:bottom w:val="none" w:sz="0" w:space="0" w:color="auto"/>
        <w:right w:val="none" w:sz="0" w:space="0" w:color="auto"/>
      </w:divBdr>
      <w:divsChild>
        <w:div w:id="1057555917">
          <w:marLeft w:val="0"/>
          <w:marRight w:val="0"/>
          <w:marTop w:val="0"/>
          <w:marBottom w:val="0"/>
          <w:divBdr>
            <w:top w:val="none" w:sz="0" w:space="0" w:color="auto"/>
            <w:left w:val="none" w:sz="0" w:space="0" w:color="auto"/>
            <w:bottom w:val="none" w:sz="0" w:space="0" w:color="auto"/>
            <w:right w:val="none" w:sz="0" w:space="0" w:color="auto"/>
          </w:divBdr>
          <w:divsChild>
            <w:div w:id="1570270070">
              <w:marLeft w:val="0"/>
              <w:marRight w:val="0"/>
              <w:marTop w:val="0"/>
              <w:marBottom w:val="0"/>
              <w:divBdr>
                <w:top w:val="none" w:sz="0" w:space="0" w:color="auto"/>
                <w:left w:val="none" w:sz="0" w:space="0" w:color="auto"/>
                <w:bottom w:val="none" w:sz="0" w:space="0" w:color="auto"/>
                <w:right w:val="none" w:sz="0" w:space="0" w:color="auto"/>
              </w:divBdr>
              <w:divsChild>
                <w:div w:id="872231602">
                  <w:marLeft w:val="0"/>
                  <w:marRight w:val="0"/>
                  <w:marTop w:val="0"/>
                  <w:marBottom w:val="0"/>
                  <w:divBdr>
                    <w:top w:val="none" w:sz="0" w:space="0" w:color="auto"/>
                    <w:left w:val="none" w:sz="0" w:space="0" w:color="auto"/>
                    <w:bottom w:val="none" w:sz="0" w:space="0" w:color="auto"/>
                    <w:right w:val="none" w:sz="0" w:space="0" w:color="auto"/>
                  </w:divBdr>
                  <w:divsChild>
                    <w:div w:id="1814642146">
                      <w:marLeft w:val="0"/>
                      <w:marRight w:val="0"/>
                      <w:marTop w:val="0"/>
                      <w:marBottom w:val="0"/>
                      <w:divBdr>
                        <w:top w:val="none" w:sz="0" w:space="0" w:color="auto"/>
                        <w:left w:val="none" w:sz="0" w:space="0" w:color="auto"/>
                        <w:bottom w:val="none" w:sz="0" w:space="0" w:color="auto"/>
                        <w:right w:val="none" w:sz="0" w:space="0" w:color="auto"/>
                      </w:divBdr>
                      <w:divsChild>
                        <w:div w:id="1133016952">
                          <w:marLeft w:val="0"/>
                          <w:marRight w:val="0"/>
                          <w:marTop w:val="0"/>
                          <w:marBottom w:val="0"/>
                          <w:divBdr>
                            <w:top w:val="none" w:sz="0" w:space="0" w:color="auto"/>
                            <w:left w:val="none" w:sz="0" w:space="0" w:color="auto"/>
                            <w:bottom w:val="none" w:sz="0" w:space="0" w:color="auto"/>
                            <w:right w:val="none" w:sz="0" w:space="0" w:color="auto"/>
                          </w:divBdr>
                          <w:divsChild>
                            <w:div w:id="1448353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8169753">
          <w:marLeft w:val="0"/>
          <w:marRight w:val="0"/>
          <w:marTop w:val="0"/>
          <w:marBottom w:val="0"/>
          <w:divBdr>
            <w:top w:val="none" w:sz="0" w:space="0" w:color="auto"/>
            <w:left w:val="none" w:sz="0" w:space="0" w:color="auto"/>
            <w:bottom w:val="none" w:sz="0" w:space="0" w:color="auto"/>
            <w:right w:val="none" w:sz="0" w:space="0" w:color="auto"/>
          </w:divBdr>
          <w:divsChild>
            <w:div w:id="620305797">
              <w:marLeft w:val="0"/>
              <w:marRight w:val="0"/>
              <w:marTop w:val="0"/>
              <w:marBottom w:val="0"/>
              <w:divBdr>
                <w:top w:val="none" w:sz="0" w:space="0" w:color="auto"/>
                <w:left w:val="none" w:sz="0" w:space="0" w:color="auto"/>
                <w:bottom w:val="none" w:sz="0" w:space="0" w:color="auto"/>
                <w:right w:val="none" w:sz="0" w:space="0" w:color="auto"/>
              </w:divBdr>
              <w:divsChild>
                <w:div w:id="1595506177">
                  <w:marLeft w:val="0"/>
                  <w:marRight w:val="0"/>
                  <w:marTop w:val="0"/>
                  <w:marBottom w:val="0"/>
                  <w:divBdr>
                    <w:top w:val="none" w:sz="0" w:space="0" w:color="auto"/>
                    <w:left w:val="none" w:sz="0" w:space="0" w:color="auto"/>
                    <w:bottom w:val="none" w:sz="0" w:space="0" w:color="auto"/>
                    <w:right w:val="none" w:sz="0" w:space="0" w:color="auto"/>
                  </w:divBdr>
                  <w:divsChild>
                    <w:div w:id="1374963699">
                      <w:marLeft w:val="0"/>
                      <w:marRight w:val="0"/>
                      <w:marTop w:val="0"/>
                      <w:marBottom w:val="0"/>
                      <w:divBdr>
                        <w:top w:val="none" w:sz="0" w:space="0" w:color="auto"/>
                        <w:left w:val="none" w:sz="0" w:space="0" w:color="auto"/>
                        <w:bottom w:val="none" w:sz="0" w:space="0" w:color="auto"/>
                        <w:right w:val="none" w:sz="0" w:space="0" w:color="auto"/>
                      </w:divBdr>
                      <w:divsChild>
                        <w:div w:id="491024290">
                          <w:marLeft w:val="0"/>
                          <w:marRight w:val="0"/>
                          <w:marTop w:val="0"/>
                          <w:marBottom w:val="0"/>
                          <w:divBdr>
                            <w:top w:val="none" w:sz="0" w:space="0" w:color="auto"/>
                            <w:left w:val="none" w:sz="0" w:space="0" w:color="auto"/>
                            <w:bottom w:val="none" w:sz="0" w:space="0" w:color="auto"/>
                            <w:right w:val="none" w:sz="0" w:space="0" w:color="auto"/>
                          </w:divBdr>
                          <w:divsChild>
                            <w:div w:id="316568852">
                              <w:marLeft w:val="0"/>
                              <w:marRight w:val="0"/>
                              <w:marTop w:val="0"/>
                              <w:marBottom w:val="0"/>
                              <w:divBdr>
                                <w:top w:val="none" w:sz="0" w:space="0" w:color="auto"/>
                                <w:left w:val="none" w:sz="0" w:space="0" w:color="auto"/>
                                <w:bottom w:val="none" w:sz="0" w:space="0" w:color="auto"/>
                                <w:right w:val="none" w:sz="0" w:space="0" w:color="auto"/>
                              </w:divBdr>
                              <w:divsChild>
                                <w:div w:id="571889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0577695">
          <w:marLeft w:val="0"/>
          <w:marRight w:val="0"/>
          <w:marTop w:val="0"/>
          <w:marBottom w:val="0"/>
          <w:divBdr>
            <w:top w:val="none" w:sz="0" w:space="0" w:color="auto"/>
            <w:left w:val="none" w:sz="0" w:space="0" w:color="auto"/>
            <w:bottom w:val="none" w:sz="0" w:space="0" w:color="auto"/>
            <w:right w:val="none" w:sz="0" w:space="0" w:color="auto"/>
          </w:divBdr>
          <w:divsChild>
            <w:div w:id="1337459103">
              <w:marLeft w:val="0"/>
              <w:marRight w:val="0"/>
              <w:marTop w:val="0"/>
              <w:marBottom w:val="0"/>
              <w:divBdr>
                <w:top w:val="none" w:sz="0" w:space="0" w:color="auto"/>
                <w:left w:val="none" w:sz="0" w:space="0" w:color="auto"/>
                <w:bottom w:val="none" w:sz="0" w:space="0" w:color="auto"/>
                <w:right w:val="none" w:sz="0" w:space="0" w:color="auto"/>
              </w:divBdr>
              <w:divsChild>
                <w:div w:id="512955499">
                  <w:marLeft w:val="0"/>
                  <w:marRight w:val="0"/>
                  <w:marTop w:val="0"/>
                  <w:marBottom w:val="0"/>
                  <w:divBdr>
                    <w:top w:val="none" w:sz="0" w:space="0" w:color="auto"/>
                    <w:left w:val="none" w:sz="0" w:space="0" w:color="auto"/>
                    <w:bottom w:val="none" w:sz="0" w:space="0" w:color="auto"/>
                    <w:right w:val="none" w:sz="0" w:space="0" w:color="auto"/>
                  </w:divBdr>
                  <w:divsChild>
                    <w:div w:id="1904172403">
                      <w:marLeft w:val="0"/>
                      <w:marRight w:val="0"/>
                      <w:marTop w:val="0"/>
                      <w:marBottom w:val="0"/>
                      <w:divBdr>
                        <w:top w:val="none" w:sz="0" w:space="0" w:color="auto"/>
                        <w:left w:val="none" w:sz="0" w:space="0" w:color="auto"/>
                        <w:bottom w:val="none" w:sz="0" w:space="0" w:color="auto"/>
                        <w:right w:val="none" w:sz="0" w:space="0" w:color="auto"/>
                      </w:divBdr>
                      <w:divsChild>
                        <w:div w:id="825130362">
                          <w:marLeft w:val="0"/>
                          <w:marRight w:val="0"/>
                          <w:marTop w:val="0"/>
                          <w:marBottom w:val="0"/>
                          <w:divBdr>
                            <w:top w:val="none" w:sz="0" w:space="0" w:color="auto"/>
                            <w:left w:val="none" w:sz="0" w:space="0" w:color="auto"/>
                            <w:bottom w:val="none" w:sz="0" w:space="0" w:color="auto"/>
                            <w:right w:val="none" w:sz="0" w:space="0" w:color="auto"/>
                          </w:divBdr>
                          <w:divsChild>
                            <w:div w:id="190672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5737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B987FD-773E-408D-A507-93271BEEC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3410</Words>
  <Characters>18756</Characters>
  <Application>Microsoft Office Word</Application>
  <DocSecurity>0</DocSecurity>
  <Lines>156</Lines>
  <Paragraphs>44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Ilicic</dc:creator>
  <cp:keywords/>
  <dc:description/>
  <cp:lastModifiedBy>Bas de Veen</cp:lastModifiedBy>
  <cp:revision>5</cp:revision>
  <dcterms:created xsi:type="dcterms:W3CDTF">2025-09-17T14:28:00Z</dcterms:created>
  <dcterms:modified xsi:type="dcterms:W3CDTF">2025-09-17T14:32:00Z</dcterms:modified>
</cp:coreProperties>
</file>