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9C0BD2" w14:textId="77777777" w:rsidR="003767FC" w:rsidRPr="0014727B" w:rsidRDefault="003767FC" w:rsidP="003767FC">
      <w:pPr>
        <w:spacing w:line="240" w:lineRule="auto"/>
        <w:jc w:val="center"/>
        <w:rPr>
          <w:rFonts w:ascii="Times New Roman" w:hAnsi="Times New Roman" w:cs="Times New Roman"/>
          <w:sz w:val="22"/>
          <w:lang w:val="en-GB"/>
        </w:rPr>
      </w:pPr>
      <w:r w:rsidRPr="0014727B">
        <w:rPr>
          <w:rFonts w:ascii="Times New Roman" w:hAnsi="Times New Roman" w:cs="Times New Roman"/>
          <w:noProof/>
          <w:sz w:val="22"/>
        </w:rPr>
        <w:drawing>
          <wp:inline distT="0" distB="0" distL="0" distR="0" wp14:anchorId="2F289886" wp14:editId="437012BD">
            <wp:extent cx="4133956" cy="4935650"/>
            <wp:effectExtent l="0" t="0" r="0" b="0"/>
            <wp:docPr id="9" name="그림 9"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9" descr="A picture containing indoor&#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57099" cy="4963281"/>
                    </a:xfrm>
                    <a:prstGeom prst="rect">
                      <a:avLst/>
                    </a:prstGeom>
                    <a:noFill/>
                  </pic:spPr>
                </pic:pic>
              </a:graphicData>
            </a:graphic>
          </wp:inline>
        </w:drawing>
      </w:r>
    </w:p>
    <w:p w14:paraId="137E3901" w14:textId="77777777" w:rsidR="003767FC" w:rsidRPr="0014727B" w:rsidRDefault="003767FC" w:rsidP="003767FC">
      <w:pPr>
        <w:spacing w:line="240" w:lineRule="auto"/>
        <w:rPr>
          <w:rFonts w:ascii="Times New Roman" w:eastAsia="Cambria" w:hAnsi="Times New Roman" w:cs="Times New Roman"/>
          <w:b/>
          <w:lang w:val="en-GB"/>
        </w:rPr>
      </w:pPr>
      <w:r w:rsidRPr="0014727B">
        <w:rPr>
          <w:rFonts w:ascii="Times New Roman" w:eastAsia="Cambria" w:hAnsi="Times New Roman" w:cs="Times New Roman"/>
          <w:b/>
          <w:lang w:val="en-GB"/>
        </w:rPr>
        <w:t xml:space="preserve">Extended Fig. </w:t>
      </w:r>
      <w:r w:rsidRPr="0014727B">
        <w:rPr>
          <w:rFonts w:ascii="Times New Roman" w:hAnsi="Times New Roman" w:cs="Times New Roman"/>
          <w:b/>
          <w:lang w:val="en-GB"/>
        </w:rPr>
        <w:t>1</w:t>
      </w:r>
      <w:r w:rsidRPr="0014727B">
        <w:rPr>
          <w:rFonts w:ascii="Times New Roman" w:eastAsia="Cambria" w:hAnsi="Times New Roman" w:cs="Times New Roman"/>
          <w:b/>
          <w:lang w:val="en-GB"/>
        </w:rPr>
        <w:t>. (a) The Korean Superconducting Tokamak Advanced Research (KSTAR) device at KFE, Republic of Korea. (b) The fusion plasmas confined in KSTAR.</w:t>
      </w:r>
    </w:p>
    <w:p w14:paraId="6C5D9A4D" w14:textId="77777777" w:rsidR="003767FC" w:rsidRPr="0014727B" w:rsidRDefault="003767FC" w:rsidP="003767FC">
      <w:pPr>
        <w:spacing w:line="240" w:lineRule="auto"/>
        <w:rPr>
          <w:rFonts w:ascii="Times New Roman" w:eastAsia="Cambria" w:hAnsi="Times New Roman" w:cs="Times New Roman"/>
          <w:b/>
          <w:lang w:val="en-GB"/>
        </w:rPr>
      </w:pPr>
    </w:p>
    <w:p w14:paraId="5DF56BFD" w14:textId="77777777" w:rsidR="003767FC" w:rsidRPr="0014727B" w:rsidRDefault="003767FC" w:rsidP="003767FC">
      <w:pPr>
        <w:spacing w:line="240" w:lineRule="auto"/>
        <w:rPr>
          <w:rFonts w:ascii="Times New Roman" w:hAnsi="Times New Roman" w:cs="Times New Roman"/>
          <w:b/>
          <w:lang w:val="en-GB"/>
        </w:rPr>
      </w:pPr>
      <w:r w:rsidRPr="0014727B">
        <w:rPr>
          <w:rFonts w:ascii="Times New Roman" w:eastAsia="Cambria" w:hAnsi="Times New Roman" w:cs="Times New Roman"/>
          <w:b/>
          <w:noProof/>
        </w:rPr>
        <w:lastRenderedPageBreak/>
        <w:drawing>
          <wp:inline distT="0" distB="0" distL="0" distR="0" wp14:anchorId="3D8BB021" wp14:editId="32F0C92A">
            <wp:extent cx="5153344" cy="3499218"/>
            <wp:effectExtent l="0" t="0" r="0" b="0"/>
            <wp:docPr id="35" name="그림 35"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그림 35" descr="Graphical user interface, application&#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178297" cy="3516162"/>
                    </a:xfrm>
                    <a:prstGeom prst="rect">
                      <a:avLst/>
                    </a:prstGeom>
                    <a:noFill/>
                  </pic:spPr>
                </pic:pic>
              </a:graphicData>
            </a:graphic>
          </wp:inline>
        </w:drawing>
      </w:r>
      <w:r w:rsidRPr="0014727B">
        <w:rPr>
          <w:rFonts w:ascii="Times New Roman" w:eastAsia="Cambria" w:hAnsi="Times New Roman" w:cs="Times New Roman"/>
          <w:b/>
          <w:lang w:val="en-GB"/>
        </w:rPr>
        <w:t xml:space="preserve">Extended Extended Fig. </w:t>
      </w:r>
      <w:r w:rsidRPr="0014727B">
        <w:rPr>
          <w:rFonts w:ascii="Times New Roman" w:hAnsi="Times New Roman" w:cs="Times New Roman"/>
          <w:b/>
          <w:lang w:val="en-GB"/>
        </w:rPr>
        <w:t>2</w:t>
      </w:r>
      <w:r w:rsidRPr="0014727B">
        <w:rPr>
          <w:rFonts w:ascii="Times New Roman" w:eastAsia="Cambria" w:hAnsi="Times New Roman" w:cs="Times New Roman"/>
          <w:b/>
          <w:lang w:val="en-GB"/>
        </w:rPr>
        <w:t xml:space="preserve">. </w:t>
      </w:r>
      <w:r w:rsidRPr="0014727B">
        <w:rPr>
          <w:rFonts w:ascii="Times New Roman" w:hAnsi="Times New Roman" w:cs="Times New Roman"/>
          <w:b/>
          <w:lang w:val="en-GB"/>
        </w:rPr>
        <w:t>The ITB characteristics of FIRE mode (shot 22663);</w:t>
      </w:r>
      <w:r w:rsidRPr="0014727B">
        <w:rPr>
          <w:rFonts w:ascii="Times New Roman" w:eastAsia="Cambria" w:hAnsi="Times New Roman" w:cs="Times New Roman"/>
          <w:b/>
          <w:lang w:val="en-GB"/>
        </w:rPr>
        <w:t xml:space="preserve"> (a) </w:t>
      </w:r>
      <w:r w:rsidRPr="0014727B">
        <w:rPr>
          <w:rFonts w:ascii="Times New Roman" w:eastAsia="Times New Roman" w:hAnsi="Times New Roman" w:cs="Times New Roman"/>
          <w:b/>
          <w:lang w:val="en-GB"/>
        </w:rPr>
        <w:t>Time evolution of the thermal ion heat diffusivity in ρ</w:t>
      </w:r>
      <w:r w:rsidRPr="0014727B">
        <w:rPr>
          <w:rFonts w:ascii="Times New Roman" w:eastAsia="Times New Roman" w:hAnsi="Times New Roman" w:cs="Times New Roman"/>
          <w:b/>
          <w:vertAlign w:val="subscript"/>
          <w:lang w:val="en-GB"/>
        </w:rPr>
        <w:t>n</w:t>
      </w:r>
      <w:r w:rsidRPr="0014727B">
        <w:rPr>
          <w:rFonts w:ascii="Times New Roman" w:hAnsi="Times New Roman" w:cs="Times New Roman"/>
          <w:b/>
          <w:lang w:val="en-GB"/>
        </w:rPr>
        <w:t xml:space="preserve"> calculated</w:t>
      </w:r>
      <w:r w:rsidRPr="0014727B">
        <w:rPr>
          <w:rFonts w:ascii="Times New Roman" w:eastAsia="Times New Roman" w:hAnsi="Times New Roman" w:cs="Times New Roman"/>
          <w:b/>
          <w:lang w:val="en-GB"/>
        </w:rPr>
        <w:t xml:space="preserve"> </w:t>
      </w:r>
      <w:r w:rsidRPr="0014727B">
        <w:rPr>
          <w:rFonts w:ascii="Times New Roman" w:hAnsi="Times New Roman" w:cs="Times New Roman"/>
          <w:b/>
          <w:lang w:val="en-GB"/>
        </w:rPr>
        <w:t>from</w:t>
      </w:r>
      <w:r w:rsidRPr="0014727B">
        <w:rPr>
          <w:rFonts w:ascii="Times New Roman" w:eastAsia="Times New Roman" w:hAnsi="Times New Roman" w:cs="Times New Roman"/>
          <w:b/>
          <w:lang w:val="en-GB"/>
        </w:rPr>
        <w:t xml:space="preserve"> </w:t>
      </w:r>
      <w:r w:rsidRPr="0014727B">
        <w:rPr>
          <w:rFonts w:ascii="Times New Roman" w:hAnsi="Times New Roman" w:cs="Times New Roman"/>
          <w:b/>
          <w:lang w:val="en-GB"/>
        </w:rPr>
        <w:t>power</w:t>
      </w:r>
      <w:r w:rsidRPr="0014727B">
        <w:rPr>
          <w:rFonts w:ascii="Times New Roman" w:eastAsia="Times New Roman" w:hAnsi="Times New Roman" w:cs="Times New Roman"/>
          <w:b/>
          <w:lang w:val="en-GB"/>
        </w:rPr>
        <w:t xml:space="preserve"> </w:t>
      </w:r>
      <w:r w:rsidRPr="0014727B">
        <w:rPr>
          <w:rFonts w:ascii="Times New Roman" w:hAnsi="Times New Roman" w:cs="Times New Roman"/>
          <w:b/>
          <w:lang w:val="en-GB"/>
        </w:rPr>
        <w:t>balance</w:t>
      </w:r>
      <w:r w:rsidRPr="0014727B">
        <w:rPr>
          <w:rFonts w:ascii="Times New Roman" w:eastAsia="Times New Roman" w:hAnsi="Times New Roman" w:cs="Times New Roman"/>
          <w:b/>
          <w:lang w:val="en-GB"/>
        </w:rPr>
        <w:t xml:space="preserve"> </w:t>
      </w:r>
      <w:r w:rsidRPr="0014727B">
        <w:rPr>
          <w:rFonts w:ascii="Times New Roman" w:hAnsi="Times New Roman" w:cs="Times New Roman"/>
          <w:b/>
          <w:lang w:val="en-GB"/>
        </w:rPr>
        <w:t>analysis,</w:t>
      </w:r>
      <w:r w:rsidRPr="0014727B">
        <w:rPr>
          <w:rFonts w:ascii="Times New Roman" w:eastAsia="Times New Roman" w:hAnsi="Times New Roman" w:cs="Times New Roman"/>
          <w:b/>
          <w:lang w:val="en-GB"/>
        </w:rPr>
        <w:t xml:space="preserve"> </w:t>
      </w:r>
      <w:r w:rsidRPr="0014727B">
        <w:rPr>
          <w:rFonts w:ascii="Times New Roman" w:hAnsi="Times New Roman" w:cs="Times New Roman"/>
          <w:b/>
          <w:lang w:val="en-GB"/>
        </w:rPr>
        <w:t>which</w:t>
      </w:r>
      <w:r w:rsidRPr="0014727B">
        <w:rPr>
          <w:rFonts w:ascii="Times New Roman" w:eastAsia="Times New Roman" w:hAnsi="Times New Roman" w:cs="Times New Roman"/>
          <w:b/>
          <w:lang w:val="en-GB"/>
        </w:rPr>
        <w:t xml:space="preserve"> represent</w:t>
      </w:r>
      <w:r w:rsidRPr="0014727B">
        <w:rPr>
          <w:rFonts w:ascii="Times New Roman" w:hAnsi="Times New Roman" w:cs="Times New Roman"/>
          <w:b/>
          <w:lang w:val="en-GB"/>
        </w:rPr>
        <w:t>s</w:t>
      </w:r>
      <w:r w:rsidRPr="0014727B">
        <w:rPr>
          <w:rFonts w:ascii="Times New Roman" w:eastAsia="Times New Roman" w:hAnsi="Times New Roman" w:cs="Times New Roman"/>
          <w:b/>
          <w:lang w:val="en-GB"/>
        </w:rPr>
        <w:t xml:space="preserve"> the transport of thermal ion’s energy. They are calculated with TRIASSIC incorporating NUBEAM, NCLASS, and ASTRA. </w:t>
      </w:r>
      <w:r w:rsidRPr="0014727B">
        <w:rPr>
          <w:rFonts w:ascii="Times New Roman" w:hAnsi="Times New Roman" w:cs="Times New Roman"/>
          <w:b/>
          <w:lang w:val="en-GB"/>
        </w:rPr>
        <w:t>The normalised ion</w:t>
      </w:r>
      <w:r w:rsidRPr="0014727B">
        <w:rPr>
          <w:rFonts w:ascii="Times New Roman" w:eastAsia="Cambria" w:hAnsi="Times New Roman" w:cs="Times New Roman"/>
          <w:b/>
          <w:lang w:val="en-GB"/>
        </w:rPr>
        <w:t xml:space="preserve"> </w:t>
      </w:r>
      <w:r w:rsidRPr="0014727B">
        <w:rPr>
          <w:rFonts w:ascii="Times New Roman" w:hAnsi="Times New Roman" w:cs="Times New Roman"/>
          <w:b/>
          <w:lang w:val="en-GB"/>
        </w:rPr>
        <w:t>temperature</w:t>
      </w:r>
      <w:r w:rsidRPr="0014727B">
        <w:rPr>
          <w:rFonts w:ascii="Times New Roman" w:eastAsia="Cambria" w:hAnsi="Times New Roman" w:cs="Times New Roman"/>
          <w:b/>
          <w:lang w:val="en-GB"/>
        </w:rPr>
        <w:t xml:space="preserve"> </w:t>
      </w:r>
      <w:r w:rsidRPr="0014727B">
        <w:rPr>
          <w:rFonts w:ascii="Times New Roman" w:hAnsi="Times New Roman" w:cs="Times New Roman"/>
          <w:b/>
          <w:lang w:val="en-GB"/>
        </w:rPr>
        <w:t>gradient</w:t>
      </w:r>
      <w:r w:rsidRPr="0014727B">
        <w:rPr>
          <w:rFonts w:ascii="Times New Roman" w:eastAsia="Cambria" w:hAnsi="Times New Roman" w:cs="Times New Roman"/>
          <w:b/>
          <w:lang w:val="en-GB"/>
        </w:rPr>
        <w:t xml:space="preserve"> </w:t>
      </w:r>
      <w:r w:rsidRPr="0014727B">
        <w:rPr>
          <w:rFonts w:ascii="Times New Roman" w:hAnsi="Times New Roman" w:cs="Times New Roman"/>
          <w:b/>
          <w:lang w:val="en-GB"/>
        </w:rPr>
        <w:t xml:space="preserve">length profile (b) and the thermal ion heat diffusivity profile (c) calculated from the power balance analysis at 3.75 s, 4.55 s, and 5.35 s. The black, red, and blue curves correspond to the time points indicated by arrows in (a). The ITG critical values and the neoclassical heat diffusivity are presented in gray in (b) </w:t>
      </w:r>
    </w:p>
    <w:p w14:paraId="2B3CB808" w14:textId="77777777" w:rsidR="003767FC" w:rsidRPr="0014727B" w:rsidRDefault="003767FC" w:rsidP="003767FC">
      <w:pPr>
        <w:spacing w:line="240" w:lineRule="auto"/>
        <w:jc w:val="center"/>
        <w:rPr>
          <w:rFonts w:ascii="Times New Roman" w:hAnsi="Times New Roman" w:cs="Times New Roman"/>
          <w:sz w:val="22"/>
          <w:lang w:val="en-GB"/>
        </w:rPr>
      </w:pPr>
    </w:p>
    <w:p w14:paraId="536CCCB1" w14:textId="77777777" w:rsidR="003767FC" w:rsidRPr="0014727B" w:rsidRDefault="003767FC" w:rsidP="003767FC">
      <w:pPr>
        <w:spacing w:line="240" w:lineRule="auto"/>
        <w:jc w:val="center"/>
        <w:rPr>
          <w:rFonts w:ascii="Times New Roman" w:hAnsi="Times New Roman" w:cs="Times New Roman"/>
          <w:sz w:val="22"/>
          <w:lang w:val="en-GB"/>
        </w:rPr>
      </w:pPr>
      <w:r w:rsidRPr="0014727B">
        <w:rPr>
          <w:rFonts w:ascii="Times New Roman" w:hAnsi="Times New Roman" w:cs="Times New Roman"/>
          <w:noProof/>
          <w:sz w:val="22"/>
        </w:rPr>
        <w:drawing>
          <wp:inline distT="0" distB="0" distL="0" distR="0" wp14:anchorId="5A622EAB" wp14:editId="03A52ADE">
            <wp:extent cx="2857972" cy="2389416"/>
            <wp:effectExtent l="0" t="0" r="0" b="0"/>
            <wp:docPr id="2" name="그림 2"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descr="Chart, surface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72649" cy="2401687"/>
                    </a:xfrm>
                    <a:prstGeom prst="rect">
                      <a:avLst/>
                    </a:prstGeom>
                    <a:noFill/>
                  </pic:spPr>
                </pic:pic>
              </a:graphicData>
            </a:graphic>
          </wp:inline>
        </w:drawing>
      </w:r>
    </w:p>
    <w:p w14:paraId="0FF58E93" w14:textId="77777777" w:rsidR="003767FC" w:rsidRPr="0014727B" w:rsidRDefault="003767FC" w:rsidP="003767FC">
      <w:pPr>
        <w:spacing w:line="240" w:lineRule="auto"/>
        <w:rPr>
          <w:rFonts w:ascii="Times New Roman" w:eastAsiaTheme="majorEastAsia" w:hAnsi="Times New Roman" w:cs="Times New Roman"/>
          <w:b/>
          <w:lang w:val="en-GB"/>
        </w:rPr>
      </w:pPr>
      <w:r w:rsidRPr="0014727B">
        <w:rPr>
          <w:rFonts w:ascii="Times New Roman" w:eastAsia="Cambria" w:hAnsi="Times New Roman" w:cs="Times New Roman"/>
          <w:b/>
          <w:lang w:val="en-GB"/>
        </w:rPr>
        <w:t xml:space="preserve">Extended Fig. 3. </w:t>
      </w:r>
      <w:r w:rsidRPr="0014727B">
        <w:rPr>
          <w:rFonts w:ascii="Times New Roman" w:hAnsi="Times New Roman" w:cs="Times New Roman"/>
          <w:b/>
          <w:lang w:val="en-GB"/>
        </w:rPr>
        <w:t>The ITB characteristics of FIRE mode (shot 22663); “S-curve” in the 3-D landscape of the flux-gradient space. The</w:t>
      </w:r>
      <w:r w:rsidRPr="0014727B">
        <w:rPr>
          <w:rFonts w:ascii="Times New Roman" w:eastAsiaTheme="majorEastAsia" w:hAnsi="Times New Roman" w:cs="Times New Roman"/>
          <w:b/>
          <w:lang w:val="en-GB"/>
        </w:rPr>
        <w:t xml:space="preserve"> normalised ion energy flux to the thermal ion density versus the ion temperature gradient are plotted for </w:t>
      </w:r>
      <m:oMath>
        <m:sSub>
          <m:sSubPr>
            <m:ctrlPr>
              <w:rPr>
                <w:rFonts w:ascii="Cambria Math" w:eastAsiaTheme="majorEastAsia" w:hAnsi="Cambria Math" w:cs="Times New Roman"/>
                <w:b/>
                <w:lang w:val="en-GB"/>
              </w:rPr>
            </m:ctrlPr>
          </m:sSubPr>
          <m:e>
            <m:r>
              <m:rPr>
                <m:sty m:val="b"/>
              </m:rPr>
              <w:rPr>
                <w:rFonts w:ascii="Cambria Math" w:eastAsiaTheme="majorEastAsia" w:hAnsi="Cambria Math" w:cs="Times New Roman"/>
                <w:lang w:val="en-GB"/>
              </w:rPr>
              <m:t>ρ</m:t>
            </m:r>
          </m:e>
          <m:sub>
            <m:r>
              <m:rPr>
                <m:sty m:val="b"/>
              </m:rPr>
              <w:rPr>
                <w:rFonts w:ascii="Cambria Math" w:eastAsiaTheme="majorEastAsia" w:hAnsi="Cambria Math" w:cs="Times New Roman"/>
                <w:lang w:val="en-GB"/>
              </w:rPr>
              <m:t>n</m:t>
            </m:r>
          </m:sub>
        </m:sSub>
      </m:oMath>
      <w:r w:rsidRPr="0014727B">
        <w:rPr>
          <w:rFonts w:ascii="Times New Roman" w:eastAsiaTheme="majorEastAsia" w:hAnsi="Times New Roman" w:cs="Times New Roman"/>
          <w:b/>
          <w:lang w:val="en-GB"/>
        </w:rPr>
        <w:t xml:space="preserve"> = 0.3, 0.4, 0.5, and 0.6 from 3.7 s to 5.7 s. </w:t>
      </w:r>
      <w:r w:rsidRPr="0014727B">
        <w:rPr>
          <w:rFonts w:ascii="Times New Roman" w:hAnsi="Times New Roman" w:cs="Times New Roman"/>
          <w:b/>
          <w:lang w:val="en-GB"/>
        </w:rPr>
        <w:t xml:space="preserve">The transport bifurcation occurs at </w:t>
      </w:r>
      <m:oMath>
        <m:sSub>
          <m:sSubPr>
            <m:ctrlPr>
              <w:rPr>
                <w:rFonts w:ascii="Cambria Math" w:eastAsia="Times New Roman" w:hAnsi="Cambria Math" w:cs="Times New Roman"/>
                <w:b/>
                <w:lang w:val="en-GB"/>
              </w:rPr>
            </m:ctrlPr>
          </m:sSubPr>
          <m:e>
            <m:r>
              <m:rPr>
                <m:sty m:val="b"/>
              </m:rPr>
              <w:rPr>
                <w:rFonts w:ascii="Cambria Math" w:eastAsia="Times New Roman" w:hAnsi="Cambria Math" w:cs="Times New Roman"/>
                <w:lang w:val="en-GB"/>
              </w:rPr>
              <m:t>ρ</m:t>
            </m:r>
          </m:e>
          <m:sub>
            <m:r>
              <m:rPr>
                <m:sty m:val="b"/>
              </m:rPr>
              <w:rPr>
                <w:rFonts w:ascii="Cambria Math" w:eastAsia="Times New Roman" w:hAnsi="Cambria Math" w:cs="Times New Roman"/>
                <w:lang w:val="en-GB"/>
              </w:rPr>
              <m:t>n</m:t>
            </m:r>
          </m:sub>
        </m:sSub>
        <m:r>
          <m:rPr>
            <m:sty m:val="b"/>
          </m:rPr>
          <w:rPr>
            <w:rFonts w:ascii="Cambria Math" w:hAnsi="Cambria Math" w:cs="Times New Roman"/>
            <w:lang w:val="en-GB"/>
          </w:rPr>
          <m:t>~0.3</m:t>
        </m:r>
      </m:oMath>
      <w:r w:rsidRPr="0014727B">
        <w:rPr>
          <w:rFonts w:ascii="Times New Roman" w:hAnsi="Times New Roman" w:cs="Times New Roman"/>
          <w:b/>
          <w:lang w:val="en-GB"/>
        </w:rPr>
        <w:t xml:space="preserve"> where the ITB foot locates when the ITB was formed</w:t>
      </w:r>
      <w:r w:rsidRPr="0014727B">
        <w:rPr>
          <w:rFonts w:ascii="Times New Roman" w:eastAsiaTheme="majorEastAsia" w:hAnsi="Times New Roman" w:cs="Times New Roman"/>
          <w:b/>
          <w:lang w:val="en-GB"/>
        </w:rPr>
        <w:t>.</w:t>
      </w:r>
    </w:p>
    <w:p w14:paraId="5A6B62EF" w14:textId="77777777" w:rsidR="003767FC" w:rsidRPr="0014727B" w:rsidRDefault="003767FC" w:rsidP="003767FC">
      <w:pPr>
        <w:spacing w:line="240" w:lineRule="auto"/>
        <w:jc w:val="center"/>
        <w:rPr>
          <w:rFonts w:ascii="Times New Roman" w:hAnsi="Times New Roman" w:cs="Times New Roman"/>
          <w:sz w:val="22"/>
          <w:lang w:val="en-GB"/>
        </w:rPr>
      </w:pPr>
    </w:p>
    <w:p w14:paraId="64BF5A3E" w14:textId="77777777" w:rsidR="003767FC" w:rsidRPr="0014727B" w:rsidRDefault="003767FC" w:rsidP="003767FC">
      <w:pPr>
        <w:spacing w:line="240" w:lineRule="auto"/>
        <w:jc w:val="center"/>
        <w:rPr>
          <w:rFonts w:ascii="Times New Roman" w:hAnsi="Times New Roman" w:cs="Times New Roman"/>
          <w:sz w:val="22"/>
          <w:lang w:val="en-GB"/>
        </w:rPr>
      </w:pPr>
      <w:r w:rsidRPr="0014727B">
        <w:rPr>
          <w:rFonts w:ascii="Times New Roman" w:hAnsi="Times New Roman" w:cs="Times New Roman"/>
          <w:noProof/>
          <w:sz w:val="22"/>
        </w:rPr>
        <w:drawing>
          <wp:inline distT="0" distB="0" distL="0" distR="0" wp14:anchorId="726A4AD5" wp14:editId="72C5B274">
            <wp:extent cx="4081932" cy="2386130"/>
            <wp:effectExtent l="0" t="0" r="0" b="0"/>
            <wp:docPr id="1346" name="그림 134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 name="그림 1346" descr="Char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90398" cy="2391079"/>
                    </a:xfrm>
                    <a:prstGeom prst="rect">
                      <a:avLst/>
                    </a:prstGeom>
                    <a:noFill/>
                  </pic:spPr>
                </pic:pic>
              </a:graphicData>
            </a:graphic>
          </wp:inline>
        </w:drawing>
      </w:r>
    </w:p>
    <w:p w14:paraId="1BF5DA30" w14:textId="77777777" w:rsidR="003767FC" w:rsidRPr="0014727B" w:rsidRDefault="003767FC" w:rsidP="003767FC">
      <w:pPr>
        <w:spacing w:line="240" w:lineRule="auto"/>
        <w:jc w:val="left"/>
        <w:rPr>
          <w:rFonts w:ascii="Times New Roman" w:hAnsi="Times New Roman" w:cs="Times New Roman"/>
          <w:b/>
          <w:lang w:val="en-GB"/>
        </w:rPr>
      </w:pPr>
      <w:r w:rsidRPr="0014727B">
        <w:rPr>
          <w:rFonts w:ascii="Times New Roman" w:eastAsia="Cambria" w:hAnsi="Times New Roman" w:cs="Times New Roman"/>
          <w:b/>
          <w:lang w:val="en-GB"/>
        </w:rPr>
        <w:t xml:space="preserve">Extended Fig. </w:t>
      </w:r>
      <w:r w:rsidRPr="0014727B">
        <w:rPr>
          <w:rFonts w:ascii="Times New Roman" w:hAnsi="Times New Roman" w:cs="Times New Roman"/>
          <w:b/>
          <w:lang w:val="en-GB"/>
        </w:rPr>
        <w:t>4</w:t>
      </w:r>
      <w:r w:rsidRPr="0014727B">
        <w:rPr>
          <w:rFonts w:ascii="Times New Roman" w:eastAsia="Cambria" w:hAnsi="Times New Roman" w:cs="Times New Roman"/>
          <w:b/>
          <w:lang w:val="en-GB"/>
        </w:rPr>
        <w:t xml:space="preserve">. </w:t>
      </w:r>
      <w:r w:rsidRPr="0014727B">
        <w:rPr>
          <w:rFonts w:ascii="Times New Roman" w:hAnsi="Times New Roman" w:cs="Times New Roman"/>
          <w:b/>
          <w:lang w:val="en-GB"/>
        </w:rPr>
        <w:t xml:space="preserve">The ITB characteristics of FIRE mode (shot 22663); the fluctuation of the electron temperature measured by Electron Cyclotron Emission Imaging (ECEI). The coherence between poloidally adjacent channels near Z = 0 m is summed over frequency 0-250 kHz to represent the amplitude of turbulence. </w:t>
      </w:r>
      <m:oMath>
        <m:sSub>
          <m:sSubPr>
            <m:ctrlPr>
              <w:rPr>
                <w:rFonts w:ascii="Cambria Math" w:eastAsia="Times New Roman" w:hAnsi="Cambria Math" w:cs="Times New Roman"/>
                <w:b/>
                <w:lang w:val="en-GB"/>
              </w:rPr>
            </m:ctrlPr>
          </m:sSubPr>
          <m:e>
            <m:r>
              <m:rPr>
                <m:sty m:val="b"/>
              </m:rPr>
              <w:rPr>
                <w:rFonts w:ascii="Cambria Math" w:eastAsia="Times New Roman" w:hAnsi="Cambria Math" w:cs="Times New Roman"/>
                <w:lang w:val="en-GB"/>
              </w:rPr>
              <m:t>ρ</m:t>
            </m:r>
          </m:e>
          <m:sub>
            <m:r>
              <m:rPr>
                <m:sty m:val="b"/>
              </m:rPr>
              <w:rPr>
                <w:rFonts w:ascii="Cambria Math" w:eastAsia="Times New Roman" w:hAnsi="Cambria Math" w:cs="Times New Roman"/>
                <w:lang w:val="en-GB"/>
              </w:rPr>
              <m:t>ITB,foot</m:t>
            </m:r>
          </m:sub>
        </m:sSub>
      </m:oMath>
      <w:r w:rsidRPr="0014727B">
        <w:rPr>
          <w:rFonts w:ascii="Times New Roman" w:hAnsi="Times New Roman" w:cs="Times New Roman"/>
          <w:b/>
          <w:lang w:val="en-GB"/>
        </w:rPr>
        <w:t xml:space="preserve"> </w:t>
      </w:r>
      <w:r w:rsidRPr="0014727B">
        <w:rPr>
          <w:rFonts w:ascii="Times New Roman" w:eastAsia="Times New Roman" w:hAnsi="Times New Roman" w:cs="Times New Roman"/>
          <w:b/>
          <w:lang w:val="en-GB"/>
        </w:rPr>
        <w:t>is plotted in the black line to show the time evolution of the ITB region</w:t>
      </w:r>
      <w:r w:rsidRPr="0014727B">
        <w:rPr>
          <w:rFonts w:ascii="Times New Roman" w:eastAsia="Cambria" w:hAnsi="Times New Roman" w:cs="Times New Roman"/>
          <w:b/>
          <w:lang w:val="en-GB"/>
        </w:rPr>
        <w:t xml:space="preserve">. As ITB expands outwards to </w:t>
      </w:r>
      <m:oMath>
        <m:sSub>
          <m:sSubPr>
            <m:ctrlPr>
              <w:rPr>
                <w:rFonts w:ascii="Cambria Math" w:eastAsia="Times New Roman" w:hAnsi="Cambria Math" w:cs="Times New Roman"/>
                <w:b/>
                <w:lang w:val="en-GB"/>
              </w:rPr>
            </m:ctrlPr>
          </m:sSubPr>
          <m:e>
            <m:r>
              <m:rPr>
                <m:sty m:val="b"/>
              </m:rPr>
              <w:rPr>
                <w:rFonts w:ascii="Cambria Math" w:eastAsia="Times New Roman" w:hAnsi="Cambria Math" w:cs="Times New Roman"/>
                <w:lang w:val="en-GB"/>
              </w:rPr>
              <m:t>ρ</m:t>
            </m:r>
          </m:e>
          <m:sub>
            <m:r>
              <m:rPr>
                <m:sty m:val="b"/>
              </m:rPr>
              <w:rPr>
                <w:rFonts w:ascii="Cambria Math" w:eastAsia="Times New Roman" w:hAnsi="Cambria Math" w:cs="Times New Roman"/>
                <w:lang w:val="en-GB"/>
              </w:rPr>
              <m:t>n</m:t>
            </m:r>
          </m:sub>
        </m:sSub>
      </m:oMath>
      <w:r w:rsidRPr="0014727B">
        <w:rPr>
          <w:rFonts w:ascii="Times New Roman" w:eastAsia="Cambria" w:hAnsi="Times New Roman" w:cs="Times New Roman"/>
          <w:b/>
          <w:lang w:val="en-GB"/>
        </w:rPr>
        <w:t xml:space="preserve">~0.6, the edge fluctuations are significantly reduced. </w:t>
      </w:r>
      <w:r w:rsidRPr="0014727B">
        <w:rPr>
          <w:rFonts w:ascii="Times New Roman" w:hAnsi="Times New Roman" w:cs="Times New Roman"/>
          <w:b/>
          <w:lang w:val="en-GB"/>
        </w:rPr>
        <w:t>The black dashed line indicates the NBI heating timings.</w:t>
      </w:r>
    </w:p>
    <w:p w14:paraId="41C018DD" w14:textId="77777777" w:rsidR="003767FC" w:rsidRPr="0014727B" w:rsidRDefault="003767FC" w:rsidP="003767FC">
      <w:pPr>
        <w:spacing w:line="240" w:lineRule="auto"/>
        <w:jc w:val="left"/>
        <w:rPr>
          <w:rFonts w:ascii="Times New Roman" w:hAnsi="Times New Roman" w:cs="Times New Roman"/>
          <w:b/>
          <w:lang w:val="en-GB"/>
        </w:rPr>
      </w:pPr>
    </w:p>
    <w:p w14:paraId="01869D52" w14:textId="77777777" w:rsidR="003767FC" w:rsidRPr="0014727B" w:rsidRDefault="003767FC" w:rsidP="003767FC">
      <w:pPr>
        <w:jc w:val="center"/>
        <w:rPr>
          <w:rFonts w:ascii="Times New Roman" w:hAnsi="Times New Roman" w:cs="Times New Roman"/>
          <w:lang w:val="en-GB"/>
        </w:rPr>
      </w:pPr>
      <w:r>
        <w:rPr>
          <w:rFonts w:ascii="Times New Roman" w:hAnsi="Times New Roman" w:cs="Times New Roman"/>
          <w:noProof/>
        </w:rPr>
        <w:drawing>
          <wp:inline distT="0" distB="0" distL="0" distR="0" wp14:anchorId="255C0DB2" wp14:editId="57861B63">
            <wp:extent cx="2512131" cy="2840400"/>
            <wp:effectExtent l="0" t="0" r="2540" b="0"/>
            <wp:docPr id="10" name="그림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10" descr="Ch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12131" cy="2840400"/>
                    </a:xfrm>
                    <a:prstGeom prst="rect">
                      <a:avLst/>
                    </a:prstGeom>
                    <a:noFill/>
                  </pic:spPr>
                </pic:pic>
              </a:graphicData>
            </a:graphic>
          </wp:inline>
        </w:drawing>
      </w:r>
    </w:p>
    <w:p w14:paraId="244E0DC2" w14:textId="77777777" w:rsidR="003767FC" w:rsidRPr="0014727B" w:rsidRDefault="003767FC" w:rsidP="003767FC">
      <w:pPr>
        <w:spacing w:line="240" w:lineRule="auto"/>
        <w:rPr>
          <w:rFonts w:ascii="Times New Roman" w:eastAsia="Times New Roman" w:hAnsi="Times New Roman" w:cs="Times New Roman"/>
          <w:b/>
          <w:lang w:val="en-GB"/>
        </w:rPr>
      </w:pPr>
      <w:r w:rsidRPr="0014727B">
        <w:rPr>
          <w:rFonts w:ascii="Times New Roman" w:eastAsia="Cambria" w:hAnsi="Times New Roman" w:cs="Times New Roman"/>
          <w:b/>
          <w:lang w:val="en-GB"/>
        </w:rPr>
        <w:t xml:space="preserve">Extended Fig. </w:t>
      </w:r>
      <w:r w:rsidRPr="0014727B">
        <w:rPr>
          <w:rFonts w:ascii="Times New Roman" w:hAnsi="Times New Roman" w:cs="Times New Roman"/>
          <w:b/>
          <w:lang w:val="en-GB"/>
        </w:rPr>
        <w:t>5</w:t>
      </w:r>
      <w:r w:rsidRPr="0014727B">
        <w:rPr>
          <w:rFonts w:ascii="Times New Roman" w:eastAsia="Cambria" w:hAnsi="Times New Roman" w:cs="Times New Roman"/>
          <w:b/>
          <w:lang w:val="en-GB"/>
        </w:rPr>
        <w:t xml:space="preserve">. </w:t>
      </w:r>
      <w:r w:rsidRPr="0014727B">
        <w:rPr>
          <w:rFonts w:ascii="Times New Roman" w:eastAsia="Times New Roman" w:hAnsi="Times New Roman" w:cs="Times New Roman"/>
          <w:b/>
          <w:lang w:val="en-GB"/>
        </w:rPr>
        <w:t>The time evolution of main parameters of a FIRE mode from L-mode to an I-mode like edge via H-mode. A strong weakly coherent modes are observed in the I-mode like phase in the magnetic fluctuation detected by Mirnov coils. The ion temperature close to the edge (T</w:t>
      </w:r>
      <w:r w:rsidRPr="0014727B">
        <w:rPr>
          <w:rFonts w:ascii="Times New Roman" w:eastAsia="Times New Roman" w:hAnsi="Times New Roman" w:cs="Times New Roman"/>
          <w:b/>
          <w:vertAlign w:val="subscript"/>
          <w:lang w:val="en-GB"/>
        </w:rPr>
        <w:t>i,95%</w:t>
      </w:r>
      <w:r w:rsidRPr="0014727B">
        <w:rPr>
          <w:rFonts w:ascii="Times New Roman" w:eastAsia="Times New Roman" w:hAnsi="Times New Roman" w:cs="Times New Roman"/>
          <w:b/>
          <w:lang w:val="en-GB"/>
        </w:rPr>
        <w:t xml:space="preserve">) in I-mode like phase is increased compared with the L-mode phase which could imply the formation of an ETB. </w:t>
      </w:r>
    </w:p>
    <w:p w14:paraId="6172A371" w14:textId="77777777" w:rsidR="003767FC" w:rsidRPr="0014727B" w:rsidRDefault="003767FC" w:rsidP="003767FC">
      <w:pPr>
        <w:spacing w:line="240" w:lineRule="auto"/>
        <w:jc w:val="left"/>
        <w:rPr>
          <w:rFonts w:ascii="Times New Roman" w:hAnsi="Times New Roman" w:cs="Times New Roman"/>
          <w:b/>
          <w:lang w:val="en-GB"/>
        </w:rPr>
      </w:pPr>
    </w:p>
    <w:p w14:paraId="05F514D6" w14:textId="77777777" w:rsidR="003767FC" w:rsidRPr="0014727B" w:rsidRDefault="003767FC" w:rsidP="003767FC">
      <w:pPr>
        <w:spacing w:line="240" w:lineRule="auto"/>
        <w:jc w:val="left"/>
        <w:rPr>
          <w:rFonts w:ascii="Times New Roman" w:hAnsi="Times New Roman" w:cs="Times New Roman"/>
          <w:b/>
          <w:lang w:val="en-GB"/>
        </w:rPr>
      </w:pPr>
      <w:r w:rsidRPr="0014727B">
        <w:rPr>
          <w:rFonts w:ascii="Times New Roman" w:hAnsi="Times New Roman" w:cs="Times New Roman"/>
          <w:b/>
          <w:noProof/>
        </w:rPr>
        <w:lastRenderedPageBreak/>
        <w:drawing>
          <wp:inline distT="0" distB="0" distL="0" distR="0" wp14:anchorId="4ED587DF" wp14:editId="70CA46DB">
            <wp:extent cx="5731510" cy="1979295"/>
            <wp:effectExtent l="0" t="0" r="2540" b="1905"/>
            <wp:docPr id="19" name="그림 1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그림 18" descr="Chart, scatter chart&#10;&#10;Description automatically generated"/>
                    <pic:cNvPicPr>
                      <a:picLocks noChangeAspect="1"/>
                    </pic:cNvPicPr>
                  </pic:nvPicPr>
                  <pic:blipFill>
                    <a:blip r:embed="rId9"/>
                    <a:stretch>
                      <a:fillRect/>
                    </a:stretch>
                  </pic:blipFill>
                  <pic:spPr>
                    <a:xfrm>
                      <a:off x="0" y="0"/>
                      <a:ext cx="5731510" cy="1979295"/>
                    </a:xfrm>
                    <a:prstGeom prst="rect">
                      <a:avLst/>
                    </a:prstGeom>
                  </pic:spPr>
                </pic:pic>
              </a:graphicData>
            </a:graphic>
          </wp:inline>
        </w:drawing>
      </w:r>
    </w:p>
    <w:p w14:paraId="262D0B65" w14:textId="77777777" w:rsidR="003767FC" w:rsidRPr="0014727B" w:rsidRDefault="003767FC" w:rsidP="003767FC">
      <w:pPr>
        <w:spacing w:line="240" w:lineRule="auto"/>
        <w:rPr>
          <w:rFonts w:ascii="Times New Roman" w:eastAsia="Times New Roman" w:hAnsi="Times New Roman" w:cs="Times New Roman"/>
          <w:b/>
          <w:lang w:val="en-GB"/>
        </w:rPr>
      </w:pPr>
      <w:r w:rsidRPr="0014727B">
        <w:rPr>
          <w:rFonts w:ascii="Times New Roman" w:eastAsia="Cambria" w:hAnsi="Times New Roman" w:cs="Times New Roman"/>
          <w:b/>
          <w:lang w:val="en-GB"/>
        </w:rPr>
        <w:t xml:space="preserve">Extended Fig. </w:t>
      </w:r>
      <w:r w:rsidRPr="0014727B">
        <w:rPr>
          <w:rFonts w:ascii="Times New Roman" w:hAnsi="Times New Roman" w:cs="Times New Roman"/>
          <w:b/>
          <w:lang w:val="en-GB"/>
        </w:rPr>
        <w:t>6</w:t>
      </w:r>
      <w:r w:rsidRPr="0014727B">
        <w:rPr>
          <w:rFonts w:ascii="Times New Roman" w:eastAsia="Cambria" w:hAnsi="Times New Roman" w:cs="Times New Roman"/>
          <w:b/>
          <w:lang w:val="en-GB"/>
        </w:rPr>
        <w:t xml:space="preserve">. </w:t>
      </w:r>
      <w:r w:rsidRPr="0014727B">
        <w:rPr>
          <w:rFonts w:ascii="Times New Roman" w:eastAsia="Times New Roman" w:hAnsi="Times New Roman" w:cs="Times New Roman"/>
          <w:b/>
          <w:lang w:val="en-GB"/>
        </w:rPr>
        <w:t>The stationary operation regime in terms of normalized plasma pressure to magnetic pressure β</w:t>
      </w:r>
      <w:r w:rsidRPr="0014727B">
        <w:rPr>
          <w:rFonts w:ascii="Times New Roman" w:eastAsia="Times New Roman" w:hAnsi="Times New Roman" w:cs="Times New Roman"/>
          <w:b/>
          <w:vertAlign w:val="subscript"/>
          <w:lang w:val="en-GB"/>
        </w:rPr>
        <w:t>N</w:t>
      </w:r>
      <w:r w:rsidRPr="0014727B">
        <w:rPr>
          <w:rFonts w:ascii="Times New Roman" w:eastAsia="Times New Roman" w:hAnsi="Times New Roman" w:cs="Times New Roman"/>
          <w:b/>
          <w:lang w:val="en-GB"/>
        </w:rPr>
        <w:t>, confinement enhancement factor H</w:t>
      </w:r>
      <w:r w:rsidRPr="0014727B">
        <w:rPr>
          <w:rFonts w:ascii="Times New Roman" w:eastAsia="Times New Roman" w:hAnsi="Times New Roman" w:cs="Times New Roman"/>
          <w:b/>
          <w:vertAlign w:val="subscript"/>
          <w:lang w:val="en-GB"/>
        </w:rPr>
        <w:t>89</w:t>
      </w:r>
      <w:r w:rsidRPr="0014727B">
        <w:rPr>
          <w:rFonts w:ascii="Times New Roman" w:eastAsia="Times New Roman" w:hAnsi="Times New Roman" w:cs="Times New Roman"/>
          <w:b/>
          <w:lang w:val="en-GB"/>
        </w:rPr>
        <w:t xml:space="preserve"> and internal inductance l</w:t>
      </w:r>
      <w:r w:rsidRPr="0014727B">
        <w:rPr>
          <w:rFonts w:ascii="Times New Roman" w:eastAsia="Times New Roman" w:hAnsi="Times New Roman" w:cs="Times New Roman"/>
          <w:b/>
          <w:vertAlign w:val="subscript"/>
          <w:lang w:val="en-GB"/>
        </w:rPr>
        <w:t>i</w:t>
      </w:r>
      <w:r w:rsidRPr="0014727B">
        <w:rPr>
          <w:rFonts w:ascii="Times New Roman" w:eastAsia="Times New Roman" w:hAnsi="Times New Roman" w:cs="Times New Roman"/>
          <w:b/>
          <w:lang w:val="en-GB"/>
        </w:rPr>
        <w:t xml:space="preserve">. They are calculated with magnetic EFIT. Yellow squares present H-modes including hybrid modes. Gray circles are </w:t>
      </w:r>
      <w:r w:rsidRPr="0014727B">
        <w:rPr>
          <w:rFonts w:ascii="Times New Roman" w:hAnsi="Times New Roman" w:cs="Times New Roman"/>
          <w:b/>
          <w:lang w:val="en-GB"/>
        </w:rPr>
        <w:t xml:space="preserve">conventional </w:t>
      </w:r>
      <w:r w:rsidRPr="0014727B">
        <w:rPr>
          <w:rFonts w:ascii="Times New Roman" w:eastAsia="Times New Roman" w:hAnsi="Times New Roman" w:cs="Times New Roman"/>
          <w:b/>
          <w:lang w:val="en-GB"/>
        </w:rPr>
        <w:t>ITB discharges with the limited configuration and blue triangles are FIRE modes with the L-mode edge at the diverted configuration. Red diamonds present FIRE modes with the I-mode like edge at the diverted configuration</w:t>
      </w:r>
      <w:r w:rsidRPr="0014727B">
        <w:rPr>
          <w:rFonts w:ascii="Times New Roman" w:eastAsia="Cambria" w:hAnsi="Times New Roman" w:cs="Times New Roman"/>
          <w:b/>
          <w:lang w:val="en-GB"/>
        </w:rPr>
        <w:t>.</w:t>
      </w:r>
    </w:p>
    <w:p w14:paraId="291AD744" w14:textId="77777777" w:rsidR="003767FC" w:rsidRPr="0014727B" w:rsidRDefault="003767FC" w:rsidP="003767FC">
      <w:pPr>
        <w:spacing w:line="240" w:lineRule="auto"/>
        <w:jc w:val="left"/>
        <w:rPr>
          <w:rFonts w:ascii="Times New Roman" w:hAnsi="Times New Roman" w:cs="Times New Roman"/>
          <w:b/>
          <w:lang w:val="en-GB"/>
        </w:rPr>
      </w:pPr>
    </w:p>
    <w:p w14:paraId="05C120AD" w14:textId="77777777" w:rsidR="003767FC" w:rsidRPr="0014727B" w:rsidRDefault="003767FC" w:rsidP="003767FC">
      <w:pPr>
        <w:spacing w:line="240" w:lineRule="auto"/>
        <w:jc w:val="left"/>
        <w:rPr>
          <w:rFonts w:ascii="Times New Roman" w:hAnsi="Times New Roman" w:cs="Times New Roman"/>
          <w:b/>
          <w:lang w:val="en-GB"/>
        </w:rPr>
      </w:pPr>
    </w:p>
    <w:p w14:paraId="5D0F3F93" w14:textId="77777777" w:rsidR="003767FC" w:rsidRPr="0014727B" w:rsidRDefault="003767FC" w:rsidP="003767FC">
      <w:pPr>
        <w:spacing w:line="240" w:lineRule="auto"/>
        <w:jc w:val="left"/>
        <w:rPr>
          <w:rFonts w:ascii="Times New Roman" w:hAnsi="Times New Roman" w:cs="Times New Roman"/>
          <w:b/>
          <w:lang w:val="en-GB"/>
        </w:rPr>
      </w:pPr>
    </w:p>
    <w:p w14:paraId="2D06C31E" w14:textId="77777777" w:rsidR="003767FC" w:rsidRPr="0014727B" w:rsidRDefault="003767FC" w:rsidP="003767FC">
      <w:pPr>
        <w:jc w:val="center"/>
        <w:rPr>
          <w:rFonts w:ascii="Times New Roman" w:hAnsi="Times New Roman" w:cs="Times New Roman"/>
          <w:sz w:val="22"/>
          <w:lang w:val="en-GB"/>
        </w:rPr>
      </w:pPr>
      <w:r w:rsidRPr="0014727B">
        <w:rPr>
          <w:rFonts w:ascii="Times New Roman" w:hAnsi="Times New Roman" w:cs="Times New Roman"/>
          <w:noProof/>
        </w:rPr>
        <w:drawing>
          <wp:inline distT="0" distB="0" distL="0" distR="0" wp14:anchorId="1B0D3F64" wp14:editId="66458E4E">
            <wp:extent cx="2669202" cy="2669202"/>
            <wp:effectExtent l="0" t="0" r="0" b="0"/>
            <wp:docPr id="1" name="그림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descr="A screenshot of a computer&#10;&#10;Description automatically generated with medium confidence"/>
                    <pic:cNvPicPr/>
                  </pic:nvPicPr>
                  <pic:blipFill>
                    <a:blip r:embed="rId10"/>
                    <a:stretch>
                      <a:fillRect/>
                    </a:stretch>
                  </pic:blipFill>
                  <pic:spPr>
                    <a:xfrm>
                      <a:off x="0" y="0"/>
                      <a:ext cx="2669386" cy="2669386"/>
                    </a:xfrm>
                    <a:prstGeom prst="rect">
                      <a:avLst/>
                    </a:prstGeom>
                  </pic:spPr>
                </pic:pic>
              </a:graphicData>
            </a:graphic>
          </wp:inline>
        </w:drawing>
      </w:r>
    </w:p>
    <w:p w14:paraId="77783222" w14:textId="77777777" w:rsidR="003767FC" w:rsidRPr="0014727B" w:rsidRDefault="003767FC" w:rsidP="003767FC">
      <w:pPr>
        <w:ind w:firstLineChars="100" w:firstLine="221"/>
        <w:rPr>
          <w:rFonts w:ascii="Times New Roman" w:hAnsi="Times New Roman" w:cs="Times New Roman"/>
          <w:b/>
          <w:sz w:val="22"/>
          <w:lang w:val="en-GB"/>
        </w:rPr>
      </w:pPr>
      <w:r w:rsidRPr="0014727B">
        <w:rPr>
          <w:rFonts w:ascii="Times New Roman" w:hAnsi="Times New Roman" w:cs="Times New Roman"/>
          <w:b/>
          <w:sz w:val="22"/>
          <w:lang w:val="en-GB"/>
        </w:rPr>
        <w:t>Extended Movie 1. Ion temperature (3-D) from the CES diagnostic in FIRE mode (shot 25860) presented in Fig. 1. Visible CES, ECE, TS, and Mirnov coil measurements are transformed into the audible sound so that one can diagnose the plasma via the sound. An outstanding sound around 6 s corresponds to the plasma instability.</w:t>
      </w:r>
    </w:p>
    <w:p w14:paraId="59283331" w14:textId="77777777" w:rsidR="003767FC" w:rsidRPr="0014727B" w:rsidRDefault="003767FC" w:rsidP="003767FC">
      <w:pPr>
        <w:spacing w:line="240" w:lineRule="auto"/>
        <w:jc w:val="center"/>
        <w:rPr>
          <w:rFonts w:ascii="Times New Roman" w:hAnsi="Times New Roman" w:cs="Times New Roman"/>
          <w:sz w:val="22"/>
          <w:lang w:val="en-GB"/>
        </w:rPr>
      </w:pPr>
    </w:p>
    <w:p w14:paraId="7640CDEB" w14:textId="77777777" w:rsidR="003767FC" w:rsidRPr="0014727B" w:rsidRDefault="003767FC" w:rsidP="003767FC">
      <w:pPr>
        <w:rPr>
          <w:rFonts w:ascii="Times New Roman" w:hAnsi="Times New Roman" w:cs="Times New Roman"/>
          <w:lang w:val="en-GB"/>
        </w:rPr>
      </w:pPr>
    </w:p>
    <w:p w14:paraId="1534583B" w14:textId="77777777" w:rsidR="00386883" w:rsidRDefault="003767FC"/>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7FC"/>
    <w:rsid w:val="003107CE"/>
    <w:rsid w:val="00316534"/>
    <w:rsid w:val="00373D83"/>
    <w:rsid w:val="003767FC"/>
    <w:rsid w:val="00622525"/>
    <w:rsid w:val="006B2C4D"/>
    <w:rsid w:val="007A60A6"/>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A6657"/>
  <w15:chartTrackingRefBased/>
  <w15:docId w15:val="{2C77EB0F-5EDC-4CD9-82E1-F53E75B8B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67FC"/>
    <w:pPr>
      <w:widowControl w:val="0"/>
      <w:wordWrap w:val="0"/>
      <w:autoSpaceDE w:val="0"/>
      <w:autoSpaceDN w:val="0"/>
      <w:jc w:val="both"/>
    </w:pPr>
    <w:rPr>
      <w:rFonts w:eastAsiaTheme="minorEastAsia"/>
      <w:kern w:val="2"/>
      <w:sz w:val="20"/>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453</Words>
  <Characters>2587</Characters>
  <Application>Microsoft Office Word</Application>
  <DocSecurity>0</DocSecurity>
  <Lines>21</Lines>
  <Paragraphs>6</Paragraphs>
  <ScaleCrop>false</ScaleCrop>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2021-10-11T19:10:00Z</dcterms:created>
  <dcterms:modified xsi:type="dcterms:W3CDTF">2021-10-11T19:10:00Z</dcterms:modified>
</cp:coreProperties>
</file>