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7A206D" w14:textId="77777777" w:rsidR="005A7609" w:rsidRDefault="00C26D63">
      <w:pPr>
        <w:spacing w:line="360" w:lineRule="auto"/>
        <w:jc w:val="center"/>
        <w:rPr>
          <w:rFonts w:ascii="Arial" w:hAnsi="Arial" w:cs="Arial"/>
          <w:b/>
          <w:bCs/>
          <w:sz w:val="30"/>
          <w:szCs w:val="30"/>
        </w:rPr>
      </w:pPr>
      <w:r>
        <w:rPr>
          <w:rFonts w:ascii="Arial" w:hAnsi="Arial" w:cs="Arial" w:hint="eastAsia"/>
          <w:b/>
          <w:bCs/>
          <w:sz w:val="30"/>
          <w:szCs w:val="30"/>
        </w:rPr>
        <w:t>Supporting Information</w:t>
      </w:r>
    </w:p>
    <w:p w14:paraId="203ABF2E" w14:textId="77777777" w:rsidR="005A7609" w:rsidRDefault="005A7609">
      <w:pPr>
        <w:spacing w:line="360" w:lineRule="auto"/>
        <w:ind w:left="360" w:hanging="360"/>
        <w:jc w:val="center"/>
        <w:rPr>
          <w:rFonts w:ascii="Arial" w:eastAsia="DengXian" w:hAnsi="Arial" w:cs="Arial"/>
          <w:b/>
          <w:bCs/>
          <w:color w:val="000000" w:themeColor="text1"/>
          <w:sz w:val="28"/>
          <w:szCs w:val="28"/>
          <w14:ligatures w14:val="none"/>
        </w:rPr>
      </w:pPr>
    </w:p>
    <w:p w14:paraId="08C5096D" w14:textId="77777777" w:rsidR="005A7609" w:rsidRDefault="00C26D63">
      <w:pPr>
        <w:spacing w:line="360" w:lineRule="auto"/>
        <w:rPr>
          <w:rFonts w:ascii="Arial" w:hAnsi="Arial" w:cs="Arial"/>
          <w:b/>
          <w:bCs/>
          <w:sz w:val="30"/>
          <w:szCs w:val="30"/>
        </w:rPr>
      </w:pPr>
      <w:bookmarkStart w:id="0" w:name="OLE_LINK38"/>
      <w:bookmarkStart w:id="1" w:name="OLE_LINK39"/>
      <w:bookmarkStart w:id="2" w:name="OLE_LINK40"/>
      <w:r>
        <w:rPr>
          <w:rFonts w:ascii="Arial" w:hAnsi="Arial" w:cs="Arial"/>
          <w:b/>
          <w:bCs/>
          <w:sz w:val="30"/>
          <w:szCs w:val="30"/>
        </w:rPr>
        <w:t xml:space="preserve">Solvent-hybridization </w:t>
      </w:r>
      <w:r>
        <w:rPr>
          <w:rFonts w:ascii="Arial" w:hAnsi="Arial" w:cs="Arial" w:hint="eastAsia"/>
          <w:b/>
          <w:bCs/>
          <w:sz w:val="30"/>
          <w:szCs w:val="30"/>
        </w:rPr>
        <w:t>s</w:t>
      </w:r>
      <w:r>
        <w:rPr>
          <w:rFonts w:ascii="Arial" w:hAnsi="Arial" w:cs="Arial"/>
          <w:b/>
          <w:bCs/>
          <w:sz w:val="30"/>
          <w:szCs w:val="30"/>
        </w:rPr>
        <w:t xml:space="preserve">trategy </w:t>
      </w:r>
      <w:r>
        <w:rPr>
          <w:rFonts w:ascii="Arial" w:hAnsi="Arial" w:cs="Arial" w:hint="eastAsia"/>
          <w:b/>
          <w:bCs/>
          <w:sz w:val="30"/>
          <w:szCs w:val="30"/>
        </w:rPr>
        <w:t>e</w:t>
      </w:r>
      <w:r>
        <w:rPr>
          <w:rFonts w:ascii="Arial" w:hAnsi="Arial" w:cs="Arial"/>
          <w:b/>
          <w:bCs/>
          <w:sz w:val="30"/>
          <w:szCs w:val="30"/>
        </w:rPr>
        <w:t xml:space="preserve">nables </w:t>
      </w:r>
      <w:r>
        <w:rPr>
          <w:rFonts w:ascii="Arial" w:hAnsi="Arial" w:cs="Arial" w:hint="eastAsia"/>
          <w:b/>
          <w:bCs/>
          <w:sz w:val="30"/>
          <w:szCs w:val="30"/>
        </w:rPr>
        <w:t>h</w:t>
      </w:r>
      <w:r>
        <w:rPr>
          <w:rFonts w:ascii="Arial" w:hAnsi="Arial" w:cs="Arial"/>
          <w:b/>
          <w:bCs/>
          <w:sz w:val="30"/>
          <w:szCs w:val="30"/>
        </w:rPr>
        <w:t>igh-</w:t>
      </w:r>
      <w:r>
        <w:rPr>
          <w:rFonts w:ascii="Arial" w:hAnsi="Arial" w:cs="Arial" w:hint="eastAsia"/>
          <w:b/>
          <w:bCs/>
          <w:sz w:val="30"/>
          <w:szCs w:val="30"/>
        </w:rPr>
        <w:t>v</w:t>
      </w:r>
      <w:r>
        <w:rPr>
          <w:rFonts w:ascii="Arial" w:hAnsi="Arial" w:cs="Arial"/>
          <w:b/>
          <w:bCs/>
          <w:sz w:val="30"/>
          <w:szCs w:val="30"/>
        </w:rPr>
        <w:t xml:space="preserve">oltage </w:t>
      </w:r>
      <w:r>
        <w:rPr>
          <w:rFonts w:ascii="Arial" w:hAnsi="Arial" w:cs="Arial" w:hint="eastAsia"/>
          <w:b/>
          <w:bCs/>
          <w:sz w:val="30"/>
          <w:szCs w:val="30"/>
        </w:rPr>
        <w:t>l</w:t>
      </w:r>
      <w:r>
        <w:rPr>
          <w:rFonts w:ascii="Arial" w:hAnsi="Arial" w:cs="Arial"/>
          <w:b/>
          <w:bCs/>
          <w:sz w:val="30"/>
          <w:szCs w:val="30"/>
        </w:rPr>
        <w:t xml:space="preserve">ithium </w:t>
      </w:r>
      <w:r>
        <w:rPr>
          <w:rFonts w:ascii="Arial" w:hAnsi="Arial" w:cs="Arial" w:hint="eastAsia"/>
          <w:b/>
          <w:bCs/>
          <w:sz w:val="30"/>
          <w:szCs w:val="30"/>
        </w:rPr>
        <w:t>m</w:t>
      </w:r>
      <w:r>
        <w:rPr>
          <w:rFonts w:ascii="Arial" w:hAnsi="Arial" w:cs="Arial"/>
          <w:b/>
          <w:bCs/>
          <w:sz w:val="30"/>
          <w:szCs w:val="30"/>
        </w:rPr>
        <w:t xml:space="preserve">etal </w:t>
      </w:r>
      <w:r>
        <w:rPr>
          <w:rFonts w:ascii="Arial" w:hAnsi="Arial" w:cs="Arial" w:hint="eastAsia"/>
          <w:b/>
          <w:bCs/>
          <w:sz w:val="30"/>
          <w:szCs w:val="30"/>
        </w:rPr>
        <w:t>b</w:t>
      </w:r>
      <w:r>
        <w:rPr>
          <w:rFonts w:ascii="Arial" w:hAnsi="Arial" w:cs="Arial"/>
          <w:b/>
          <w:bCs/>
          <w:sz w:val="30"/>
          <w:szCs w:val="30"/>
        </w:rPr>
        <w:t xml:space="preserve">atteries with </w:t>
      </w:r>
      <w:r>
        <w:rPr>
          <w:rFonts w:ascii="Arial" w:hAnsi="Arial" w:cs="Arial" w:hint="eastAsia"/>
          <w:b/>
          <w:bCs/>
          <w:sz w:val="30"/>
          <w:szCs w:val="30"/>
        </w:rPr>
        <w:t>p</w:t>
      </w:r>
      <w:r>
        <w:rPr>
          <w:rFonts w:ascii="Arial" w:hAnsi="Arial" w:cs="Arial" w:hint="eastAsia"/>
          <w:b/>
          <w:bCs/>
          <w:sz w:val="30"/>
          <w:szCs w:val="30"/>
        </w:rPr>
        <w:t xml:space="preserve">ractical </w:t>
      </w:r>
      <w:r>
        <w:rPr>
          <w:rFonts w:ascii="Arial" w:hAnsi="Arial" w:cs="Arial" w:hint="eastAsia"/>
          <w:b/>
          <w:bCs/>
          <w:sz w:val="30"/>
          <w:szCs w:val="30"/>
        </w:rPr>
        <w:t>w</w:t>
      </w:r>
      <w:r>
        <w:rPr>
          <w:rFonts w:ascii="Arial" w:hAnsi="Arial" w:cs="Arial"/>
          <w:b/>
          <w:bCs/>
          <w:sz w:val="30"/>
          <w:szCs w:val="30"/>
        </w:rPr>
        <w:t>ide-</w:t>
      </w:r>
      <w:r>
        <w:rPr>
          <w:rFonts w:ascii="Arial" w:hAnsi="Arial" w:cs="Arial" w:hint="eastAsia"/>
          <w:b/>
          <w:bCs/>
          <w:sz w:val="30"/>
          <w:szCs w:val="30"/>
        </w:rPr>
        <w:t>t</w:t>
      </w:r>
      <w:r>
        <w:rPr>
          <w:rFonts w:ascii="Arial" w:hAnsi="Arial" w:cs="Arial"/>
          <w:b/>
          <w:bCs/>
          <w:sz w:val="30"/>
          <w:szCs w:val="30"/>
        </w:rPr>
        <w:t xml:space="preserve">emperature </w:t>
      </w:r>
      <w:r>
        <w:rPr>
          <w:rFonts w:ascii="Arial" w:hAnsi="Arial" w:cs="Arial" w:hint="eastAsia"/>
          <w:b/>
          <w:bCs/>
          <w:sz w:val="30"/>
          <w:szCs w:val="30"/>
        </w:rPr>
        <w:t>o</w:t>
      </w:r>
      <w:r>
        <w:rPr>
          <w:rFonts w:ascii="Arial" w:hAnsi="Arial" w:cs="Arial"/>
          <w:b/>
          <w:bCs/>
          <w:sz w:val="30"/>
          <w:szCs w:val="30"/>
        </w:rPr>
        <w:t xml:space="preserve">perational </w:t>
      </w:r>
      <w:r>
        <w:rPr>
          <w:rFonts w:ascii="Arial" w:hAnsi="Arial" w:cs="Arial" w:hint="eastAsia"/>
          <w:b/>
          <w:bCs/>
          <w:sz w:val="30"/>
          <w:szCs w:val="30"/>
        </w:rPr>
        <w:t>c</w:t>
      </w:r>
      <w:r>
        <w:rPr>
          <w:rFonts w:ascii="Arial" w:hAnsi="Arial" w:cs="Arial"/>
          <w:b/>
          <w:bCs/>
          <w:sz w:val="30"/>
          <w:szCs w:val="30"/>
        </w:rPr>
        <w:t>apability</w:t>
      </w:r>
    </w:p>
    <w:bookmarkEnd w:id="0"/>
    <w:bookmarkEnd w:id="1"/>
    <w:bookmarkEnd w:id="2"/>
    <w:p w14:paraId="0A07598B" w14:textId="77777777" w:rsidR="005A7609" w:rsidRDefault="005A7609">
      <w:pPr>
        <w:spacing w:line="360" w:lineRule="auto"/>
        <w:rPr>
          <w:rFonts w:ascii="Arial" w:hAnsi="Arial" w:cs="Arial"/>
          <w:sz w:val="24"/>
          <w:szCs w:val="24"/>
        </w:rPr>
      </w:pPr>
    </w:p>
    <w:p w14:paraId="5702CCC9" w14:textId="77777777" w:rsidR="005A7609" w:rsidRDefault="00C26D63">
      <w:pPr>
        <w:spacing w:line="360" w:lineRule="auto"/>
        <w:jc w:val="center"/>
        <w:rPr>
          <w:rFonts w:ascii="Arial" w:eastAsia="宋体" w:hAnsi="Arial" w:cs="Arial"/>
          <w:bCs/>
          <w:i/>
          <w:iCs/>
          <w:sz w:val="24"/>
          <w:szCs w:val="24"/>
        </w:rPr>
      </w:pPr>
      <w:r>
        <w:rPr>
          <w:rFonts w:ascii="Arial" w:eastAsia="宋体" w:hAnsi="Arial" w:cs="Arial" w:hint="eastAsia"/>
          <w:bCs/>
          <w:i/>
          <w:iCs/>
          <w:sz w:val="24"/>
          <w:szCs w:val="24"/>
        </w:rPr>
        <w:t>Ying Zhang</w:t>
      </w:r>
      <w:proofErr w:type="gramStart"/>
      <w:r>
        <w:rPr>
          <w:rFonts w:ascii="Arial" w:eastAsia="宋体" w:hAnsi="Arial" w:cs="Arial" w:hint="eastAsia"/>
          <w:bCs/>
          <w:i/>
          <w:iCs/>
          <w:sz w:val="24"/>
          <w:szCs w:val="24"/>
          <w:vertAlign w:val="superscript"/>
        </w:rPr>
        <w:t>1,#</w:t>
      </w:r>
      <w:proofErr w:type="gramEnd"/>
      <w:r>
        <w:rPr>
          <w:rFonts w:ascii="Arial" w:eastAsia="宋体" w:hAnsi="Arial" w:cs="Arial" w:hint="eastAsia"/>
          <w:bCs/>
          <w:i/>
          <w:iCs/>
          <w:sz w:val="24"/>
          <w:szCs w:val="24"/>
        </w:rPr>
        <w:t xml:space="preserve">, </w:t>
      </w:r>
      <w:proofErr w:type="spellStart"/>
      <w:r>
        <w:rPr>
          <w:rFonts w:ascii="Arial" w:eastAsia="宋体" w:hAnsi="Arial" w:cs="Arial" w:hint="eastAsia"/>
          <w:bCs/>
          <w:i/>
          <w:iCs/>
          <w:sz w:val="24"/>
          <w:szCs w:val="24"/>
        </w:rPr>
        <w:t>Shaoqing</w:t>
      </w:r>
      <w:proofErr w:type="spellEnd"/>
      <w:r>
        <w:rPr>
          <w:rFonts w:ascii="Arial" w:eastAsia="宋体" w:hAnsi="Arial" w:cs="Arial" w:hint="eastAsia"/>
          <w:bCs/>
          <w:i/>
          <w:iCs/>
          <w:sz w:val="24"/>
          <w:szCs w:val="24"/>
        </w:rPr>
        <w:t xml:space="preserve"> Liu</w:t>
      </w:r>
      <w:r>
        <w:rPr>
          <w:rFonts w:ascii="Arial" w:eastAsia="宋体" w:hAnsi="Arial" w:cs="Arial" w:hint="eastAsia"/>
          <w:bCs/>
          <w:i/>
          <w:iCs/>
          <w:sz w:val="24"/>
          <w:szCs w:val="24"/>
          <w:vertAlign w:val="superscript"/>
        </w:rPr>
        <w:t>1,#</w:t>
      </w:r>
      <w:r>
        <w:rPr>
          <w:rFonts w:ascii="Arial" w:eastAsia="宋体" w:hAnsi="Arial" w:cs="Arial" w:hint="eastAsia"/>
          <w:bCs/>
          <w:i/>
          <w:iCs/>
          <w:sz w:val="24"/>
          <w:szCs w:val="24"/>
        </w:rPr>
        <w:t>, Xiang Li</w:t>
      </w:r>
      <w:r>
        <w:rPr>
          <w:rFonts w:ascii="Arial" w:eastAsia="宋体" w:hAnsi="Arial" w:cs="Arial" w:hint="eastAsia"/>
          <w:bCs/>
          <w:i/>
          <w:iCs/>
          <w:sz w:val="24"/>
          <w:szCs w:val="24"/>
          <w:vertAlign w:val="superscript"/>
        </w:rPr>
        <w:t>1</w:t>
      </w:r>
      <w:r>
        <w:rPr>
          <w:rFonts w:ascii="Arial" w:eastAsia="宋体" w:hAnsi="Arial" w:cs="Arial" w:hint="eastAsia"/>
          <w:bCs/>
          <w:i/>
          <w:iCs/>
          <w:sz w:val="24"/>
          <w:szCs w:val="24"/>
        </w:rPr>
        <w:t>, Ting He</w:t>
      </w:r>
      <w:r>
        <w:rPr>
          <w:rFonts w:ascii="Arial" w:eastAsia="宋体" w:hAnsi="Arial" w:cs="Arial" w:hint="eastAsia"/>
          <w:bCs/>
          <w:i/>
          <w:iCs/>
          <w:sz w:val="24"/>
          <w:szCs w:val="24"/>
          <w:vertAlign w:val="superscript"/>
        </w:rPr>
        <w:t>1</w:t>
      </w:r>
      <w:r>
        <w:rPr>
          <w:rFonts w:ascii="Arial" w:eastAsia="宋体" w:hAnsi="Arial" w:cs="Arial" w:hint="eastAsia"/>
          <w:bCs/>
          <w:i/>
          <w:iCs/>
          <w:sz w:val="24"/>
          <w:szCs w:val="24"/>
        </w:rPr>
        <w:t>, Hui Wei</w:t>
      </w:r>
      <w:r>
        <w:rPr>
          <w:rFonts w:ascii="Arial" w:eastAsia="宋体" w:hAnsi="Arial" w:cs="Arial" w:hint="eastAsia"/>
          <w:bCs/>
          <w:i/>
          <w:iCs/>
          <w:sz w:val="24"/>
          <w:szCs w:val="24"/>
          <w:vertAlign w:val="superscript"/>
        </w:rPr>
        <w:t>1</w:t>
      </w:r>
      <w:r>
        <w:rPr>
          <w:rFonts w:ascii="Arial" w:eastAsia="宋体" w:hAnsi="Arial" w:cs="Arial" w:hint="eastAsia"/>
          <w:bCs/>
          <w:i/>
          <w:iCs/>
          <w:sz w:val="24"/>
          <w:szCs w:val="24"/>
        </w:rPr>
        <w:t>, Muhammad Sultan Irshad</w:t>
      </w:r>
      <w:r>
        <w:rPr>
          <w:rFonts w:ascii="Arial" w:eastAsia="宋体" w:hAnsi="Arial" w:cs="Arial" w:hint="eastAsia"/>
          <w:bCs/>
          <w:i/>
          <w:iCs/>
          <w:sz w:val="24"/>
          <w:szCs w:val="24"/>
          <w:vertAlign w:val="superscript"/>
        </w:rPr>
        <w:t>1</w:t>
      </w:r>
      <w:r>
        <w:rPr>
          <w:rFonts w:ascii="Arial" w:eastAsia="宋体" w:hAnsi="Arial" w:cs="Arial" w:hint="eastAsia"/>
          <w:bCs/>
          <w:i/>
          <w:iCs/>
          <w:sz w:val="24"/>
          <w:szCs w:val="24"/>
        </w:rPr>
        <w:t xml:space="preserve">, Qin </w:t>
      </w:r>
      <w:r>
        <w:rPr>
          <w:rFonts w:ascii="Arial" w:eastAsia="宋体" w:hAnsi="Arial" w:cs="Arial" w:hint="eastAsia"/>
          <w:bCs/>
          <w:i/>
          <w:iCs/>
          <w:sz w:val="24"/>
          <w:szCs w:val="24"/>
        </w:rPr>
        <w:t>Wang</w:t>
      </w:r>
      <w:r>
        <w:rPr>
          <w:rFonts w:ascii="Arial" w:eastAsia="宋体" w:hAnsi="Arial" w:cs="Arial" w:hint="eastAsia"/>
          <w:bCs/>
          <w:i/>
          <w:iCs/>
          <w:sz w:val="24"/>
          <w:szCs w:val="24"/>
          <w:vertAlign w:val="superscript"/>
        </w:rPr>
        <w:t>3</w:t>
      </w:r>
      <w:r>
        <w:rPr>
          <w:rFonts w:ascii="Arial" w:eastAsia="宋体" w:hAnsi="Arial" w:cs="Arial" w:hint="eastAsia"/>
          <w:bCs/>
          <w:i/>
          <w:iCs/>
          <w:sz w:val="24"/>
          <w:szCs w:val="24"/>
        </w:rPr>
        <w:t xml:space="preserve">, </w:t>
      </w:r>
      <w:proofErr w:type="spellStart"/>
      <w:r>
        <w:rPr>
          <w:rFonts w:ascii="Arial" w:eastAsia="宋体" w:hAnsi="Arial" w:cs="Arial" w:hint="eastAsia"/>
          <w:bCs/>
          <w:i/>
          <w:iCs/>
          <w:sz w:val="24"/>
          <w:szCs w:val="24"/>
        </w:rPr>
        <w:t>Zaiping</w:t>
      </w:r>
      <w:proofErr w:type="spellEnd"/>
      <w:r>
        <w:rPr>
          <w:rFonts w:ascii="Arial" w:eastAsia="宋体" w:hAnsi="Arial" w:cs="Arial" w:hint="eastAsia"/>
          <w:bCs/>
          <w:i/>
          <w:iCs/>
          <w:sz w:val="24"/>
          <w:szCs w:val="24"/>
        </w:rPr>
        <w:t xml:space="preserve"> Guo</w:t>
      </w:r>
      <w:r>
        <w:rPr>
          <w:rFonts w:ascii="Arial" w:eastAsia="宋体" w:hAnsi="Arial" w:cs="Arial" w:hint="eastAsia"/>
          <w:bCs/>
          <w:i/>
          <w:iCs/>
          <w:sz w:val="24"/>
          <w:szCs w:val="24"/>
          <w:vertAlign w:val="superscript"/>
        </w:rPr>
        <w:t>2</w:t>
      </w:r>
      <w:r>
        <w:rPr>
          <w:rFonts w:ascii="Arial" w:eastAsia="宋体" w:hAnsi="Arial" w:cs="Arial" w:hint="eastAsia"/>
          <w:bCs/>
          <w:i/>
          <w:iCs/>
          <w:sz w:val="24"/>
          <w:szCs w:val="24"/>
          <w:vertAlign w:val="superscript"/>
        </w:rPr>
        <w:t>,*</w:t>
      </w:r>
      <w:r>
        <w:rPr>
          <w:rFonts w:ascii="Arial" w:eastAsia="宋体" w:hAnsi="Arial" w:cs="Arial" w:hint="eastAsia"/>
          <w:bCs/>
          <w:i/>
          <w:iCs/>
          <w:sz w:val="24"/>
          <w:szCs w:val="24"/>
        </w:rPr>
        <w:t xml:space="preserve">, </w:t>
      </w:r>
      <w:proofErr w:type="spellStart"/>
      <w:r>
        <w:rPr>
          <w:rFonts w:ascii="Arial" w:eastAsia="宋体" w:hAnsi="Arial" w:cs="Arial"/>
          <w:bCs/>
          <w:i/>
          <w:iCs/>
          <w:sz w:val="24"/>
          <w:szCs w:val="24"/>
        </w:rPr>
        <w:t>Jianwen</w:t>
      </w:r>
      <w:proofErr w:type="spellEnd"/>
      <w:r>
        <w:rPr>
          <w:rFonts w:ascii="Arial" w:eastAsia="宋体" w:hAnsi="Arial" w:cs="Arial"/>
          <w:bCs/>
          <w:i/>
          <w:iCs/>
          <w:sz w:val="24"/>
          <w:szCs w:val="24"/>
        </w:rPr>
        <w:t xml:space="preserve"> Liu</w:t>
      </w:r>
      <w:r>
        <w:rPr>
          <w:rFonts w:ascii="Arial" w:eastAsia="宋体" w:hAnsi="Arial" w:cs="Arial" w:hint="eastAsia"/>
          <w:bCs/>
          <w:i/>
          <w:iCs/>
          <w:sz w:val="24"/>
          <w:szCs w:val="24"/>
          <w:vertAlign w:val="superscript"/>
        </w:rPr>
        <w:t>1</w:t>
      </w:r>
      <w:r>
        <w:rPr>
          <w:rFonts w:ascii="Arial" w:eastAsia="宋体" w:hAnsi="Arial" w:cs="Arial" w:hint="eastAsia"/>
          <w:bCs/>
          <w:i/>
          <w:iCs/>
          <w:sz w:val="24"/>
          <w:szCs w:val="24"/>
          <w:vertAlign w:val="superscript"/>
        </w:rPr>
        <w:t>,</w:t>
      </w:r>
      <w:r>
        <w:rPr>
          <w:rFonts w:ascii="Arial" w:eastAsia="宋体" w:hAnsi="Arial" w:cs="Arial"/>
          <w:bCs/>
          <w:i/>
          <w:iCs/>
          <w:sz w:val="24"/>
          <w:szCs w:val="24"/>
          <w:vertAlign w:val="superscript"/>
        </w:rPr>
        <w:t>*</w:t>
      </w:r>
      <w:bookmarkStart w:id="3" w:name="_Hlk157553321"/>
    </w:p>
    <w:p w14:paraId="21772A11" w14:textId="77777777" w:rsidR="005A7609" w:rsidRDefault="005A7609">
      <w:pPr>
        <w:spacing w:line="360" w:lineRule="auto"/>
        <w:rPr>
          <w:rFonts w:ascii="Arial" w:eastAsia="宋体" w:hAnsi="Arial" w:cs="Arial"/>
          <w:bCs/>
          <w:i/>
          <w:iCs/>
          <w:sz w:val="24"/>
          <w:szCs w:val="24"/>
        </w:rPr>
      </w:pPr>
    </w:p>
    <w:bookmarkEnd w:id="3"/>
    <w:p w14:paraId="739588FE" w14:textId="77777777" w:rsidR="005A7609" w:rsidRDefault="00C26D63">
      <w:pPr>
        <w:spacing w:line="360" w:lineRule="auto"/>
        <w:rPr>
          <w:rFonts w:ascii="Arial" w:eastAsia="宋体" w:hAnsi="Arial" w:cs="Arial"/>
          <w:bCs/>
          <w:sz w:val="24"/>
          <w:szCs w:val="24"/>
        </w:rPr>
      </w:pPr>
      <w:r>
        <w:rPr>
          <w:rFonts w:ascii="Arial" w:eastAsia="宋体" w:hAnsi="Arial" w:cs="Arial" w:hint="eastAsia"/>
          <w:bCs/>
          <w:sz w:val="24"/>
          <w:szCs w:val="24"/>
          <w:vertAlign w:val="superscript"/>
        </w:rPr>
        <w:t>1</w:t>
      </w:r>
      <w:r>
        <w:rPr>
          <w:rFonts w:ascii="Arial" w:eastAsia="宋体" w:hAnsi="Arial" w:cs="Arial" w:hint="eastAsia"/>
          <w:bCs/>
          <w:sz w:val="24"/>
          <w:szCs w:val="24"/>
        </w:rPr>
        <w:t xml:space="preserve"> </w:t>
      </w:r>
      <w:r>
        <w:rPr>
          <w:rFonts w:ascii="Arial" w:eastAsia="宋体" w:hAnsi="Arial" w:cs="Arial"/>
          <w:bCs/>
          <w:sz w:val="24"/>
          <w:szCs w:val="24"/>
        </w:rPr>
        <w:t>College of New Energy and Electrical Engineering &amp; Ministry of Education Key Laboratory for Green Preparation and Application of Functional Materials, Hubei University, Wuhan 430062, P. R. China</w:t>
      </w:r>
    </w:p>
    <w:p w14:paraId="4AB568AA" w14:textId="77777777" w:rsidR="005A7609" w:rsidRDefault="00C26D63">
      <w:pPr>
        <w:spacing w:line="360" w:lineRule="auto"/>
        <w:rPr>
          <w:rFonts w:ascii="Arial" w:eastAsia="宋体" w:hAnsi="Arial" w:cs="Arial"/>
          <w:bCs/>
          <w:sz w:val="24"/>
          <w:szCs w:val="24"/>
          <w:highlight w:val="yellow"/>
        </w:rPr>
      </w:pPr>
      <w:r>
        <w:rPr>
          <w:rFonts w:ascii="Arial" w:eastAsia="宋体" w:hAnsi="Arial" w:cs="Arial" w:hint="eastAsia"/>
          <w:bCs/>
          <w:sz w:val="24"/>
          <w:szCs w:val="24"/>
          <w:vertAlign w:val="superscript"/>
        </w:rPr>
        <w:t>2</w:t>
      </w:r>
      <w:r>
        <w:rPr>
          <w:rFonts w:ascii="Arial" w:eastAsia="宋体" w:hAnsi="Arial" w:cs="Arial" w:hint="eastAsia"/>
          <w:bCs/>
          <w:sz w:val="24"/>
          <w:szCs w:val="24"/>
        </w:rPr>
        <w:t xml:space="preserve"> </w:t>
      </w:r>
      <w:r>
        <w:rPr>
          <w:rFonts w:ascii="Arial" w:eastAsia="宋体" w:hAnsi="Arial" w:cs="Arial"/>
          <w:bCs/>
          <w:sz w:val="24"/>
          <w:szCs w:val="24"/>
        </w:rPr>
        <w:t>Department of Materials Science and Engineering</w:t>
      </w:r>
      <w:r>
        <w:rPr>
          <w:rFonts w:ascii="Arial" w:eastAsia="宋体" w:hAnsi="Arial" w:cs="Arial" w:hint="eastAsia"/>
          <w:bCs/>
          <w:sz w:val="24"/>
          <w:szCs w:val="24"/>
        </w:rPr>
        <w:t xml:space="preserve">, </w:t>
      </w:r>
      <w:r>
        <w:rPr>
          <w:rFonts w:ascii="Arial" w:eastAsia="宋体" w:hAnsi="Arial" w:cs="Arial"/>
          <w:bCs/>
          <w:sz w:val="24"/>
          <w:szCs w:val="24"/>
        </w:rPr>
        <w:t>City University of Hong Kong</w:t>
      </w:r>
      <w:r>
        <w:rPr>
          <w:rFonts w:ascii="Arial" w:eastAsia="宋体" w:hAnsi="Arial" w:cs="Arial" w:hint="eastAsia"/>
          <w:bCs/>
          <w:sz w:val="24"/>
          <w:szCs w:val="24"/>
        </w:rPr>
        <w:t>,</w:t>
      </w:r>
      <w:r>
        <w:rPr>
          <w:rFonts w:ascii="Arial" w:eastAsia="宋体" w:hAnsi="Arial" w:cs="Arial"/>
          <w:bCs/>
          <w:sz w:val="24"/>
          <w:szCs w:val="24"/>
        </w:rPr>
        <w:t xml:space="preserve"> Kowloon Hong Kong 999077, P. R. China</w:t>
      </w:r>
    </w:p>
    <w:p w14:paraId="2C7D2D48" w14:textId="77777777" w:rsidR="005A7609" w:rsidRDefault="00C26D63">
      <w:pPr>
        <w:spacing w:line="360" w:lineRule="auto"/>
        <w:rPr>
          <w:rFonts w:ascii="Arial" w:eastAsia="宋体" w:hAnsi="Arial" w:cs="Arial"/>
          <w:bCs/>
          <w:sz w:val="24"/>
          <w:szCs w:val="24"/>
        </w:rPr>
      </w:pPr>
      <w:r>
        <w:rPr>
          <w:rFonts w:ascii="Arial" w:eastAsia="宋体" w:hAnsi="Arial" w:cs="Arial" w:hint="eastAsia"/>
          <w:bCs/>
          <w:sz w:val="24"/>
          <w:szCs w:val="24"/>
          <w:vertAlign w:val="superscript"/>
        </w:rPr>
        <w:t>3</w:t>
      </w:r>
      <w:r>
        <w:rPr>
          <w:rFonts w:ascii="Arial" w:eastAsia="宋体" w:hAnsi="Arial" w:cs="Arial" w:hint="eastAsia"/>
          <w:bCs/>
          <w:sz w:val="24"/>
          <w:szCs w:val="24"/>
        </w:rPr>
        <w:t xml:space="preserve"> </w:t>
      </w:r>
      <w:r>
        <w:rPr>
          <w:rFonts w:ascii="Arial" w:eastAsia="宋体" w:hAnsi="Arial" w:cs="Arial"/>
          <w:bCs/>
          <w:sz w:val="24"/>
          <w:szCs w:val="24"/>
        </w:rPr>
        <w:t xml:space="preserve">Hubei </w:t>
      </w:r>
      <w:proofErr w:type="spellStart"/>
      <w:r>
        <w:rPr>
          <w:rFonts w:ascii="Arial" w:eastAsia="宋体" w:hAnsi="Arial" w:cs="Arial"/>
          <w:bCs/>
          <w:sz w:val="24"/>
          <w:szCs w:val="24"/>
        </w:rPr>
        <w:t>WanRun</w:t>
      </w:r>
      <w:proofErr w:type="spellEnd"/>
      <w:r>
        <w:rPr>
          <w:rFonts w:ascii="Arial" w:eastAsia="宋体" w:hAnsi="Arial" w:cs="Arial"/>
          <w:bCs/>
          <w:sz w:val="24"/>
          <w:szCs w:val="24"/>
        </w:rPr>
        <w:t xml:space="preserve"> New Energy Technology Co.,</w:t>
      </w:r>
      <w:r>
        <w:rPr>
          <w:rFonts w:ascii="Arial" w:eastAsia="宋体" w:hAnsi="Arial" w:cs="Arial" w:hint="eastAsia"/>
          <w:bCs/>
          <w:sz w:val="24"/>
          <w:szCs w:val="24"/>
        </w:rPr>
        <w:t xml:space="preserve"> </w:t>
      </w:r>
      <w:r>
        <w:rPr>
          <w:rFonts w:ascii="Arial" w:eastAsia="宋体" w:hAnsi="Arial" w:cs="Arial"/>
          <w:bCs/>
          <w:sz w:val="24"/>
          <w:szCs w:val="24"/>
        </w:rPr>
        <w:t xml:space="preserve">Ltd., </w:t>
      </w:r>
      <w:proofErr w:type="spellStart"/>
      <w:r>
        <w:rPr>
          <w:rFonts w:ascii="Arial" w:eastAsia="宋体" w:hAnsi="Arial" w:cs="Arial"/>
          <w:bCs/>
          <w:sz w:val="24"/>
          <w:szCs w:val="24"/>
        </w:rPr>
        <w:t>Shiyan</w:t>
      </w:r>
      <w:proofErr w:type="spellEnd"/>
      <w:r>
        <w:rPr>
          <w:rFonts w:ascii="Arial" w:eastAsia="宋体" w:hAnsi="Arial" w:cs="Arial"/>
          <w:bCs/>
          <w:sz w:val="24"/>
          <w:szCs w:val="24"/>
        </w:rPr>
        <w:t xml:space="preserve"> 442500, </w:t>
      </w:r>
      <w:r>
        <w:rPr>
          <w:rFonts w:ascii="Arial" w:eastAsia="宋体" w:hAnsi="Arial" w:cs="Arial" w:hint="eastAsia"/>
          <w:bCs/>
          <w:sz w:val="24"/>
          <w:szCs w:val="24"/>
        </w:rPr>
        <w:t>P. R. China</w:t>
      </w:r>
    </w:p>
    <w:p w14:paraId="593EEFBB" w14:textId="77777777" w:rsidR="005A7609" w:rsidRDefault="005A7609">
      <w:pPr>
        <w:spacing w:line="360" w:lineRule="auto"/>
        <w:rPr>
          <w:rFonts w:ascii="Arial" w:eastAsia="宋体" w:hAnsi="Arial" w:cs="Arial"/>
          <w:bCs/>
          <w:i/>
          <w:iCs/>
          <w:sz w:val="24"/>
          <w:szCs w:val="24"/>
          <w:lang w:val="fr-FR"/>
        </w:rPr>
      </w:pPr>
    </w:p>
    <w:p w14:paraId="5E7FCB33" w14:textId="77777777" w:rsidR="005A7609" w:rsidRDefault="00C26D63">
      <w:pPr>
        <w:spacing w:line="360" w:lineRule="auto"/>
        <w:rPr>
          <w:rFonts w:ascii="Arial" w:eastAsia="宋体" w:hAnsi="Arial" w:cs="Arial"/>
          <w:bCs/>
          <w:i/>
          <w:iCs/>
          <w:sz w:val="24"/>
          <w:szCs w:val="24"/>
        </w:rPr>
      </w:pPr>
      <w:r>
        <w:rPr>
          <w:rFonts w:ascii="Arial" w:eastAsia="宋体" w:hAnsi="Arial" w:cs="Arial" w:hint="eastAsia"/>
          <w:bCs/>
          <w:i/>
          <w:iCs/>
          <w:sz w:val="24"/>
          <w:szCs w:val="24"/>
          <w:vertAlign w:val="superscript"/>
        </w:rPr>
        <w:t>#</w:t>
      </w:r>
      <w:r>
        <w:rPr>
          <w:rFonts w:ascii="Arial" w:eastAsia="宋体" w:hAnsi="Arial" w:cs="Arial" w:hint="eastAsia"/>
          <w:bCs/>
          <w:i/>
          <w:iCs/>
          <w:sz w:val="24"/>
          <w:szCs w:val="24"/>
        </w:rPr>
        <w:t xml:space="preserve"> These authors contributed to this work equally.</w:t>
      </w:r>
    </w:p>
    <w:p w14:paraId="67A33D70" w14:textId="77777777" w:rsidR="005A7609" w:rsidRDefault="00C26D63">
      <w:pPr>
        <w:spacing w:line="360" w:lineRule="auto"/>
        <w:rPr>
          <w:rFonts w:ascii="Arial" w:eastAsia="宋体" w:hAnsi="Arial" w:cs="Arial"/>
          <w:bCs/>
          <w:i/>
          <w:iCs/>
          <w:sz w:val="24"/>
          <w:szCs w:val="24"/>
        </w:rPr>
      </w:pPr>
      <w:r>
        <w:rPr>
          <w:rFonts w:ascii="Arial" w:eastAsia="宋体" w:hAnsi="Arial" w:cs="Arial"/>
          <w:bCs/>
          <w:i/>
          <w:iCs/>
          <w:sz w:val="24"/>
          <w:szCs w:val="24"/>
        </w:rPr>
        <w:t>* Correspondi</w:t>
      </w:r>
      <w:r>
        <w:rPr>
          <w:rFonts w:ascii="Arial" w:eastAsia="宋体" w:hAnsi="Arial" w:cs="Arial"/>
          <w:bCs/>
          <w:i/>
          <w:iCs/>
          <w:sz w:val="24"/>
          <w:szCs w:val="24"/>
        </w:rPr>
        <w:t>ng author</w:t>
      </w:r>
      <w:r>
        <w:rPr>
          <w:rFonts w:ascii="Arial" w:eastAsia="宋体" w:hAnsi="Arial" w:cs="Arial" w:hint="eastAsia"/>
          <w:bCs/>
          <w:i/>
          <w:iCs/>
          <w:sz w:val="24"/>
          <w:szCs w:val="24"/>
        </w:rPr>
        <w:t>s</w:t>
      </w:r>
      <w:r>
        <w:rPr>
          <w:rFonts w:ascii="Arial" w:eastAsia="宋体" w:hAnsi="Arial" w:cs="Arial"/>
          <w:bCs/>
          <w:i/>
          <w:iCs/>
          <w:sz w:val="24"/>
          <w:szCs w:val="24"/>
        </w:rPr>
        <w:t xml:space="preserve">. E-mail: </w:t>
      </w:r>
      <w:r>
        <w:rPr>
          <w:rFonts w:ascii="Arial" w:eastAsia="宋体" w:hAnsi="Arial" w:cs="Arial" w:hint="eastAsia"/>
          <w:bCs/>
          <w:i/>
          <w:iCs/>
          <w:sz w:val="24"/>
          <w:szCs w:val="24"/>
        </w:rPr>
        <w:t xml:space="preserve">zaipiguo@cityu.edu.hk (Prof. &amp; Dr. </w:t>
      </w:r>
      <w:proofErr w:type="spellStart"/>
      <w:r>
        <w:rPr>
          <w:rFonts w:ascii="Arial" w:eastAsia="宋体" w:hAnsi="Arial" w:cs="Arial" w:hint="eastAsia"/>
          <w:bCs/>
          <w:i/>
          <w:iCs/>
          <w:sz w:val="24"/>
          <w:szCs w:val="24"/>
        </w:rPr>
        <w:t>Zaiping</w:t>
      </w:r>
      <w:proofErr w:type="spellEnd"/>
      <w:r>
        <w:rPr>
          <w:rFonts w:ascii="Arial" w:eastAsia="宋体" w:hAnsi="Arial" w:cs="Arial" w:hint="eastAsia"/>
          <w:bCs/>
          <w:i/>
          <w:iCs/>
          <w:sz w:val="24"/>
          <w:szCs w:val="24"/>
        </w:rPr>
        <w:t xml:space="preserve"> Guo); </w:t>
      </w:r>
      <w:r>
        <w:rPr>
          <w:rFonts w:ascii="Arial" w:eastAsia="宋体" w:hAnsi="Arial" w:cs="Arial"/>
          <w:bCs/>
          <w:i/>
          <w:iCs/>
          <w:sz w:val="24"/>
          <w:szCs w:val="24"/>
          <w:lang w:val="de-DE"/>
        </w:rPr>
        <w:t xml:space="preserve">jianwen@hubu.edu.cn (Prof. </w:t>
      </w:r>
      <w:r>
        <w:rPr>
          <w:rFonts w:ascii="Arial" w:eastAsia="宋体" w:hAnsi="Arial" w:cs="Arial"/>
          <w:bCs/>
          <w:i/>
          <w:iCs/>
          <w:sz w:val="24"/>
          <w:szCs w:val="24"/>
        </w:rPr>
        <w:t xml:space="preserve">&amp; Dr. </w:t>
      </w:r>
      <w:proofErr w:type="spellStart"/>
      <w:r>
        <w:rPr>
          <w:rFonts w:ascii="Arial" w:eastAsia="宋体" w:hAnsi="Arial" w:cs="Arial"/>
          <w:bCs/>
          <w:i/>
          <w:iCs/>
          <w:sz w:val="24"/>
          <w:szCs w:val="24"/>
        </w:rPr>
        <w:t>Jianwen</w:t>
      </w:r>
      <w:proofErr w:type="spellEnd"/>
      <w:r>
        <w:rPr>
          <w:rFonts w:ascii="Arial" w:eastAsia="宋体" w:hAnsi="Arial" w:cs="Arial"/>
          <w:bCs/>
          <w:i/>
          <w:iCs/>
          <w:sz w:val="24"/>
          <w:szCs w:val="24"/>
        </w:rPr>
        <w:t xml:space="preserve"> Liu)</w:t>
      </w:r>
      <w:r>
        <w:rPr>
          <w:rFonts w:ascii="Arial" w:eastAsia="宋体" w:hAnsi="Arial" w:cs="Arial" w:hint="eastAsia"/>
          <w:bCs/>
          <w:i/>
          <w:iCs/>
          <w:sz w:val="24"/>
          <w:szCs w:val="24"/>
        </w:rPr>
        <w:t>.</w:t>
      </w:r>
    </w:p>
    <w:p w14:paraId="7C78F0B0" w14:textId="77777777" w:rsidR="005A7609" w:rsidRDefault="005A7609">
      <w:pPr>
        <w:spacing w:line="360" w:lineRule="auto"/>
        <w:rPr>
          <w:color w:val="000000" w:themeColor="text1"/>
        </w:rPr>
      </w:pPr>
    </w:p>
    <w:p w14:paraId="46B68B92" w14:textId="77777777" w:rsidR="005A7609" w:rsidRDefault="005A7609">
      <w:pPr>
        <w:spacing w:line="360" w:lineRule="auto"/>
        <w:rPr>
          <w:color w:val="000000" w:themeColor="text1"/>
        </w:rPr>
      </w:pPr>
    </w:p>
    <w:p w14:paraId="64152EC9" w14:textId="6DC46E6E" w:rsidR="005A7609" w:rsidRDefault="005A7609">
      <w:pPr>
        <w:spacing w:line="360" w:lineRule="auto"/>
        <w:rPr>
          <w:color w:val="000000" w:themeColor="text1"/>
        </w:rPr>
      </w:pPr>
    </w:p>
    <w:p w14:paraId="23CD5970" w14:textId="77777777" w:rsidR="007D35A7" w:rsidRDefault="007D35A7">
      <w:pPr>
        <w:spacing w:line="360" w:lineRule="auto"/>
        <w:rPr>
          <w:rFonts w:hint="eastAsia"/>
          <w:color w:val="000000" w:themeColor="text1"/>
        </w:rPr>
      </w:pPr>
    </w:p>
    <w:p w14:paraId="1BB0D18E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1108EA32" wp14:editId="1E0D34FE">
            <wp:extent cx="4319905" cy="1664335"/>
            <wp:effectExtent l="0" t="0" r="4445" b="0"/>
            <wp:docPr id="185254849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548492" name="图片 2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664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3E3B7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bookmarkStart w:id="4" w:name="_Hlk215395213"/>
      <w:bookmarkStart w:id="5" w:name="_Hlk217998597"/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1.</w:t>
      </w:r>
      <w:bookmarkEnd w:id="4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bookmarkEnd w:id="5"/>
      <w:r>
        <w:rPr>
          <w:rFonts w:ascii="Arial" w:hAnsi="Arial" w:cs="Arial"/>
          <w:color w:val="000000" w:themeColor="text1"/>
          <w:sz w:val="24"/>
          <w:szCs w:val="24"/>
        </w:rPr>
        <w:t>Viscosit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ies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of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the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c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ommonly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u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sed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s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olvents at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30 </w:t>
      </w:r>
      <w:r>
        <w:rPr>
          <w:rFonts w:ascii="Arial" w:hAnsi="Arial" w:cs="Arial"/>
          <w:color w:val="000000" w:themeColor="text1"/>
          <w:sz w:val="24"/>
          <w:szCs w:val="24"/>
        </w:rPr>
        <w:t>°C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.</w:t>
      </w:r>
    </w:p>
    <w:p w14:paraId="3823C6FC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4F9593C7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7BB6C0EC" wp14:editId="2D1416F8">
            <wp:extent cx="5039995" cy="2144395"/>
            <wp:effectExtent l="0" t="0" r="0" b="8255"/>
            <wp:docPr id="53302818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028187" name="图片 2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14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31827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2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r>
        <w:rPr>
          <w:rFonts w:hint="eastAsia"/>
          <w:color w:val="000000" w:themeColor="text1"/>
        </w:rPr>
        <w:t xml:space="preserve"> </w:t>
      </w:r>
      <w:bookmarkStart w:id="6" w:name="_Hlk217999039"/>
      <w:r>
        <w:rPr>
          <w:rFonts w:ascii="Arial" w:hAnsi="Arial" w:cs="Arial"/>
          <w:color w:val="000000" w:themeColor="text1"/>
          <w:sz w:val="24"/>
          <w:szCs w:val="24"/>
          <w:vertAlign w:val="superscript"/>
        </w:rPr>
        <w:t>19</w:t>
      </w:r>
      <w:r>
        <w:rPr>
          <w:rFonts w:ascii="Arial" w:hAnsi="Arial" w:cs="Arial"/>
          <w:color w:val="000000" w:themeColor="text1"/>
          <w:sz w:val="24"/>
          <w:szCs w:val="24"/>
        </w:rPr>
        <w:t>F</w:t>
      </w:r>
      <w:bookmarkEnd w:id="6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bookmarkStart w:id="7" w:name="_Hlk217999044"/>
      <w:r>
        <w:rPr>
          <w:rFonts w:ascii="Arial" w:hAnsi="Arial" w:cs="Arial"/>
          <w:color w:val="000000" w:themeColor="text1"/>
          <w:sz w:val="24"/>
          <w:szCs w:val="24"/>
        </w:rPr>
        <w:t>NMR</w:t>
      </w:r>
      <w:bookmarkEnd w:id="7"/>
      <w:r>
        <w:rPr>
          <w:rFonts w:ascii="Arial" w:hAnsi="Arial" w:cs="Arial"/>
          <w:color w:val="000000" w:themeColor="text1"/>
          <w:sz w:val="24"/>
          <w:szCs w:val="24"/>
        </w:rPr>
        <w:t xml:space="preserve"> spectr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a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of </w:t>
      </w:r>
      <w:bookmarkStart w:id="8" w:name="_Hlk217998988"/>
      <w:r>
        <w:rPr>
          <w:rFonts w:ascii="Arial" w:hAnsi="Arial" w:cs="Arial" w:hint="eastAsia"/>
          <w:color w:val="000000" w:themeColor="text1"/>
          <w:sz w:val="24"/>
          <w:szCs w:val="24"/>
        </w:rPr>
        <w:t>MF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electrolyte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at 60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</w:t>
      </w:r>
      <w:bookmarkEnd w:id="8"/>
      <w:r>
        <w:rPr>
          <w:rFonts w:ascii="Arial" w:hAnsi="Arial" w:cs="Arial"/>
          <w:color w:val="000000" w:themeColor="text1"/>
          <w:sz w:val="24"/>
          <w:szCs w:val="24"/>
        </w:rPr>
        <w:t>°C before and after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3 days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.</w:t>
      </w:r>
    </w:p>
    <w:p w14:paraId="66D2685B" w14:textId="77777777" w:rsidR="005A7609" w:rsidRDefault="00C26D63">
      <w:pPr>
        <w:spacing w:line="360" w:lineRule="auto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30FA633F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14:ligatures w14:val="none"/>
        </w:rPr>
        <w:lastRenderedPageBreak/>
        <w:drawing>
          <wp:inline distT="0" distB="0" distL="0" distR="0" wp14:anchorId="76C1FE09" wp14:editId="0B3B8639">
            <wp:extent cx="5039995" cy="2167890"/>
            <wp:effectExtent l="0" t="0" r="8255" b="3810"/>
            <wp:docPr id="15433137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31370" name="图片 2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168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E28DA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3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  <w:vertAlign w:val="superscript"/>
        </w:rPr>
        <w:t>19</w:t>
      </w:r>
      <w:r>
        <w:rPr>
          <w:rFonts w:ascii="Arial" w:hAnsi="Arial" w:cs="Arial"/>
          <w:color w:val="000000" w:themeColor="text1"/>
          <w:sz w:val="24"/>
          <w:szCs w:val="24"/>
        </w:rPr>
        <w:t>F NMR spectr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a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of TMF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electrolyte </w:t>
      </w:r>
      <w:r>
        <w:rPr>
          <w:rFonts w:ascii="Arial" w:hAnsi="Arial" w:cs="Arial"/>
          <w:color w:val="000000" w:themeColor="text1"/>
          <w:sz w:val="24"/>
          <w:szCs w:val="24"/>
        </w:rPr>
        <w:t>at 60 °C before and after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3 days.</w:t>
      </w:r>
    </w:p>
    <w:p w14:paraId="6A31F92D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1A312637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0599025E" wp14:editId="59FC7277">
            <wp:extent cx="2879725" cy="2395855"/>
            <wp:effectExtent l="0" t="0" r="0" b="4445"/>
            <wp:docPr id="142286909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869090" name="图片 4"/>
                    <pic:cNvPicPr>
                      <a:picLocks noChangeAspect="1"/>
                    </pic:cNvPicPr>
                  </pic:nvPicPr>
                  <pic:blipFill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16" t="9885" r="18611" b="1161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39642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3D0EA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bookmarkStart w:id="9" w:name="_Hlk215395369"/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4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bookmarkEnd w:id="9"/>
      <w:r>
        <w:rPr>
          <w:rFonts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FTIR spectroscopies of the t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wo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electrolytes and TEP, MP, FEC solvents.</w:t>
      </w:r>
    </w:p>
    <w:p w14:paraId="43C27F0B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1790A144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4C0206A" wp14:editId="19A84C8A">
            <wp:extent cx="4319905" cy="2148205"/>
            <wp:effectExtent l="0" t="0" r="4445" b="4445"/>
            <wp:docPr id="128568838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688384" name="图片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148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876022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5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r>
        <w:rPr>
          <w:rFonts w:hint="eastAsia"/>
        </w:rPr>
        <w:t xml:space="preserve">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MD snapshots of TMF and ED.</w:t>
      </w:r>
    </w:p>
    <w:p w14:paraId="3E7FB532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44570586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688D0F4A" wp14:editId="06907CD4">
            <wp:extent cx="2879725" cy="2169795"/>
            <wp:effectExtent l="0" t="0" r="0" b="1905"/>
            <wp:docPr id="138739920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399209" name="图片 5"/>
                    <pic:cNvPicPr>
                      <a:picLocks noChangeAspect="1"/>
                    </pic:cNvPicPr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52" t="7434" r="15048" b="1185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7019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BAEA9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bookmarkStart w:id="10" w:name="_Hlk215395484"/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6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r>
        <w:rPr>
          <w:rFonts w:hint="eastAsia"/>
          <w:color w:val="000000" w:themeColor="text1"/>
          <w:sz w:val="24"/>
          <w:szCs w:val="24"/>
        </w:rPr>
        <w:t xml:space="preserve"> </w:t>
      </w:r>
      <w:bookmarkEnd w:id="10"/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Mean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s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quared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d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isplacement (MSD)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c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urves of Li</w:t>
      </w:r>
      <w:r>
        <w:rPr>
          <w:rFonts w:ascii="Arial" w:hAnsi="Arial" w:cs="Arial" w:hint="eastAsia"/>
          <w:color w:val="000000" w:themeColor="text1"/>
          <w:sz w:val="24"/>
          <w:szCs w:val="24"/>
          <w:vertAlign w:val="superscript"/>
        </w:rPr>
        <w:t>+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i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ons in TMF and ED.</w:t>
      </w:r>
    </w:p>
    <w:p w14:paraId="78E86015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05BB0BE7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</w:rPr>
        <w:lastRenderedPageBreak/>
        <w:drawing>
          <wp:inline distT="0" distB="0" distL="0" distR="0" wp14:anchorId="7011768D" wp14:editId="68FDFF7F">
            <wp:extent cx="5039995" cy="1327785"/>
            <wp:effectExtent l="0" t="0" r="8255" b="5715"/>
            <wp:docPr id="7008228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822812" name="图片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3279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C46393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bookmarkStart w:id="11" w:name="_Hlk215395577"/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7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bookmarkEnd w:id="11"/>
      <w:r>
        <w:rPr>
          <w:rFonts w:ascii="Arial" w:hAnsi="Arial" w:cs="Arial"/>
          <w:color w:val="000000" w:themeColor="text1"/>
          <w:sz w:val="24"/>
          <w:szCs w:val="24"/>
        </w:rPr>
        <w:t xml:space="preserve"> Electrochemical stabilization windows of different electrolytes.</w:t>
      </w:r>
    </w:p>
    <w:p w14:paraId="502CE341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65172155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</w:rPr>
        <w:lastRenderedPageBreak/>
        <w:drawing>
          <wp:inline distT="0" distB="0" distL="0" distR="0" wp14:anchorId="733FAA23" wp14:editId="6C6EFC58">
            <wp:extent cx="5039995" cy="1154430"/>
            <wp:effectExtent l="0" t="0" r="8255" b="0"/>
            <wp:docPr id="2526885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688570" name="图片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154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66A939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8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r>
        <w:rPr>
          <w:rFonts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Ignition tests of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MF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electrolyte.</w:t>
      </w:r>
    </w:p>
    <w:p w14:paraId="5476C666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6BA616F6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</w:rPr>
        <w:lastRenderedPageBreak/>
        <w:drawing>
          <wp:inline distT="0" distB="0" distL="0" distR="0" wp14:anchorId="78D3B114" wp14:editId="6C3D48DE">
            <wp:extent cx="4319905" cy="1565275"/>
            <wp:effectExtent l="0" t="0" r="4445" b="0"/>
            <wp:docPr id="17302731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273111" name="图片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565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CBC863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bookmarkStart w:id="12" w:name="_Hlk215395675"/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9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bookmarkEnd w:id="12"/>
      <w:r>
        <w:rPr>
          <w:rFonts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Contact angle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s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of different electrolytes with diaphragm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.</w:t>
      </w:r>
    </w:p>
    <w:p w14:paraId="6DD362E4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6185B85E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</w:rPr>
        <w:lastRenderedPageBreak/>
        <w:drawing>
          <wp:inline distT="0" distB="0" distL="0" distR="0" wp14:anchorId="06216F8D" wp14:editId="4BC13449">
            <wp:extent cx="5039995" cy="1196975"/>
            <wp:effectExtent l="0" t="0" r="0" b="3175"/>
            <wp:docPr id="33599058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990582" name="图片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197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FECB95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10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r>
        <w:rPr>
          <w:rFonts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Optical photographs of TMF </w:t>
      </w:r>
      <w:bookmarkStart w:id="13" w:name="_Hlk215395772"/>
      <w:r>
        <w:rPr>
          <w:rFonts w:ascii="Arial" w:hAnsi="Arial" w:cs="Arial" w:hint="eastAsia"/>
          <w:color w:val="000000" w:themeColor="text1"/>
          <w:sz w:val="24"/>
          <w:szCs w:val="24"/>
        </w:rPr>
        <w:t>(left)</w:t>
      </w:r>
      <w:bookmarkEnd w:id="13"/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and ED (right) electrolytes at varying temperatures</w:t>
      </w:r>
    </w:p>
    <w:p w14:paraId="06D50061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347C3645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1C3AD547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1814C0F7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6F3B71BC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5687275E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19FE148C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4366F8B4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605FF3EB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5C1D791A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71BBC883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4C084346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7409ADAB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32585FC6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035F0314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Cs w:val="21"/>
          <w14:ligatures w14:val="none"/>
        </w:rPr>
      </w:pPr>
    </w:p>
    <w:p w14:paraId="6F05C911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Cs w:val="21"/>
          <w14:ligatures w14:val="none"/>
        </w:rPr>
      </w:pPr>
    </w:p>
    <w:p w14:paraId="4BFF70DC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4DFFB9F9" wp14:editId="668E5D0C">
            <wp:extent cx="2879725" cy="2337435"/>
            <wp:effectExtent l="0" t="0" r="0" b="5715"/>
            <wp:docPr id="65977987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779876" name="图片 2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337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9801D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bookmarkStart w:id="14" w:name="_Hlk215396004"/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11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bookmarkEnd w:id="14"/>
      <w:r>
        <w:rPr>
          <w:rFonts w:hint="eastAsia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Ion conductivit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ies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of different electrolytes at different temperatures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.</w:t>
      </w: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18D4AA5C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</w:rPr>
        <w:lastRenderedPageBreak/>
        <w:drawing>
          <wp:inline distT="0" distB="0" distL="0" distR="0" wp14:anchorId="7E947C28" wp14:editId="216C12D4">
            <wp:extent cx="2879725" cy="2279015"/>
            <wp:effectExtent l="0" t="0" r="0" b="6985"/>
            <wp:docPr id="68335852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358523" name="图片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279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984C63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bookmarkStart w:id="15" w:name="_Hlk215396112"/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12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bookmarkEnd w:id="15"/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Tafel plots of TMF and ED at 30 </w:t>
      </w:r>
      <w:r>
        <w:rPr>
          <w:rFonts w:ascii="Arial" w:hAnsi="Arial" w:cs="Arial"/>
          <w:color w:val="000000" w:themeColor="text1"/>
          <w:sz w:val="24"/>
          <w:szCs w:val="24"/>
        </w:rPr>
        <w:t>°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C.</w:t>
      </w:r>
    </w:p>
    <w:p w14:paraId="3AB737F3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21EA31C8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4A1B1213" wp14:editId="0B91528D">
            <wp:extent cx="2879725" cy="2199005"/>
            <wp:effectExtent l="0" t="0" r="0" b="0"/>
            <wp:docPr id="122760400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604008" name="图片 2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9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48A97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  <w:vertAlign w:val="superscript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13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Measured ACEs of Li||Cu cells with TMF and ED at 0.5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mA cm</w:t>
      </w:r>
      <w:r>
        <w:rPr>
          <w:rFonts w:ascii="Arial" w:hAnsi="Arial" w:cs="Arial" w:hint="eastAsia"/>
          <w:color w:val="000000" w:themeColor="text1"/>
          <w:sz w:val="24"/>
          <w:szCs w:val="24"/>
          <w:vertAlign w:val="superscript"/>
        </w:rPr>
        <w:t>-2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by the </w:t>
      </w:r>
      <w:proofErr w:type="spellStart"/>
      <w:r>
        <w:rPr>
          <w:rFonts w:ascii="Arial" w:hAnsi="Arial" w:cs="Arial" w:hint="eastAsia"/>
          <w:color w:val="000000" w:themeColor="text1"/>
          <w:sz w:val="24"/>
          <w:szCs w:val="24"/>
        </w:rPr>
        <w:t>Aurbach</w:t>
      </w:r>
      <w:proofErr w:type="spellEnd"/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method.</w:t>
      </w:r>
    </w:p>
    <w:p w14:paraId="67C5A0E3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  <w:vertAlign w:val="superscript"/>
        </w:rPr>
      </w:pPr>
      <w:r>
        <w:rPr>
          <w:rFonts w:ascii="Arial" w:hAnsi="Arial" w:cs="Arial"/>
          <w:color w:val="000000" w:themeColor="text1"/>
          <w:sz w:val="24"/>
          <w:szCs w:val="24"/>
          <w:vertAlign w:val="superscript"/>
        </w:rPr>
        <w:br w:type="page"/>
      </w:r>
    </w:p>
    <w:p w14:paraId="23BA2319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6118910F" wp14:editId="0681E23E">
            <wp:extent cx="5039995" cy="1964055"/>
            <wp:effectExtent l="0" t="0" r="8255" b="0"/>
            <wp:docPr id="17517985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79851" name="图片 2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12882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bookmarkStart w:id="16" w:name="_Hlk215396343"/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14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bookmarkEnd w:id="16"/>
      <w:r>
        <w:rPr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Voltage-Time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p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rofiles of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different electrolytes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in Li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||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Li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s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ymmetric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c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ells at 1 </w:t>
      </w:r>
      <w:r>
        <w:rPr>
          <w:rFonts w:ascii="Arial" w:hAnsi="Arial" w:cs="Arial"/>
          <w:color w:val="000000" w:themeColor="text1"/>
          <w:sz w:val="24"/>
          <w:szCs w:val="24"/>
        </w:rPr>
        <w:t>mA cm</w:t>
      </w:r>
      <w:r>
        <w:rPr>
          <w:rFonts w:ascii="Arial" w:hAnsi="Arial" w:cs="Arial" w:hint="eastAsia"/>
          <w:color w:val="000000" w:themeColor="text1"/>
          <w:sz w:val="24"/>
          <w:szCs w:val="24"/>
          <w:vertAlign w:val="superscript"/>
        </w:rPr>
        <w:t>-2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.</w:t>
      </w:r>
    </w:p>
    <w:p w14:paraId="76DBE66E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6D23F6AE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3FD10651" wp14:editId="50EC2831">
            <wp:extent cx="4319905" cy="1842770"/>
            <wp:effectExtent l="0" t="0" r="4445" b="5080"/>
            <wp:docPr id="118480237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802370" name="图片 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84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B60A2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bookmarkStart w:id="17" w:name="_Hlk215396435"/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15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bookmarkEnd w:id="17"/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Voltage-Time profile of a Li||Li symmetric cell with TMF electrolyte at -40 </w:t>
      </w:r>
      <w:r>
        <w:rPr>
          <w:rFonts w:ascii="Arial" w:hAnsi="Arial" w:cs="Arial"/>
          <w:color w:val="000000" w:themeColor="text1"/>
          <w:sz w:val="24"/>
          <w:szCs w:val="24"/>
        </w:rPr>
        <w:t>°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C.</w:t>
      </w:r>
    </w:p>
    <w:p w14:paraId="0A76DE3A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color w:val="000000" w:themeColor="text1"/>
          <w:szCs w:val="21"/>
        </w:rPr>
        <w:br w:type="page"/>
      </w:r>
    </w:p>
    <w:p w14:paraId="0D381377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0ECEC6AE" wp14:editId="2DA8C3C0">
            <wp:extent cx="2879725" cy="2249805"/>
            <wp:effectExtent l="0" t="0" r="0" b="0"/>
            <wp:docPr id="39449171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491712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25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F7F24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bookmarkStart w:id="18" w:name="_Hlk215396472"/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16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bookmarkEnd w:id="18"/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Rate capability of Li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||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Li symmetric cells with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different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electrolytes from 0.5 to 5 mA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cm</w:t>
      </w:r>
      <w:r>
        <w:rPr>
          <w:rFonts w:ascii="Arial" w:hAnsi="Arial" w:cs="Arial" w:hint="eastAsia"/>
          <w:color w:val="000000" w:themeColor="text1"/>
          <w:sz w:val="24"/>
          <w:szCs w:val="24"/>
          <w:vertAlign w:val="superscript"/>
        </w:rPr>
        <w:t>-2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73CD69C8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2A601877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3E6A5B9E" wp14:editId="11497F16">
            <wp:extent cx="2879725" cy="2191385"/>
            <wp:effectExtent l="0" t="0" r="0" b="0"/>
            <wp:docPr id="99393545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935452" name="图片 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9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75BFB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bookmarkStart w:id="19" w:name="_Hlk215396570"/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17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bookmarkEnd w:id="19"/>
      <w:r>
        <w:rPr>
          <w:rFonts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Stability tests of NMC811 with different electrolytes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.</w:t>
      </w:r>
    </w:p>
    <w:p w14:paraId="20B0825A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2E858C31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</w:rPr>
        <w:lastRenderedPageBreak/>
        <w:drawing>
          <wp:inline distT="0" distB="0" distL="0" distR="0" wp14:anchorId="4B9D3BCB" wp14:editId="6A0BBB8D">
            <wp:extent cx="4319905" cy="1649095"/>
            <wp:effectExtent l="0" t="0" r="4445" b="8255"/>
            <wp:docPr id="63337796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377969" name="图片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649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5FF0F1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bookmarkStart w:id="20" w:name="_Hlk215396685"/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18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bookmarkEnd w:id="20"/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SEM images of Al foil after </w:t>
      </w:r>
      <w:proofErr w:type="spellStart"/>
      <w:r>
        <w:rPr>
          <w:rFonts w:ascii="Arial" w:hAnsi="Arial" w:cs="Arial" w:hint="eastAsia"/>
          <w:color w:val="000000" w:themeColor="text1"/>
          <w:sz w:val="24"/>
          <w:szCs w:val="24"/>
        </w:rPr>
        <w:t>potentiostatic</w:t>
      </w:r>
      <w:proofErr w:type="spellEnd"/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polarization.</w:t>
      </w:r>
    </w:p>
    <w:p w14:paraId="7FAB2FC7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6554EA83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5F270423" wp14:editId="76D68C7A">
            <wp:extent cx="2879725" cy="2193290"/>
            <wp:effectExtent l="0" t="0" r="0" b="0"/>
            <wp:docPr id="213513419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134191" name="图片 1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9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5A24C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bookmarkStart w:id="21" w:name="_Hlk215396782"/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1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>9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bookmarkEnd w:id="21"/>
      <w:r>
        <w:rPr>
          <w:rFonts w:ascii="Arial" w:hAnsi="Arial" w:cs="Arial"/>
          <w:color w:val="000000" w:themeColor="text1"/>
          <w:sz w:val="24"/>
          <w:szCs w:val="24"/>
        </w:rPr>
        <w:t xml:space="preserve">Nyquist plots of </w:t>
      </w:r>
      <w:r>
        <w:rPr>
          <w:rFonts w:ascii="Arial" w:hAnsi="Arial" w:cs="Arial"/>
          <w:color w:val="000000" w:themeColor="text1"/>
          <w:sz w:val="24"/>
          <w:szCs w:val="24"/>
        </w:rPr>
        <w:t>NMC811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||Li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cells with TMF and ED electrolytes after 100 cycles at 30 °C.</w:t>
      </w:r>
    </w:p>
    <w:p w14:paraId="241FF702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color w:val="000000" w:themeColor="text1"/>
          <w:szCs w:val="21"/>
        </w:rPr>
        <w:br w:type="page"/>
      </w:r>
    </w:p>
    <w:p w14:paraId="7953C072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1FD81564" wp14:editId="3FB9548D">
            <wp:extent cx="5039995" cy="1922145"/>
            <wp:effectExtent l="0" t="0" r="8255" b="1905"/>
            <wp:docPr id="28632790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327901" name="图片 1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92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AC283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20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r>
        <w:rPr>
          <w:rFonts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In situ Nyquist plots of cells with different electrolytes during discharge at 30 </w:t>
      </w:r>
      <w:r>
        <w:rPr>
          <w:rFonts w:ascii="Arial" w:hAnsi="Arial" w:cs="Arial"/>
          <w:color w:val="000000" w:themeColor="text1"/>
          <w:sz w:val="24"/>
          <w:szCs w:val="24"/>
        </w:rPr>
        <w:t>°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C.</w:t>
      </w:r>
    </w:p>
    <w:p w14:paraId="40D4E10C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color w:val="000000" w:themeColor="text1"/>
          <w:szCs w:val="21"/>
        </w:rPr>
        <w:br w:type="page"/>
      </w: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43ED7A0B" wp14:editId="086FC327">
            <wp:extent cx="5399405" cy="1426845"/>
            <wp:effectExtent l="0" t="0" r="0" b="1905"/>
            <wp:docPr id="19835181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518181" name="图片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42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A71CF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21.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Cells performance at different cut-off voltages using different electrolytes.</w:t>
      </w:r>
    </w:p>
    <w:p w14:paraId="0E7CF3FC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6AA8BF98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429E69C3" wp14:editId="524C3954">
            <wp:extent cx="5039995" cy="2043430"/>
            <wp:effectExtent l="0" t="0" r="8255" b="0"/>
            <wp:docPr id="162172722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727224" name="图片 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04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B1B22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22.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Charge-discharge curves of NMC811||Li cells during the first three cycles at 0.2 C using different electrolytes.</w:t>
      </w:r>
    </w:p>
    <w:p w14:paraId="18DCDD4B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6C2235F9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51401D09" wp14:editId="23A6D416">
            <wp:extent cx="5039995" cy="1851660"/>
            <wp:effectExtent l="0" t="0" r="8255" b="0"/>
            <wp:docPr id="9240613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061311" name="图片 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851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D8658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23.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 w:hint="eastAsia"/>
          <w:color w:val="000000" w:themeColor="text1"/>
          <w:sz w:val="24"/>
          <w:szCs w:val="24"/>
        </w:rPr>
        <w:t>dQ</w:t>
      </w:r>
      <w:proofErr w:type="spellEnd"/>
      <w:r>
        <w:rPr>
          <w:rFonts w:ascii="Arial" w:hAnsi="Arial" w:cs="Arial" w:hint="eastAsia"/>
          <w:color w:val="000000" w:themeColor="text1"/>
          <w:sz w:val="24"/>
          <w:szCs w:val="24"/>
        </w:rPr>
        <w:t>/</w:t>
      </w:r>
      <w:proofErr w:type="spellStart"/>
      <w:r>
        <w:rPr>
          <w:rFonts w:ascii="Arial" w:hAnsi="Arial" w:cs="Arial" w:hint="eastAsia"/>
          <w:color w:val="000000" w:themeColor="text1"/>
          <w:sz w:val="24"/>
          <w:szCs w:val="24"/>
        </w:rPr>
        <w:t>dV</w:t>
      </w:r>
      <w:proofErr w:type="spellEnd"/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vs.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v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oltage curves for cells with different electrolytes.</w:t>
      </w:r>
    </w:p>
    <w:p w14:paraId="2597C599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4A843A26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52232675" wp14:editId="298747DF">
            <wp:extent cx="2879725" cy="2073275"/>
            <wp:effectExtent l="0" t="0" r="0" b="3175"/>
            <wp:docPr id="170461386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613865" name="图片 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073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7AD27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2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>4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Rate capability of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NMC811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||Li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cells with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different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electrolytes at -20 °C.</w:t>
      </w:r>
    </w:p>
    <w:p w14:paraId="1A7A99D8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6C6CC3CA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45DD0908" wp14:editId="4BB05BA3">
            <wp:extent cx="4319905" cy="1568450"/>
            <wp:effectExtent l="0" t="0" r="4445" b="0"/>
            <wp:docPr id="201853880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538804" name="图片 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5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011CC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2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>5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Cycling performance of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NMC811||Li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cells with different electrolyte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s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at -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2</w:t>
      </w:r>
      <w:r>
        <w:rPr>
          <w:rFonts w:ascii="Arial" w:hAnsi="Arial" w:cs="Arial"/>
          <w:color w:val="000000" w:themeColor="text1"/>
          <w:sz w:val="24"/>
          <w:szCs w:val="24"/>
        </w:rPr>
        <w:t>0 °C and 4.6 V.</w:t>
      </w:r>
    </w:p>
    <w:p w14:paraId="4ED78ADC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3DF70C43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47B84CFD" wp14:editId="046E5869">
            <wp:extent cx="4319905" cy="1586230"/>
            <wp:effectExtent l="0" t="0" r="4445" b="0"/>
            <wp:docPr id="32730415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304159" name="图片 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586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E4739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2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>6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Cycling performance of 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NMC811||Gr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cells with TMF electrolyte at -40 °C and 4.6 V.</w:t>
      </w:r>
    </w:p>
    <w:p w14:paraId="581F2A3A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3EA3C8B7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</w:rPr>
        <w:lastRenderedPageBreak/>
        <w:drawing>
          <wp:inline distT="0" distB="0" distL="0" distR="0" wp14:anchorId="18426719" wp14:editId="4679F157">
            <wp:extent cx="2879725" cy="2193290"/>
            <wp:effectExtent l="0" t="0" r="0" b="0"/>
            <wp:docPr id="7537530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753001" name="图片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93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57DF8F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27.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The discharge curves of the NMC811||Li battery using ED electrolyte at different temperatures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.</w:t>
      </w:r>
    </w:p>
    <w:p w14:paraId="42284AF0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1ECFB8CC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Cs w:val="21"/>
        </w:rPr>
        <w:lastRenderedPageBreak/>
        <w:drawing>
          <wp:inline distT="0" distB="0" distL="0" distR="0" wp14:anchorId="4F2C667A" wp14:editId="75644849">
            <wp:extent cx="4319905" cy="1453515"/>
            <wp:effectExtent l="0" t="0" r="4445" b="0"/>
            <wp:docPr id="129484176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841764" name="图片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4538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F13B42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28.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SEM and TEM images of the NMC811 cathode before cycling.</w:t>
      </w:r>
    </w:p>
    <w:p w14:paraId="3E7B21F4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14D2525A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2335FCED" wp14:editId="6934D2DB">
            <wp:extent cx="5039995" cy="2159000"/>
            <wp:effectExtent l="0" t="0" r="0" b="0"/>
            <wp:docPr id="158637755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377554" name="图片 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159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E0FD3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29.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XRD patterns of NMC811 cathodes before cycling and after cycling with TMF and ED electrolytes, along with the ratio of </w:t>
      </w:r>
      <w:r>
        <w:rPr>
          <w:rFonts w:ascii="Arial" w:hAnsi="Arial" w:cs="Arial"/>
          <w:i/>
          <w:iCs/>
          <w:color w:val="000000" w:themeColor="text1"/>
          <w:sz w:val="24"/>
          <w:szCs w:val="24"/>
        </w:rPr>
        <w:t>I</w:t>
      </w:r>
      <w:r>
        <w:rPr>
          <w:rFonts w:ascii="Arial" w:hAnsi="Arial" w:cs="Arial"/>
          <w:color w:val="000000" w:themeColor="text1"/>
          <w:sz w:val="24"/>
          <w:szCs w:val="24"/>
          <w:vertAlign w:val="subscript"/>
        </w:rPr>
        <w:t xml:space="preserve"> (</w:t>
      </w:r>
      <w:r>
        <w:rPr>
          <w:rFonts w:ascii="Arial" w:hAnsi="Arial" w:cs="Arial" w:hint="eastAsia"/>
          <w:color w:val="000000" w:themeColor="text1"/>
          <w:sz w:val="24"/>
          <w:szCs w:val="24"/>
          <w:vertAlign w:val="subscript"/>
        </w:rPr>
        <w:t>003)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/</w:t>
      </w:r>
      <w:r>
        <w:rPr>
          <w:rFonts w:ascii="Arial" w:hAnsi="Arial" w:cs="Arial"/>
          <w:i/>
          <w:iCs/>
          <w:color w:val="000000" w:themeColor="text1"/>
          <w:sz w:val="24"/>
          <w:szCs w:val="24"/>
        </w:rPr>
        <w:t>I</w:t>
      </w:r>
      <w:r>
        <w:rPr>
          <w:rFonts w:ascii="Arial" w:hAnsi="Arial" w:cs="Arial"/>
          <w:color w:val="000000" w:themeColor="text1"/>
          <w:sz w:val="24"/>
          <w:szCs w:val="24"/>
          <w:vertAlign w:val="subscript"/>
        </w:rPr>
        <w:t xml:space="preserve"> (</w:t>
      </w:r>
      <w:r>
        <w:rPr>
          <w:rFonts w:ascii="Arial" w:hAnsi="Arial" w:cs="Arial" w:hint="eastAsia"/>
          <w:color w:val="000000" w:themeColor="text1"/>
          <w:sz w:val="24"/>
          <w:szCs w:val="24"/>
          <w:vertAlign w:val="subscript"/>
        </w:rPr>
        <w:t>104)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in the XRD patterns.</w:t>
      </w:r>
    </w:p>
    <w:p w14:paraId="27A1F648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</w:p>
    <w:p w14:paraId="0B71FFD3" w14:textId="77777777" w:rsidR="005A7609" w:rsidRDefault="00C26D63">
      <w:pPr>
        <w:widowControl/>
        <w:spacing w:line="360" w:lineRule="auto"/>
        <w:jc w:val="left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color w:val="000000" w:themeColor="text1"/>
          <w:szCs w:val="21"/>
        </w:rPr>
        <w:br w:type="page"/>
      </w:r>
    </w:p>
    <w:p w14:paraId="2F70090F" w14:textId="77777777" w:rsidR="005A7609" w:rsidRDefault="00C26D63">
      <w:pPr>
        <w:spacing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A8A15B1" wp14:editId="0E6F03FE">
            <wp:extent cx="4319905" cy="1730375"/>
            <wp:effectExtent l="0" t="0" r="4445" b="3175"/>
            <wp:docPr id="18226644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664436" name="图片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7306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186242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3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>0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r>
        <w:rPr>
          <w:rFonts w:ascii="Arial" w:hAnsi="Arial" w:cs="Arial"/>
          <w:color w:val="000000" w:themeColor="text1"/>
          <w:szCs w:val="21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2D AFM images of the NMC811 cathode after cycling in </w:t>
      </w:r>
      <w:r>
        <w:rPr>
          <w:rFonts w:ascii="Arial" w:hAnsi="Arial" w:cs="Arial"/>
          <w:color w:val="000000" w:themeColor="text1"/>
          <w:sz w:val="24"/>
          <w:szCs w:val="24"/>
        </w:rPr>
        <w:t>different electrolytes</w:t>
      </w:r>
      <w:r>
        <w:rPr>
          <w:rFonts w:ascii="Arial" w:hAnsi="Arial" w:cs="Arial"/>
          <w:color w:val="000000" w:themeColor="text1"/>
          <w:szCs w:val="21"/>
        </w:rPr>
        <w:t>.</w:t>
      </w:r>
    </w:p>
    <w:p w14:paraId="5A7E67B3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color w:val="000000" w:themeColor="text1"/>
          <w:szCs w:val="21"/>
        </w:rPr>
        <w:br w:type="page"/>
      </w:r>
    </w:p>
    <w:p w14:paraId="3E5D2342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53F8CED6" wp14:editId="0B23BDFD">
            <wp:extent cx="2879725" cy="2855595"/>
            <wp:effectExtent l="0" t="0" r="0" b="1905"/>
            <wp:docPr id="146679958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799584" name="图片 1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5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E5DAA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bookmarkStart w:id="22" w:name="_Hlk215397796"/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31.</w:t>
      </w:r>
      <w:r>
        <w:rPr>
          <w:rFonts w:hint="eastAsia"/>
          <w:color w:val="000000" w:themeColor="text1"/>
          <w:sz w:val="24"/>
          <w:szCs w:val="24"/>
        </w:rPr>
        <w:t xml:space="preserve"> </w:t>
      </w:r>
      <w:bookmarkEnd w:id="22"/>
      <w:r>
        <w:rPr>
          <w:rFonts w:ascii="Arial" w:hAnsi="Arial" w:cs="Arial" w:hint="eastAsia"/>
          <w:color w:val="000000" w:themeColor="text1"/>
          <w:sz w:val="24"/>
          <w:szCs w:val="24"/>
        </w:rPr>
        <w:t>Dissolution of metals (Ni, Co, Mn) from the NMC811 cathode cycled in different electrolytes.</w:t>
      </w:r>
    </w:p>
    <w:p w14:paraId="25FC0F90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51EDC1C1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753C4901" wp14:editId="24C9B11D">
            <wp:extent cx="2879725" cy="2870200"/>
            <wp:effectExtent l="0" t="0" r="0" b="6350"/>
            <wp:docPr id="144948706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487062" name="图片 1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70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EFD07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bookmarkStart w:id="23" w:name="_Hlk215397858"/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32.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XPS O 1s spectra of the NMC811 cathodes after cycling with TMF and ED electrolytes.</w:t>
      </w:r>
      <w:bookmarkEnd w:id="23"/>
    </w:p>
    <w:p w14:paraId="0AADCF50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color w:val="000000" w:themeColor="text1"/>
          <w:szCs w:val="21"/>
        </w:rPr>
        <w:br w:type="page"/>
      </w:r>
    </w:p>
    <w:p w14:paraId="48F6D467" w14:textId="77777777" w:rsidR="005A7609" w:rsidRDefault="00C26D63">
      <w:pPr>
        <w:spacing w:line="36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noProof/>
          <w:color w:val="000000" w:themeColor="text1"/>
          <w:sz w:val="24"/>
          <w:szCs w:val="24"/>
          <w14:ligatures w14:val="none"/>
        </w:rPr>
        <w:lastRenderedPageBreak/>
        <w:drawing>
          <wp:inline distT="0" distB="0" distL="0" distR="0" wp14:anchorId="689C61DA" wp14:editId="5262CA80">
            <wp:extent cx="2879725" cy="2773680"/>
            <wp:effectExtent l="0" t="0" r="0" b="7620"/>
            <wp:docPr id="20004560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456038" name="图片 1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77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F50EE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33.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XPS P 2p spectra of the NMC811 cathodes after cycling with TMF and ED electrolytes.</w:t>
      </w:r>
    </w:p>
    <w:p w14:paraId="5810884F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0D4A3457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32FF7654" wp14:editId="0D6B4897">
            <wp:extent cx="2879725" cy="2401570"/>
            <wp:effectExtent l="0" t="0" r="0" b="0"/>
            <wp:docPr id="83233080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330809" name="图片 1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401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6A7D2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bookmarkStart w:id="24" w:name="_Hlk215426871"/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34.</w:t>
      </w:r>
      <w:bookmarkEnd w:id="24"/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</w:t>
      </w:r>
      <w:bookmarkStart w:id="25" w:name="_Hlk215427006"/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ToF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-SIMS depth profiles of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LiH</w:t>
      </w:r>
      <w:r>
        <w:rPr>
          <w:rFonts w:ascii="Arial" w:hAnsi="Arial" w:cs="Arial" w:hint="eastAsia"/>
          <w:color w:val="000000" w:themeColor="text1"/>
          <w:sz w:val="24"/>
          <w:szCs w:val="24"/>
          <w:vertAlign w:val="subscript"/>
        </w:rPr>
        <w:t>2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O</w:t>
      </w:r>
      <w:r>
        <w:rPr>
          <w:rFonts w:ascii="Arial" w:hAnsi="Arial" w:cs="Arial" w:hint="eastAsia"/>
          <w:color w:val="000000" w:themeColor="text1"/>
          <w:sz w:val="24"/>
          <w:szCs w:val="24"/>
          <w:vertAlign w:val="superscript"/>
        </w:rPr>
        <w:t>-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species in the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CEI formed in different electrolytes.</w:t>
      </w:r>
    </w:p>
    <w:p w14:paraId="4A2128A9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  <w:bookmarkEnd w:id="25"/>
    </w:p>
    <w:p w14:paraId="7521C185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67CC74B0" wp14:editId="29A567BE">
            <wp:extent cx="2879725" cy="2425065"/>
            <wp:effectExtent l="0" t="0" r="0" b="0"/>
            <wp:docPr id="100688919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889194" name="图片 1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42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9FB43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35.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ToF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-SIMS depth profiles of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F</w:t>
      </w:r>
      <w:r>
        <w:rPr>
          <w:rFonts w:ascii="Arial" w:hAnsi="Arial" w:cs="Arial" w:hint="eastAsia"/>
          <w:color w:val="000000" w:themeColor="text1"/>
          <w:sz w:val="24"/>
          <w:szCs w:val="24"/>
          <w:vertAlign w:val="superscript"/>
        </w:rPr>
        <w:t>-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species in the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CEI formed in different electrolytes.</w:t>
      </w:r>
    </w:p>
    <w:p w14:paraId="38F8FB34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42C9C6C4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Cs w:val="21"/>
        </w:rPr>
      </w:pPr>
      <w:r>
        <w:rPr>
          <w:rFonts w:ascii="Arial" w:hAnsi="Arial" w:cs="Arial"/>
          <w:noProof/>
          <w:color w:val="000000" w:themeColor="text1"/>
          <w:szCs w:val="21"/>
          <w14:ligatures w14:val="none"/>
        </w:rPr>
        <w:lastRenderedPageBreak/>
        <w:drawing>
          <wp:inline distT="0" distB="0" distL="0" distR="0" wp14:anchorId="4989BBC4" wp14:editId="43F51C94">
            <wp:extent cx="5039995" cy="2739390"/>
            <wp:effectExtent l="0" t="0" r="8255" b="3810"/>
            <wp:docPr id="170004501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045017" name="图片 1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739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B34FA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Supplementary Fig. 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36.</w:t>
      </w:r>
      <w:r>
        <w:rPr>
          <w:rFonts w:ascii="Arial" w:hAnsi="Arial" w:cs="Arial" w:hint="eastAsia"/>
          <w:color w:val="000000" w:themeColor="text1"/>
          <w:sz w:val="24"/>
          <w:szCs w:val="24"/>
        </w:rPr>
        <w:t xml:space="preserve"> 2D images and 3D of various substances within the CEI, based on </w:t>
      </w:r>
      <w:proofErr w:type="spellStart"/>
      <w:r>
        <w:rPr>
          <w:rFonts w:ascii="Arial" w:hAnsi="Arial" w:cs="Arial" w:hint="eastAsia"/>
          <w:color w:val="000000" w:themeColor="text1"/>
          <w:sz w:val="24"/>
          <w:szCs w:val="24"/>
        </w:rPr>
        <w:t>ToF</w:t>
      </w:r>
      <w:proofErr w:type="spellEnd"/>
      <w:r>
        <w:rPr>
          <w:rFonts w:ascii="Arial" w:hAnsi="Arial" w:cs="Arial" w:hint="eastAsia"/>
          <w:color w:val="000000" w:themeColor="text1"/>
          <w:sz w:val="24"/>
          <w:szCs w:val="24"/>
        </w:rPr>
        <w:t>-SIMS intensity depth profiles, during cycling in different electrolytes.</w:t>
      </w:r>
    </w:p>
    <w:p w14:paraId="618C4A9D" w14:textId="77777777" w:rsidR="005A7609" w:rsidRDefault="00C26D63">
      <w:pPr>
        <w:widowControl/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5E17432C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lastRenderedPageBreak/>
        <w:t>Supplementary</w:t>
      </w:r>
      <w:r>
        <w:rPr>
          <w:rFonts w:ascii="Arial" w:hAnsi="Arial" w:cs="Arial" w:hint="eastAsia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Table S1.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Comparison of low-temperature NMC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||Li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cell performance between this work and reported works</w:t>
      </w:r>
      <w:r>
        <w:rPr>
          <w:rFonts w:ascii="Arial" w:hAnsi="Arial" w:cs="Arial" w:hint="eastAsia"/>
          <w:color w:val="000000" w:themeColor="text1"/>
          <w:sz w:val="24"/>
          <w:szCs w:val="24"/>
        </w:rPr>
        <w:t>.</w:t>
      </w:r>
    </w:p>
    <w:tbl>
      <w:tblPr>
        <w:tblStyle w:val="ab"/>
        <w:tblW w:w="10490" w:type="dxa"/>
        <w:jc w:val="center"/>
        <w:tblBorders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7"/>
        <w:gridCol w:w="1056"/>
        <w:gridCol w:w="2168"/>
        <w:gridCol w:w="1294"/>
        <w:gridCol w:w="1231"/>
        <w:gridCol w:w="1403"/>
        <w:gridCol w:w="1654"/>
        <w:gridCol w:w="1087"/>
      </w:tblGrid>
      <w:tr w:rsidR="005A7609" w14:paraId="663E2DF3" w14:textId="77777777">
        <w:trPr>
          <w:trHeight w:val="1019"/>
          <w:jc w:val="center"/>
        </w:trPr>
        <w:tc>
          <w:tcPr>
            <w:tcW w:w="597" w:type="dxa"/>
            <w:tcBorders>
              <w:left w:val="nil"/>
              <w:bottom w:val="single" w:sz="4" w:space="0" w:color="auto"/>
            </w:tcBorders>
            <w:vAlign w:val="center"/>
          </w:tcPr>
          <w:p w14:paraId="3D78DC88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  <w:t>No.</w:t>
            </w:r>
          </w:p>
        </w:tc>
        <w:tc>
          <w:tcPr>
            <w:tcW w:w="1056" w:type="dxa"/>
            <w:tcBorders>
              <w:bottom w:val="single" w:sz="4" w:space="0" w:color="auto"/>
            </w:tcBorders>
            <w:vAlign w:val="center"/>
          </w:tcPr>
          <w:p w14:paraId="60B1164F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  <w:t>Cathode</w:t>
            </w:r>
          </w:p>
        </w:tc>
        <w:tc>
          <w:tcPr>
            <w:tcW w:w="2168" w:type="dxa"/>
            <w:tcBorders>
              <w:bottom w:val="single" w:sz="4" w:space="0" w:color="auto"/>
            </w:tcBorders>
            <w:vAlign w:val="center"/>
          </w:tcPr>
          <w:p w14:paraId="04B1CACA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  <w:t>Electrolyte</w:t>
            </w:r>
          </w:p>
        </w:tc>
        <w:tc>
          <w:tcPr>
            <w:tcW w:w="1294" w:type="dxa"/>
            <w:tcBorders>
              <w:bottom w:val="single" w:sz="4" w:space="0" w:color="auto"/>
            </w:tcBorders>
            <w:vAlign w:val="center"/>
          </w:tcPr>
          <w:p w14:paraId="33BD650D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  <w:t>Temperature</w:t>
            </w:r>
          </w:p>
        </w:tc>
        <w:tc>
          <w:tcPr>
            <w:tcW w:w="1231" w:type="dxa"/>
            <w:tcBorders>
              <w:bottom w:val="single" w:sz="4" w:space="0" w:color="auto"/>
            </w:tcBorders>
            <w:vAlign w:val="center"/>
          </w:tcPr>
          <w:p w14:paraId="03DA6A02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  <w:t xml:space="preserve">Cut-off </w:t>
            </w:r>
            <w:r>
              <w:rPr>
                <w:rFonts w:ascii="Arial" w:eastAsia="宋体" w:hAnsi="Arial" w:cs="Arial" w:hint="eastAsia"/>
                <w:b/>
                <w:bCs/>
                <w:color w:val="000000" w:themeColor="text1"/>
                <w:sz w:val="18"/>
                <w:szCs w:val="18"/>
                <w14:ligatures w14:val="none"/>
              </w:rPr>
              <w:t>v</w:t>
            </w:r>
            <w:r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  <w:t>oltage</w:t>
            </w:r>
          </w:p>
        </w:tc>
        <w:tc>
          <w:tcPr>
            <w:tcW w:w="1403" w:type="dxa"/>
            <w:tcBorders>
              <w:bottom w:val="single" w:sz="4" w:space="0" w:color="auto"/>
            </w:tcBorders>
            <w:vAlign w:val="center"/>
          </w:tcPr>
          <w:p w14:paraId="6D2190BC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  <w:t>Discharge rate</w:t>
            </w:r>
          </w:p>
        </w:tc>
        <w:tc>
          <w:tcPr>
            <w:tcW w:w="1654" w:type="dxa"/>
            <w:tcBorders>
              <w:bottom w:val="single" w:sz="4" w:space="0" w:color="auto"/>
              <w:right w:val="nil"/>
            </w:tcBorders>
            <w:vAlign w:val="center"/>
          </w:tcPr>
          <w:p w14:paraId="3BBA7D79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  <w:t>Capacity retention</w:t>
            </w:r>
          </w:p>
        </w:tc>
        <w:tc>
          <w:tcPr>
            <w:tcW w:w="1087" w:type="dxa"/>
            <w:tcBorders>
              <w:bottom w:val="single" w:sz="4" w:space="0" w:color="auto"/>
              <w:right w:val="nil"/>
            </w:tcBorders>
            <w:vAlign w:val="center"/>
          </w:tcPr>
          <w:p w14:paraId="7C6C6A7D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b/>
                <w:bCs/>
                <w:color w:val="000000" w:themeColor="text1"/>
                <w:sz w:val="18"/>
                <w:szCs w:val="18"/>
                <w14:ligatures w14:val="none"/>
              </w:rPr>
              <w:t>Reference</w:t>
            </w:r>
          </w:p>
        </w:tc>
      </w:tr>
      <w:tr w:rsidR="005A7609" w14:paraId="43544F15" w14:textId="77777777">
        <w:trPr>
          <w:trHeight w:val="508"/>
          <w:jc w:val="center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75BCE2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1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DC22BD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NMC811</w:t>
            </w:r>
          </w:p>
        </w:tc>
        <w:tc>
          <w:tcPr>
            <w:tcW w:w="2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2D7138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proofErr w:type="spellStart"/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LiFTFSI</w:t>
            </w:r>
            <w:proofErr w:type="spellEnd"/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 xml:space="preserve"> in BFPE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5D52E6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-40 °C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422E6D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4.3 V</w:t>
            </w:r>
          </w:p>
        </w:tc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FBE296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0.1 C</w:t>
            </w:r>
          </w:p>
        </w:tc>
        <w:tc>
          <w:tcPr>
            <w:tcW w:w="16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309047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100 cycles, 92%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1BA9F7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[S1]</w:t>
            </w:r>
          </w:p>
        </w:tc>
      </w:tr>
      <w:tr w:rsidR="005A7609" w14:paraId="45F4C93B" w14:textId="77777777">
        <w:trPr>
          <w:trHeight w:val="508"/>
          <w:jc w:val="center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6AB71E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2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FFAF3F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NMC532</w:t>
            </w:r>
          </w:p>
        </w:tc>
        <w:tc>
          <w:tcPr>
            <w:tcW w:w="2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F2EA50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proofErr w:type="spellStart"/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LiTFSI</w:t>
            </w:r>
            <w:proofErr w:type="spellEnd"/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 xml:space="preserve"> in DOL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13E485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-40 °C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32738C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4.3 V</w:t>
            </w:r>
          </w:p>
        </w:tc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87824C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0.1 C</w:t>
            </w:r>
          </w:p>
        </w:tc>
        <w:tc>
          <w:tcPr>
            <w:tcW w:w="16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9E7F8B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50 cycles, 78%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8FBA8F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[S2]</w:t>
            </w:r>
          </w:p>
        </w:tc>
      </w:tr>
      <w:tr w:rsidR="005A7609" w14:paraId="27D2AB2E" w14:textId="77777777">
        <w:trPr>
          <w:trHeight w:val="501"/>
          <w:jc w:val="center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D8BFA3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3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3CBCF0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NMC811</w:t>
            </w:r>
          </w:p>
        </w:tc>
        <w:tc>
          <w:tcPr>
            <w:tcW w:w="2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290C2B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LiPF</w:t>
            </w: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:vertAlign w:val="subscript"/>
                <w14:ligatures w14:val="none"/>
              </w:rPr>
              <w:t>6</w:t>
            </w: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 xml:space="preserve"> in EMC/FEC/2FB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C4A451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-30 °C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E070F9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4.3 V</w:t>
            </w:r>
          </w:p>
        </w:tc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5AC71E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0.2 C</w:t>
            </w:r>
          </w:p>
        </w:tc>
        <w:tc>
          <w:tcPr>
            <w:tcW w:w="16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958864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100 cycles, 76%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9E2A8A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[S3]</w:t>
            </w:r>
          </w:p>
        </w:tc>
      </w:tr>
      <w:tr w:rsidR="005A7609" w14:paraId="4F8883DD" w14:textId="77777777">
        <w:trPr>
          <w:trHeight w:val="508"/>
          <w:jc w:val="center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FDBC48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4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2CF551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NMC811</w:t>
            </w:r>
          </w:p>
        </w:tc>
        <w:tc>
          <w:tcPr>
            <w:tcW w:w="2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CBF221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proofErr w:type="spellStart"/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LiTFSI-LiTFPFB</w:t>
            </w:r>
            <w:proofErr w:type="spellEnd"/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 xml:space="preserve"> in PC/EC/EMC+LiPO</w:t>
            </w: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:vertAlign w:val="subscript"/>
                <w14:ligatures w14:val="none"/>
              </w:rPr>
              <w:t>2</w:t>
            </w: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F</w:t>
            </w: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:vertAlign w:val="subscript"/>
                <w14:ligatures w14:val="none"/>
              </w:rPr>
              <w:t>2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49D53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-20 °C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E461FA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4.3 V</w:t>
            </w:r>
          </w:p>
        </w:tc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8F9215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0.1 C</w:t>
            </w:r>
          </w:p>
        </w:tc>
        <w:tc>
          <w:tcPr>
            <w:tcW w:w="16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E3F671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50 cycles, 93.7%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71F31E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[S4]</w:t>
            </w:r>
          </w:p>
        </w:tc>
      </w:tr>
      <w:tr w:rsidR="005A7609" w14:paraId="4DBF0B83" w14:textId="77777777">
        <w:trPr>
          <w:trHeight w:val="508"/>
          <w:jc w:val="center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379771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5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B9A1F1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NMC811</w:t>
            </w:r>
          </w:p>
        </w:tc>
        <w:tc>
          <w:tcPr>
            <w:tcW w:w="2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8676DC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proofErr w:type="spellStart"/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LiFSI</w:t>
            </w:r>
            <w:proofErr w:type="spellEnd"/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 xml:space="preserve"> in TFMP/DME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8ACDBB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-40 °C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0369C8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4.3 V</w:t>
            </w:r>
          </w:p>
        </w:tc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FDF865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0.2 C</w:t>
            </w:r>
          </w:p>
        </w:tc>
        <w:tc>
          <w:tcPr>
            <w:tcW w:w="16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2F1342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100 cycles, 70%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029947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[S5]</w:t>
            </w:r>
          </w:p>
        </w:tc>
      </w:tr>
      <w:tr w:rsidR="005A7609" w14:paraId="215FBC9E" w14:textId="77777777">
        <w:trPr>
          <w:trHeight w:val="508"/>
          <w:jc w:val="center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298ECF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6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587C76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NMC811</w:t>
            </w:r>
          </w:p>
        </w:tc>
        <w:tc>
          <w:tcPr>
            <w:tcW w:w="2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AB6580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LiClO</w:t>
            </w: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:vertAlign w:val="subscript"/>
                <w14:ligatures w14:val="none"/>
              </w:rPr>
              <w:t>4</w:t>
            </w: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 xml:space="preserve"> in ES/FEC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61C6E6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-33 °C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1858DF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4.3 V</w:t>
            </w:r>
          </w:p>
        </w:tc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162B65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0.1 C</w:t>
            </w:r>
          </w:p>
        </w:tc>
        <w:tc>
          <w:tcPr>
            <w:tcW w:w="16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8B8701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100 cycles, 80%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C6E584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[S6]</w:t>
            </w:r>
          </w:p>
        </w:tc>
      </w:tr>
      <w:tr w:rsidR="005A7609" w14:paraId="3F403434" w14:textId="77777777">
        <w:trPr>
          <w:trHeight w:val="508"/>
          <w:jc w:val="center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3ADB2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7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BB7DA1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NMC811</w:t>
            </w:r>
          </w:p>
        </w:tc>
        <w:tc>
          <w:tcPr>
            <w:tcW w:w="2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CF359F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LiPF</w:t>
            </w: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:vertAlign w:val="subscript"/>
                <w14:ligatures w14:val="none"/>
              </w:rPr>
              <w:t>6</w:t>
            </w: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-LiTFSI-LiNO</w:t>
            </w: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:vertAlign w:val="subscript"/>
                <w14:ligatures w14:val="none"/>
              </w:rPr>
              <w:t>3</w:t>
            </w: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 xml:space="preserve"> in THF/FEC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48EE14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-30 °C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E23C86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4.3 V</w:t>
            </w:r>
          </w:p>
        </w:tc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38B08E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0.05 C</w:t>
            </w:r>
          </w:p>
        </w:tc>
        <w:tc>
          <w:tcPr>
            <w:tcW w:w="16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DA0330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200 cycles, 100%</w:t>
            </w:r>
          </w:p>
          <w:p w14:paraId="3FB92CD7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50 cycles,73%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FA1D3B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[S7]</w:t>
            </w:r>
          </w:p>
        </w:tc>
      </w:tr>
      <w:tr w:rsidR="005A7609" w14:paraId="2956F6A0" w14:textId="77777777">
        <w:trPr>
          <w:trHeight w:val="501"/>
          <w:jc w:val="center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1F8B94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8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3A7AB1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NMC811</w:t>
            </w:r>
          </w:p>
        </w:tc>
        <w:tc>
          <w:tcPr>
            <w:tcW w:w="2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81AE8C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proofErr w:type="spellStart"/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LiFSI</w:t>
            </w:r>
            <w:proofErr w:type="spellEnd"/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 xml:space="preserve"> in BTFE/DME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11E6F4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-40 °C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D62464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4.4V</w:t>
            </w:r>
          </w:p>
        </w:tc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3ECCA6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0.2C</w:t>
            </w:r>
          </w:p>
        </w:tc>
        <w:tc>
          <w:tcPr>
            <w:tcW w:w="16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3DB83F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2005 cycles,73%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D22EB7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[S8]</w:t>
            </w:r>
          </w:p>
        </w:tc>
      </w:tr>
      <w:tr w:rsidR="005A7609" w14:paraId="3BCE5BF4" w14:textId="77777777">
        <w:trPr>
          <w:trHeight w:val="501"/>
          <w:jc w:val="center"/>
        </w:trPr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40314B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9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AFC392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NMC811</w:t>
            </w:r>
          </w:p>
        </w:tc>
        <w:tc>
          <w:tcPr>
            <w:tcW w:w="21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EE69CA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LIFSI-LiNO</w:t>
            </w: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:vertAlign w:val="subscript"/>
                <w14:ligatures w14:val="none"/>
              </w:rPr>
              <w:t>3</w:t>
            </w: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 xml:space="preserve"> in THF</w:t>
            </w:r>
          </w:p>
        </w:tc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5D5B99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-40 °C</w:t>
            </w: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8FE81A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4.3V</w:t>
            </w:r>
          </w:p>
        </w:tc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C82063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0.3C</w:t>
            </w:r>
          </w:p>
        </w:tc>
        <w:tc>
          <w:tcPr>
            <w:tcW w:w="16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8F41DF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80 cycles, 68%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DEBB90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[S9]</w:t>
            </w:r>
          </w:p>
        </w:tc>
      </w:tr>
      <w:tr w:rsidR="005A7609" w14:paraId="4961E7E8" w14:textId="77777777">
        <w:trPr>
          <w:trHeight w:val="501"/>
          <w:jc w:val="center"/>
        </w:trPr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6AA74E8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This work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453DD40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NMC811</w:t>
            </w:r>
          </w:p>
        </w:tc>
        <w:tc>
          <w:tcPr>
            <w:tcW w:w="21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05B8232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LiPF</w:t>
            </w: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:vertAlign w:val="subscript"/>
                <w14:ligatures w14:val="none"/>
              </w:rPr>
              <w:t xml:space="preserve">6 </w:t>
            </w: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 xml:space="preserve">in TEP/MP/FEC+ </w:t>
            </w:r>
            <w:proofErr w:type="spellStart"/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LiODFB</w:t>
            </w:r>
            <w:proofErr w:type="spellEnd"/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19E7680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-20 °C</w:t>
            </w:r>
          </w:p>
          <w:p w14:paraId="6735117F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-40 °C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9ED1EDB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4.6 V</w:t>
            </w:r>
          </w:p>
          <w:p w14:paraId="18C5C314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4.6 V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5D99221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0.5 C</w:t>
            </w:r>
          </w:p>
          <w:p w14:paraId="36C80136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0.1 C</w:t>
            </w:r>
          </w:p>
        </w:tc>
        <w:tc>
          <w:tcPr>
            <w:tcW w:w="16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1E34CF5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200 cycles, 93%</w:t>
            </w:r>
          </w:p>
          <w:p w14:paraId="780C32C2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200 cycles, 87%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70441ED" w14:textId="77777777" w:rsidR="005A7609" w:rsidRDefault="00C26D63">
            <w:pPr>
              <w:spacing w:line="360" w:lineRule="auto"/>
              <w:jc w:val="center"/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</w:pPr>
            <w:r>
              <w:rPr>
                <w:rFonts w:ascii="Arial" w:eastAsia="宋体" w:hAnsi="Arial" w:cs="Arial"/>
                <w:color w:val="000000" w:themeColor="text1"/>
                <w:sz w:val="18"/>
                <w:szCs w:val="18"/>
                <w14:ligatures w14:val="none"/>
              </w:rPr>
              <w:t>/</w:t>
            </w:r>
          </w:p>
        </w:tc>
      </w:tr>
    </w:tbl>
    <w:p w14:paraId="4C0A7BB5" w14:textId="77777777" w:rsidR="005A7609" w:rsidRDefault="00C26D63">
      <w:pPr>
        <w:tabs>
          <w:tab w:val="left" w:pos="1782"/>
        </w:tabs>
        <w:spacing w:line="360" w:lineRule="auto"/>
        <w:rPr>
          <w:color w:val="000000" w:themeColor="text1"/>
        </w:rPr>
      </w:pPr>
      <w:r>
        <w:rPr>
          <w:rFonts w:hint="eastAsia"/>
          <w:color w:val="000000" w:themeColor="text1"/>
        </w:rPr>
        <w:tab/>
      </w:r>
    </w:p>
    <w:p w14:paraId="4938B315" w14:textId="77777777" w:rsidR="005A7609" w:rsidRDefault="00C26D63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1F3B0ECA" w14:textId="77777777" w:rsidR="005A7609" w:rsidRDefault="00C26D63">
      <w:pPr>
        <w:widowControl/>
        <w:spacing w:line="360" w:lineRule="auto"/>
        <w:rPr>
          <w:rFonts w:ascii="Arial" w:eastAsia="黑体" w:hAnsi="Arial" w:cs="Arial"/>
          <w:b/>
          <w:bCs/>
          <w:color w:val="000000" w:themeColor="text1"/>
          <w:sz w:val="28"/>
          <w:szCs w:val="28"/>
        </w:rPr>
      </w:pPr>
      <w:r>
        <w:rPr>
          <w:rFonts w:ascii="Arial" w:eastAsia="黑体" w:hAnsi="Arial" w:cs="Arial" w:hint="eastAsia"/>
          <w:b/>
          <w:bCs/>
          <w:color w:val="000000" w:themeColor="text1"/>
          <w:sz w:val="28"/>
          <w:szCs w:val="28"/>
        </w:rPr>
        <w:lastRenderedPageBreak/>
        <w:t>References</w:t>
      </w:r>
    </w:p>
    <w:p w14:paraId="37B30CE9" w14:textId="77777777" w:rsidR="005A7609" w:rsidRDefault="00C26D63">
      <w:pPr>
        <w:spacing w:line="360" w:lineRule="auto"/>
        <w:rPr>
          <w:rFonts w:ascii="Arial" w:eastAsia="黑体" w:hAnsi="Arial" w:cs="Arial"/>
          <w:color w:val="000000" w:themeColor="text1"/>
          <w:sz w:val="24"/>
          <w:szCs w:val="24"/>
        </w:rPr>
      </w:pP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S1.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 xml:space="preserve"> Xu, 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J. et al. Revealing the Anion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-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Solvent Interaction for 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Ultralow Temperature Lithium Metal Batteries.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eastAsia="黑体" w:hAnsi="Arial" w:cs="Arial"/>
          <w:i/>
          <w:color w:val="000000" w:themeColor="text1"/>
          <w:sz w:val="24"/>
          <w:szCs w:val="24"/>
        </w:rPr>
        <w:t xml:space="preserve">Adv. Mater. </w:t>
      </w:r>
      <w:r>
        <w:rPr>
          <w:rFonts w:ascii="Arial" w:eastAsia="黑体" w:hAnsi="Arial" w:cs="Arial"/>
          <w:b/>
          <w:bCs/>
          <w:iCs/>
          <w:color w:val="000000" w:themeColor="text1"/>
          <w:sz w:val="24"/>
          <w:szCs w:val="24"/>
        </w:rPr>
        <w:t>36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>, 2306462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 (2023)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>.</w:t>
      </w:r>
    </w:p>
    <w:p w14:paraId="6B0322F4" w14:textId="77777777" w:rsidR="005A7609" w:rsidRDefault="00C26D63">
      <w:pPr>
        <w:spacing w:line="360" w:lineRule="auto"/>
        <w:rPr>
          <w:rFonts w:ascii="Arial" w:eastAsia="黑体" w:hAnsi="Arial" w:cs="Arial"/>
          <w:color w:val="000000" w:themeColor="text1"/>
          <w:sz w:val="24"/>
          <w:szCs w:val="24"/>
        </w:rPr>
      </w:pP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S2.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eastAsia="黑体" w:hAnsi="Arial" w:cs="Arial"/>
          <w:color w:val="000000" w:themeColor="text1"/>
          <w:sz w:val="24"/>
          <w:szCs w:val="24"/>
        </w:rPr>
        <w:t>Jin</w:t>
      </w:r>
      <w:proofErr w:type="spellEnd"/>
      <w:r>
        <w:rPr>
          <w:rFonts w:ascii="Arial" w:eastAsia="黑体" w:hAnsi="Arial" w:cs="Arial"/>
          <w:color w:val="000000" w:themeColor="text1"/>
          <w:sz w:val="24"/>
          <w:szCs w:val="24"/>
        </w:rPr>
        <w:t>, C. B.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 et al. Taming Solvent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-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Solute Interaction Accelerates Interfacial Kinetics in Low-Temperature Lithium-Metal Batteries.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eastAsia="黑体" w:hAnsi="Arial" w:cs="Arial"/>
          <w:i/>
          <w:color w:val="000000" w:themeColor="text1"/>
          <w:sz w:val="24"/>
          <w:szCs w:val="24"/>
        </w:rPr>
        <w:t>Adv. Mater.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eastAsia="黑体" w:hAnsi="Arial" w:cs="Arial"/>
          <w:b/>
          <w:bCs/>
          <w:iCs/>
          <w:color w:val="000000" w:themeColor="text1"/>
          <w:sz w:val="24"/>
          <w:szCs w:val="24"/>
        </w:rPr>
        <w:t>35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>, 2208340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 (2023)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>.</w:t>
      </w:r>
    </w:p>
    <w:p w14:paraId="7260E273" w14:textId="77777777" w:rsidR="005A7609" w:rsidRDefault="00C26D63">
      <w:pPr>
        <w:spacing w:line="360" w:lineRule="auto"/>
        <w:rPr>
          <w:rFonts w:ascii="Arial" w:eastAsia="黑体" w:hAnsi="Arial" w:cs="Arial"/>
          <w:color w:val="000000" w:themeColor="text1"/>
          <w:sz w:val="24"/>
          <w:szCs w:val="24"/>
        </w:rPr>
      </w:pP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S3. Huang, A. et al. Low-Temperature and Fast-Charging Lithium Metal Batteries 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>Enabled by Solvent−Solvent Interaction Mediated Electrolyte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.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eastAsia="黑体" w:hAnsi="Arial" w:cs="Arial"/>
          <w:i/>
          <w:iCs/>
          <w:color w:val="000000" w:themeColor="text1"/>
          <w:sz w:val="24"/>
          <w:szCs w:val="24"/>
        </w:rPr>
        <w:t xml:space="preserve">Nano Lett. </w:t>
      </w:r>
      <w:r>
        <w:rPr>
          <w:rFonts w:ascii="Arial" w:eastAsia="黑体" w:hAnsi="Arial" w:cs="Arial"/>
          <w:b/>
          <w:bCs/>
          <w:color w:val="000000" w:themeColor="text1"/>
          <w:sz w:val="24"/>
          <w:szCs w:val="24"/>
        </w:rPr>
        <w:t>24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>, 7499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 (2024).</w:t>
      </w:r>
    </w:p>
    <w:p w14:paraId="09DC40B4" w14:textId="77777777" w:rsidR="005A7609" w:rsidRDefault="00C26D63">
      <w:pPr>
        <w:spacing w:line="360" w:lineRule="auto"/>
        <w:rPr>
          <w:rFonts w:ascii="Arial" w:eastAsia="黑体" w:hAnsi="Arial" w:cs="Arial"/>
          <w:color w:val="000000" w:themeColor="text1"/>
          <w:sz w:val="24"/>
          <w:szCs w:val="24"/>
        </w:rPr>
      </w:pP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S4. </w:t>
      </w:r>
      <w:proofErr w:type="spellStart"/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Shangguan</w:t>
      </w:r>
      <w:proofErr w:type="spellEnd"/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, X. et al. Additive-Assisted Novel Dual-Salt Electrolyte 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Addresses Wide Temperature Operation of Lithium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-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Metal Batteries. </w:t>
      </w:r>
      <w:r>
        <w:rPr>
          <w:rFonts w:ascii="Arial" w:eastAsia="黑体" w:hAnsi="Arial" w:cs="Arial" w:hint="eastAsia"/>
          <w:i/>
          <w:iCs/>
          <w:color w:val="000000" w:themeColor="text1"/>
          <w:sz w:val="24"/>
          <w:szCs w:val="24"/>
        </w:rPr>
        <w:t>Small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 </w:t>
      </w:r>
      <w:r>
        <w:rPr>
          <w:rFonts w:ascii="Arial" w:eastAsia="黑体" w:hAnsi="Arial" w:cs="Arial" w:hint="eastAsia"/>
          <w:b/>
          <w:bCs/>
          <w:color w:val="000000" w:themeColor="text1"/>
          <w:sz w:val="24"/>
          <w:szCs w:val="24"/>
        </w:rPr>
        <w:t>15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, 1900269 (2019).</w:t>
      </w:r>
    </w:p>
    <w:p w14:paraId="61AAF4A8" w14:textId="77777777" w:rsidR="005A7609" w:rsidRDefault="00C26D63">
      <w:pPr>
        <w:spacing w:line="360" w:lineRule="auto"/>
        <w:rPr>
          <w:rFonts w:ascii="Arial" w:eastAsia="黑体" w:hAnsi="Arial" w:cs="Arial"/>
          <w:color w:val="000000" w:themeColor="text1"/>
          <w:sz w:val="24"/>
          <w:szCs w:val="24"/>
        </w:rPr>
      </w:pP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S5. Shi, J. et al. An Amphiphilic Molecule-Regulated Core-Shell-Solvation Electrolyte for Li-Metal Batteries at Ultra-Low Temperature. </w:t>
      </w:r>
      <w:proofErr w:type="spellStart"/>
      <w:r>
        <w:rPr>
          <w:rFonts w:ascii="Arial" w:eastAsia="黑体" w:hAnsi="Arial" w:cs="Arial"/>
          <w:i/>
          <w:iCs/>
          <w:color w:val="000000" w:themeColor="text1"/>
          <w:sz w:val="24"/>
          <w:szCs w:val="24"/>
        </w:rPr>
        <w:t>Angew</w:t>
      </w:r>
      <w:proofErr w:type="spellEnd"/>
      <w:r>
        <w:rPr>
          <w:rFonts w:ascii="Arial" w:eastAsia="黑体" w:hAnsi="Arial" w:cs="Arial"/>
          <w:i/>
          <w:iCs/>
          <w:color w:val="000000" w:themeColor="text1"/>
          <w:sz w:val="24"/>
          <w:szCs w:val="24"/>
        </w:rPr>
        <w:t>. Chem. Int. Ed.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eastAsia="黑体" w:hAnsi="Arial" w:cs="Arial"/>
          <w:b/>
          <w:bCs/>
          <w:color w:val="000000" w:themeColor="text1"/>
          <w:sz w:val="24"/>
          <w:szCs w:val="24"/>
        </w:rPr>
        <w:t>62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>, e202218151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 (2023).</w:t>
      </w:r>
    </w:p>
    <w:p w14:paraId="7678C4DE" w14:textId="77777777" w:rsidR="005A7609" w:rsidRDefault="00C26D63">
      <w:pPr>
        <w:spacing w:line="360" w:lineRule="auto"/>
        <w:rPr>
          <w:rFonts w:ascii="Arial" w:eastAsia="黑体" w:hAnsi="Arial" w:cs="Arial"/>
          <w:color w:val="000000" w:themeColor="text1"/>
          <w:sz w:val="24"/>
          <w:szCs w:val="24"/>
        </w:rPr>
      </w:pP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S6. Wang, Y. et al. Asymmetric Solvents Regulated Crystallization-Limited Electrolytes for All-Climate Lithium Metal Batteries </w:t>
      </w:r>
      <w:proofErr w:type="spellStart"/>
      <w:r>
        <w:rPr>
          <w:rFonts w:ascii="Arial" w:eastAsia="黑体" w:hAnsi="Arial" w:cs="Arial"/>
          <w:i/>
          <w:iCs/>
          <w:color w:val="000000" w:themeColor="text1"/>
          <w:sz w:val="24"/>
          <w:szCs w:val="24"/>
        </w:rPr>
        <w:t>Angew</w:t>
      </w:r>
      <w:proofErr w:type="spellEnd"/>
      <w:r>
        <w:rPr>
          <w:rFonts w:ascii="Arial" w:eastAsia="黑体" w:hAnsi="Arial" w:cs="Arial"/>
          <w:i/>
          <w:iCs/>
          <w:color w:val="000000" w:themeColor="text1"/>
          <w:sz w:val="24"/>
          <w:szCs w:val="24"/>
        </w:rPr>
        <w:t>. Chem. Int. Ed.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eastAsia="黑体" w:hAnsi="Arial" w:cs="Arial"/>
          <w:b/>
          <w:bCs/>
          <w:color w:val="000000" w:themeColor="text1"/>
          <w:sz w:val="24"/>
          <w:szCs w:val="24"/>
        </w:rPr>
        <w:t>63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>, e202310905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 (2024).</w:t>
      </w:r>
    </w:p>
    <w:p w14:paraId="122571D0" w14:textId="77777777" w:rsidR="005A7609" w:rsidRDefault="00C26D63">
      <w:pPr>
        <w:spacing w:line="360" w:lineRule="auto"/>
        <w:rPr>
          <w:rFonts w:ascii="Arial" w:eastAsia="黑体" w:hAnsi="Arial" w:cs="Arial"/>
          <w:color w:val="000000" w:themeColor="text1"/>
          <w:sz w:val="24"/>
          <w:szCs w:val="24"/>
        </w:rPr>
      </w:pP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S7. Liang, P. et al. Competitive Coordination of Ternary Anions Enabling Fast Li-Ion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Desolvation</w:t>
      </w:r>
      <w:proofErr w:type="spellEnd"/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 for Low-Temperature Lithium Metal Batteries. </w:t>
      </w:r>
      <w:r>
        <w:rPr>
          <w:rFonts w:ascii="Arial" w:eastAsia="黑体" w:hAnsi="Arial" w:cs="Arial" w:hint="eastAsia"/>
          <w:i/>
          <w:iCs/>
          <w:color w:val="000000" w:themeColor="text1"/>
          <w:sz w:val="24"/>
          <w:szCs w:val="24"/>
        </w:rPr>
        <w:t xml:space="preserve">Adv. </w:t>
      </w:r>
      <w:proofErr w:type="spellStart"/>
      <w:r>
        <w:rPr>
          <w:rFonts w:ascii="Arial" w:eastAsia="黑体" w:hAnsi="Arial" w:cs="Arial" w:hint="eastAsia"/>
          <w:i/>
          <w:iCs/>
          <w:color w:val="000000" w:themeColor="text1"/>
          <w:sz w:val="24"/>
          <w:szCs w:val="24"/>
        </w:rPr>
        <w:t>Funct</w:t>
      </w:r>
      <w:proofErr w:type="spellEnd"/>
      <w:r>
        <w:rPr>
          <w:rFonts w:ascii="Arial" w:eastAsia="黑体" w:hAnsi="Arial" w:cs="Arial" w:hint="eastAsia"/>
          <w:i/>
          <w:iCs/>
          <w:color w:val="000000" w:themeColor="text1"/>
          <w:sz w:val="24"/>
          <w:szCs w:val="24"/>
        </w:rPr>
        <w:t>. Mater.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 </w:t>
      </w:r>
      <w:r>
        <w:rPr>
          <w:rFonts w:ascii="Arial" w:eastAsia="黑体" w:hAnsi="Arial" w:cs="Arial"/>
          <w:b/>
          <w:bCs/>
          <w:color w:val="000000" w:themeColor="text1"/>
          <w:sz w:val="24"/>
          <w:szCs w:val="24"/>
        </w:rPr>
        <w:t>34</w:t>
      </w:r>
      <w:r>
        <w:rPr>
          <w:rFonts w:ascii="Arial" w:eastAsia="黑体" w:hAnsi="Arial" w:cs="Arial"/>
          <w:color w:val="000000" w:themeColor="text1"/>
          <w:sz w:val="24"/>
          <w:szCs w:val="24"/>
        </w:rPr>
        <w:t>, 2309858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 (2024).</w:t>
      </w:r>
    </w:p>
    <w:p w14:paraId="418BE119" w14:textId="77777777" w:rsidR="005A7609" w:rsidRDefault="00C26D63">
      <w:pPr>
        <w:spacing w:line="360" w:lineRule="auto"/>
        <w:rPr>
          <w:rFonts w:ascii="Arial" w:eastAsia="黑体" w:hAnsi="Arial" w:cs="Arial"/>
          <w:color w:val="000000" w:themeColor="text1"/>
          <w:sz w:val="24"/>
          <w:szCs w:val="24"/>
        </w:rPr>
      </w:pP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S8. </w:t>
      </w:r>
      <w:proofErr w:type="spellStart"/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Holoubek</w:t>
      </w:r>
      <w:proofErr w:type="spellEnd"/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, J. et al. Electrolyte design implications of ion-pairing in low-temperature Li metal batteries. </w:t>
      </w:r>
      <w:r>
        <w:rPr>
          <w:rFonts w:ascii="Arial" w:eastAsia="黑体" w:hAnsi="Arial" w:cs="Arial" w:hint="eastAsia"/>
          <w:i/>
          <w:iCs/>
          <w:color w:val="000000" w:themeColor="text1"/>
          <w:sz w:val="24"/>
          <w:szCs w:val="24"/>
        </w:rPr>
        <w:t>Energy Environ. Sci.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 </w:t>
      </w:r>
      <w:r>
        <w:rPr>
          <w:rFonts w:ascii="Arial" w:eastAsia="黑体" w:hAnsi="Arial" w:cs="Arial" w:hint="eastAsia"/>
          <w:b/>
          <w:bCs/>
          <w:color w:val="000000" w:themeColor="text1"/>
          <w:sz w:val="24"/>
          <w:szCs w:val="24"/>
        </w:rPr>
        <w:t>15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, 1647 (2022).</w:t>
      </w:r>
    </w:p>
    <w:p w14:paraId="2E476030" w14:textId="77777777" w:rsidR="005A7609" w:rsidRDefault="00C26D63">
      <w:pPr>
        <w:spacing w:line="360" w:lineRule="auto"/>
        <w:rPr>
          <w:rFonts w:ascii="Arial" w:eastAsia="黑体" w:hAnsi="Arial" w:cs="Arial"/>
          <w:color w:val="000000" w:themeColor="text1"/>
          <w:sz w:val="24"/>
          <w:szCs w:val="24"/>
        </w:rPr>
      </w:pP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S9. Zhang, W. et al. Engineering a passivating electric double layer for high performance lithium metal 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batteries.</w:t>
      </w:r>
      <w:r>
        <w:rPr>
          <w:rFonts w:ascii="Arial" w:eastAsia="黑体" w:hAnsi="Arial" w:cs="Arial" w:hint="eastAsia"/>
          <w:i/>
          <w:iCs/>
          <w:color w:val="000000" w:themeColor="text1"/>
          <w:sz w:val="24"/>
          <w:szCs w:val="24"/>
        </w:rPr>
        <w:t xml:space="preserve"> Nat. </w:t>
      </w:r>
      <w:proofErr w:type="spellStart"/>
      <w:r>
        <w:rPr>
          <w:rFonts w:ascii="Arial" w:eastAsia="黑体" w:hAnsi="Arial" w:cs="Arial" w:hint="eastAsia"/>
          <w:i/>
          <w:iCs/>
          <w:color w:val="000000" w:themeColor="text1"/>
          <w:sz w:val="24"/>
          <w:szCs w:val="24"/>
        </w:rPr>
        <w:t>Commun</w:t>
      </w:r>
      <w:proofErr w:type="spellEnd"/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. </w:t>
      </w:r>
      <w:r>
        <w:rPr>
          <w:rFonts w:ascii="Arial" w:eastAsia="黑体" w:hAnsi="Arial" w:cs="Arial" w:hint="eastAsia"/>
          <w:b/>
          <w:bCs/>
          <w:color w:val="000000" w:themeColor="text1"/>
          <w:sz w:val="24"/>
          <w:szCs w:val="24"/>
        </w:rPr>
        <w:t>2022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 xml:space="preserve">, </w:t>
      </w:r>
      <w:r>
        <w:rPr>
          <w:rFonts w:ascii="Arial" w:eastAsia="黑体" w:hAnsi="Arial" w:cs="Arial" w:hint="eastAsia"/>
          <w:i/>
          <w:iCs/>
          <w:color w:val="000000" w:themeColor="text1"/>
          <w:sz w:val="24"/>
          <w:szCs w:val="24"/>
        </w:rPr>
        <w:t>13</w:t>
      </w:r>
      <w:r>
        <w:rPr>
          <w:rFonts w:ascii="Arial" w:eastAsia="黑体" w:hAnsi="Arial" w:cs="Arial" w:hint="eastAsia"/>
          <w:color w:val="000000" w:themeColor="text1"/>
          <w:sz w:val="24"/>
          <w:szCs w:val="24"/>
        </w:rPr>
        <w:t>, 2029.</w:t>
      </w:r>
    </w:p>
    <w:p w14:paraId="0341DEB1" w14:textId="77777777" w:rsidR="005A7609" w:rsidRDefault="005A7609">
      <w:pPr>
        <w:spacing w:line="36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sectPr w:rsidR="005A7609">
      <w:headerReference w:type="default" r:id="rId43"/>
      <w:footerReference w:type="default" r:id="rId44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624464" w14:textId="77777777" w:rsidR="00C26D63" w:rsidRDefault="00C26D63">
      <w:r>
        <w:separator/>
      </w:r>
    </w:p>
  </w:endnote>
  <w:endnote w:type="continuationSeparator" w:id="0">
    <w:p w14:paraId="0CDBBC81" w14:textId="77777777" w:rsidR="00C26D63" w:rsidRDefault="00C26D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7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30626061"/>
      <w:docPartObj>
        <w:docPartGallery w:val="AutoText"/>
      </w:docPartObj>
    </w:sdtPr>
    <w:sdtEndPr>
      <w:rPr>
        <w:rFonts w:ascii="Arial" w:hAnsi="Arial" w:cs="Arial"/>
        <w:sz w:val="21"/>
        <w:szCs w:val="21"/>
      </w:rPr>
    </w:sdtEndPr>
    <w:sdtContent>
      <w:p w14:paraId="06635A42" w14:textId="77777777" w:rsidR="005A7609" w:rsidRDefault="00C26D63">
        <w:pPr>
          <w:pStyle w:val="a3"/>
          <w:jc w:val="center"/>
          <w:rPr>
            <w:rFonts w:ascii="Arial" w:hAnsi="Arial" w:cs="Arial"/>
            <w:sz w:val="21"/>
            <w:szCs w:val="21"/>
          </w:rPr>
        </w:pPr>
        <w:r>
          <w:rPr>
            <w:rFonts w:ascii="Arial" w:hAnsi="Arial" w:cs="Arial"/>
            <w:sz w:val="21"/>
            <w:szCs w:val="21"/>
          </w:rPr>
          <w:t>s-</w:t>
        </w:r>
        <w:r>
          <w:rPr>
            <w:rFonts w:ascii="Arial" w:hAnsi="Arial" w:cs="Arial"/>
            <w:sz w:val="21"/>
            <w:szCs w:val="21"/>
          </w:rPr>
          <w:fldChar w:fldCharType="begin"/>
        </w:r>
        <w:r>
          <w:rPr>
            <w:rFonts w:ascii="Arial" w:hAnsi="Arial" w:cs="Arial"/>
            <w:sz w:val="21"/>
            <w:szCs w:val="21"/>
          </w:rPr>
          <w:instrText>PAGE   \* MERGEFORMAT</w:instrText>
        </w:r>
        <w:r>
          <w:rPr>
            <w:rFonts w:ascii="Arial" w:hAnsi="Arial" w:cs="Arial"/>
            <w:sz w:val="21"/>
            <w:szCs w:val="21"/>
          </w:rPr>
          <w:fldChar w:fldCharType="separate"/>
        </w:r>
        <w:r>
          <w:rPr>
            <w:rFonts w:ascii="Arial" w:hAnsi="Arial" w:cs="Arial"/>
            <w:sz w:val="21"/>
            <w:szCs w:val="21"/>
            <w:lang w:val="zh-CN"/>
          </w:rPr>
          <w:t>2</w:t>
        </w:r>
        <w:r>
          <w:rPr>
            <w:rFonts w:ascii="Arial" w:hAnsi="Arial" w:cs="Arial"/>
            <w:sz w:val="21"/>
            <w:szCs w:val="21"/>
          </w:rPr>
          <w:fldChar w:fldCharType="end"/>
        </w:r>
      </w:p>
    </w:sdtContent>
  </w:sdt>
  <w:p w14:paraId="2C8A46C2" w14:textId="77777777" w:rsidR="005A7609" w:rsidRDefault="005A7609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31A896" w14:textId="77777777" w:rsidR="00C26D63" w:rsidRDefault="00C26D63">
      <w:r>
        <w:separator/>
      </w:r>
    </w:p>
  </w:footnote>
  <w:footnote w:type="continuationSeparator" w:id="0">
    <w:p w14:paraId="2DF39701" w14:textId="77777777" w:rsidR="00C26D63" w:rsidRDefault="00C26D6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F540CF" w14:textId="77777777" w:rsidR="005A7609" w:rsidRDefault="005A7609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E1E5E"/>
    <w:rsid w:val="00020AA9"/>
    <w:rsid w:val="0002462F"/>
    <w:rsid w:val="00037F61"/>
    <w:rsid w:val="00062021"/>
    <w:rsid w:val="000709B7"/>
    <w:rsid w:val="000A0DDC"/>
    <w:rsid w:val="000B497E"/>
    <w:rsid w:val="000C018C"/>
    <w:rsid w:val="000E0713"/>
    <w:rsid w:val="0010142E"/>
    <w:rsid w:val="00104154"/>
    <w:rsid w:val="00114009"/>
    <w:rsid w:val="00126C09"/>
    <w:rsid w:val="001360E8"/>
    <w:rsid w:val="001433C5"/>
    <w:rsid w:val="001615EF"/>
    <w:rsid w:val="00163607"/>
    <w:rsid w:val="001643D7"/>
    <w:rsid w:val="00177384"/>
    <w:rsid w:val="001A3DA6"/>
    <w:rsid w:val="001B71CC"/>
    <w:rsid w:val="001C09A3"/>
    <w:rsid w:val="001C40EE"/>
    <w:rsid w:val="001E5839"/>
    <w:rsid w:val="002009B4"/>
    <w:rsid w:val="00222B70"/>
    <w:rsid w:val="00281125"/>
    <w:rsid w:val="002863BF"/>
    <w:rsid w:val="002B03C4"/>
    <w:rsid w:val="002C1B4C"/>
    <w:rsid w:val="002E01ED"/>
    <w:rsid w:val="00300BE2"/>
    <w:rsid w:val="0031409C"/>
    <w:rsid w:val="00370259"/>
    <w:rsid w:val="0037357B"/>
    <w:rsid w:val="003844FF"/>
    <w:rsid w:val="0039046C"/>
    <w:rsid w:val="003910B7"/>
    <w:rsid w:val="003978A4"/>
    <w:rsid w:val="003B05F7"/>
    <w:rsid w:val="003B73BD"/>
    <w:rsid w:val="003C7096"/>
    <w:rsid w:val="00403D90"/>
    <w:rsid w:val="00420821"/>
    <w:rsid w:val="004246F3"/>
    <w:rsid w:val="004256BD"/>
    <w:rsid w:val="004313FC"/>
    <w:rsid w:val="004640D4"/>
    <w:rsid w:val="004674CB"/>
    <w:rsid w:val="00471052"/>
    <w:rsid w:val="004A1B68"/>
    <w:rsid w:val="004B253F"/>
    <w:rsid w:val="004C56D5"/>
    <w:rsid w:val="004E255B"/>
    <w:rsid w:val="004F039F"/>
    <w:rsid w:val="004F6404"/>
    <w:rsid w:val="004F7663"/>
    <w:rsid w:val="005225C6"/>
    <w:rsid w:val="005439F6"/>
    <w:rsid w:val="0055188A"/>
    <w:rsid w:val="00557785"/>
    <w:rsid w:val="00566543"/>
    <w:rsid w:val="00577139"/>
    <w:rsid w:val="005A54BD"/>
    <w:rsid w:val="005A7609"/>
    <w:rsid w:val="005B7365"/>
    <w:rsid w:val="005D79EC"/>
    <w:rsid w:val="005E3F4C"/>
    <w:rsid w:val="005F1B82"/>
    <w:rsid w:val="00630C97"/>
    <w:rsid w:val="00641361"/>
    <w:rsid w:val="006614CF"/>
    <w:rsid w:val="00685ABD"/>
    <w:rsid w:val="00691E5D"/>
    <w:rsid w:val="006973CF"/>
    <w:rsid w:val="006C705D"/>
    <w:rsid w:val="006E43E6"/>
    <w:rsid w:val="00703449"/>
    <w:rsid w:val="007127EB"/>
    <w:rsid w:val="0072208E"/>
    <w:rsid w:val="0073780F"/>
    <w:rsid w:val="00751C74"/>
    <w:rsid w:val="00752483"/>
    <w:rsid w:val="00766291"/>
    <w:rsid w:val="00784465"/>
    <w:rsid w:val="007854DF"/>
    <w:rsid w:val="007A0AAD"/>
    <w:rsid w:val="007B68CF"/>
    <w:rsid w:val="007D35A7"/>
    <w:rsid w:val="00824998"/>
    <w:rsid w:val="00830674"/>
    <w:rsid w:val="008575D1"/>
    <w:rsid w:val="00870221"/>
    <w:rsid w:val="008735EE"/>
    <w:rsid w:val="00875ADE"/>
    <w:rsid w:val="008A5D08"/>
    <w:rsid w:val="008B7911"/>
    <w:rsid w:val="008D0AD5"/>
    <w:rsid w:val="008E74A5"/>
    <w:rsid w:val="008F4C73"/>
    <w:rsid w:val="008F79E9"/>
    <w:rsid w:val="00913465"/>
    <w:rsid w:val="00917219"/>
    <w:rsid w:val="0093404A"/>
    <w:rsid w:val="00943947"/>
    <w:rsid w:val="00970E22"/>
    <w:rsid w:val="009766C1"/>
    <w:rsid w:val="009B3BCC"/>
    <w:rsid w:val="009D114B"/>
    <w:rsid w:val="00A077DF"/>
    <w:rsid w:val="00A14396"/>
    <w:rsid w:val="00A30571"/>
    <w:rsid w:val="00A50245"/>
    <w:rsid w:val="00A5548D"/>
    <w:rsid w:val="00A57926"/>
    <w:rsid w:val="00A67185"/>
    <w:rsid w:val="00A7031F"/>
    <w:rsid w:val="00A76898"/>
    <w:rsid w:val="00A93E8C"/>
    <w:rsid w:val="00A95B6A"/>
    <w:rsid w:val="00AA63C3"/>
    <w:rsid w:val="00AD0866"/>
    <w:rsid w:val="00AD3D29"/>
    <w:rsid w:val="00AF7E50"/>
    <w:rsid w:val="00B0711B"/>
    <w:rsid w:val="00B174F1"/>
    <w:rsid w:val="00B22261"/>
    <w:rsid w:val="00B24784"/>
    <w:rsid w:val="00B3583A"/>
    <w:rsid w:val="00B45F70"/>
    <w:rsid w:val="00B54ACC"/>
    <w:rsid w:val="00B55746"/>
    <w:rsid w:val="00B56C7B"/>
    <w:rsid w:val="00B66F5F"/>
    <w:rsid w:val="00B75F4C"/>
    <w:rsid w:val="00B91A4E"/>
    <w:rsid w:val="00BA3C07"/>
    <w:rsid w:val="00BA42C1"/>
    <w:rsid w:val="00BB0390"/>
    <w:rsid w:val="00BC5435"/>
    <w:rsid w:val="00BC7B7E"/>
    <w:rsid w:val="00BD27D6"/>
    <w:rsid w:val="00BD4E55"/>
    <w:rsid w:val="00BD6351"/>
    <w:rsid w:val="00BE201E"/>
    <w:rsid w:val="00C12848"/>
    <w:rsid w:val="00C154E8"/>
    <w:rsid w:val="00C26D63"/>
    <w:rsid w:val="00C34D79"/>
    <w:rsid w:val="00C5737A"/>
    <w:rsid w:val="00C67373"/>
    <w:rsid w:val="00CB2B27"/>
    <w:rsid w:val="00CC149F"/>
    <w:rsid w:val="00CC41D3"/>
    <w:rsid w:val="00CE1E5E"/>
    <w:rsid w:val="00CF371D"/>
    <w:rsid w:val="00CF37AD"/>
    <w:rsid w:val="00CF6995"/>
    <w:rsid w:val="00D0168A"/>
    <w:rsid w:val="00D06311"/>
    <w:rsid w:val="00D06831"/>
    <w:rsid w:val="00D15015"/>
    <w:rsid w:val="00D17EF5"/>
    <w:rsid w:val="00D5236E"/>
    <w:rsid w:val="00D656E3"/>
    <w:rsid w:val="00D8504C"/>
    <w:rsid w:val="00D86CB8"/>
    <w:rsid w:val="00D873F3"/>
    <w:rsid w:val="00D92C6A"/>
    <w:rsid w:val="00D96F53"/>
    <w:rsid w:val="00DC599B"/>
    <w:rsid w:val="00E016C6"/>
    <w:rsid w:val="00E05ABC"/>
    <w:rsid w:val="00E26BB2"/>
    <w:rsid w:val="00E351FC"/>
    <w:rsid w:val="00E479C6"/>
    <w:rsid w:val="00E53CB9"/>
    <w:rsid w:val="00E54170"/>
    <w:rsid w:val="00E62788"/>
    <w:rsid w:val="00E67088"/>
    <w:rsid w:val="00E75C56"/>
    <w:rsid w:val="00EA5D2C"/>
    <w:rsid w:val="00EC3650"/>
    <w:rsid w:val="00ED3D1C"/>
    <w:rsid w:val="00EE369D"/>
    <w:rsid w:val="00EF17D2"/>
    <w:rsid w:val="00EF686C"/>
    <w:rsid w:val="00F03C2C"/>
    <w:rsid w:val="00F13808"/>
    <w:rsid w:val="00F166D2"/>
    <w:rsid w:val="00F212D3"/>
    <w:rsid w:val="00F34C6D"/>
    <w:rsid w:val="00F508D7"/>
    <w:rsid w:val="00F61A5E"/>
    <w:rsid w:val="00F90210"/>
    <w:rsid w:val="00FA419F"/>
    <w:rsid w:val="00FC3017"/>
    <w:rsid w:val="00FD2CC8"/>
    <w:rsid w:val="20AA2BFF"/>
    <w:rsid w:val="22380FD3"/>
    <w:rsid w:val="26D673FE"/>
    <w:rsid w:val="3C7F0361"/>
    <w:rsid w:val="4D1C190F"/>
    <w:rsid w:val="4EB470B0"/>
    <w:rsid w:val="5E1F03F5"/>
    <w:rsid w:val="6286673D"/>
    <w:rsid w:val="737F390D"/>
    <w:rsid w:val="7DD67F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ecimalSymbol w:val="."/>
  <w:listSeparator w:val=","/>
  <w14:docId w14:val="7AA9A91D"/>
  <w14:defaultImageDpi w14:val="330"/>
  <w15:docId w15:val="{CCDA1DC9-5870-C649-84E9-AE8419C59D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  <w14:ligatures w14:val="standardContextual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Subtitle"/>
    <w:basedOn w:val="a"/>
    <w:next w:val="a"/>
    <w:link w:val="a8"/>
    <w:uiPriority w:val="11"/>
    <w:qFormat/>
    <w:p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9">
    <w:name w:val="Title"/>
    <w:basedOn w:val="a"/>
    <w:next w:val="a"/>
    <w:link w:val="aa"/>
    <w:uiPriority w:val="10"/>
    <w:qFormat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ab">
    <w:name w:val="Table Grid"/>
    <w:basedOn w:val="a1"/>
    <w:uiPriority w:val="39"/>
    <w:qFormat/>
    <w:rPr>
      <w:rFonts w:ascii="Times New Roman" w:eastAsia="宋体" w:hAnsi="Times New Roman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标题 1 字符"/>
    <w:basedOn w:val="a0"/>
    <w:link w:val="1"/>
    <w:uiPriority w:val="9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Pr>
      <w:rFonts w:eastAsiaTheme="majorEastAsia" w:cstheme="majorBidi"/>
      <w:color w:val="595959" w:themeColor="text1" w:themeTint="A6"/>
    </w:rPr>
  </w:style>
  <w:style w:type="character" w:customStyle="1" w:styleId="aa">
    <w:name w:val="标题 字符"/>
    <w:basedOn w:val="a0"/>
    <w:link w:val="a9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8">
    <w:name w:val="副标题 字符"/>
    <w:basedOn w:val="a0"/>
    <w:link w:val="a7"/>
    <w:uiPriority w:val="1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c">
    <w:name w:val="Quote"/>
    <w:basedOn w:val="a"/>
    <w:next w:val="a"/>
    <w:link w:val="ad"/>
    <w:uiPriority w:val="29"/>
    <w:qFormat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d">
    <w:name w:val="引用 字符"/>
    <w:basedOn w:val="a0"/>
    <w:link w:val="ac"/>
    <w:uiPriority w:val="29"/>
    <w:rPr>
      <w:i/>
      <w:iCs/>
      <w:color w:val="404040" w:themeColor="text1" w:themeTint="BF"/>
    </w:rPr>
  </w:style>
  <w:style w:type="paragraph" w:styleId="ae">
    <w:name w:val="List Paragraph"/>
    <w:basedOn w:val="a"/>
    <w:uiPriority w:val="34"/>
    <w:qFormat/>
    <w:pPr>
      <w:ind w:left="720"/>
      <w:contextualSpacing/>
    </w:pPr>
  </w:style>
  <w:style w:type="character" w:customStyle="1" w:styleId="11">
    <w:name w:val="明显强调1"/>
    <w:basedOn w:val="a0"/>
    <w:uiPriority w:val="21"/>
    <w:qFormat/>
    <w:rPr>
      <w:i/>
      <w:iCs/>
      <w:color w:val="0F4761" w:themeColor="accent1" w:themeShade="BF"/>
    </w:rPr>
  </w:style>
  <w:style w:type="paragraph" w:styleId="af">
    <w:name w:val="Intense Quote"/>
    <w:basedOn w:val="a"/>
    <w:next w:val="a"/>
    <w:link w:val="af0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f0">
    <w:name w:val="明显引用 字符"/>
    <w:basedOn w:val="a0"/>
    <w:link w:val="af"/>
    <w:uiPriority w:val="30"/>
    <w:qFormat/>
    <w:rPr>
      <w:i/>
      <w:iCs/>
      <w:color w:val="0F4761" w:themeColor="accent1" w:themeShade="BF"/>
    </w:rPr>
  </w:style>
  <w:style w:type="character" w:customStyle="1" w:styleId="12">
    <w:name w:val="明显参考1"/>
    <w:basedOn w:val="a0"/>
    <w:uiPriority w:val="32"/>
    <w:qFormat/>
    <w:rPr>
      <w:b/>
      <w:bCs/>
      <w:smallCaps/>
      <w:color w:val="0F4761" w:themeColor="accent1" w:themeShade="BF"/>
      <w:spacing w:val="5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tiff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header" Target="header1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tiff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6CD407-A9FF-4D97-9433-13CEE7FE6D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39</Pages>
  <Words>1063</Words>
  <Characters>6064</Characters>
  <Application>Microsoft Office Word</Application>
  <DocSecurity>0</DocSecurity>
  <Lines>50</Lines>
  <Paragraphs>14</Paragraphs>
  <ScaleCrop>false</ScaleCrop>
  <Company/>
  <LinksUpToDate>false</LinksUpToDate>
  <CharactersWithSpaces>7113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迎 张</dc:creator>
  <cp:lastModifiedBy>Boron20190511@outlook.com</cp:lastModifiedBy>
  <cp:revision>20</cp:revision>
  <dcterms:created xsi:type="dcterms:W3CDTF">2025-09-16T13:47:00Z</dcterms:created>
  <dcterms:modified xsi:type="dcterms:W3CDTF">2026-04-02T03:16:00Z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eyJoZGlkIjoiOWEwZmFlZTEyMzcyNWMwYWYxODI3ODM4YjVmMzg0MjciLCJ1c2VySWQiOiI1NjAwMzY2MjEifQ==</vt:lpwstr>
  </property>
  <property fmtid="{D5CDD505-2E9C-101B-9397-08002B2CF9AE}" pid="3" name="KSOProductBuildVer">
    <vt:lpwstr>2052-12.1.0.25225</vt:lpwstr>
  </property>
  <property fmtid="{D5CDD505-2E9C-101B-9397-08002B2CF9AE}" pid="4" name="ICV">
    <vt:lpwstr>59D1DAFC16F34EE8BDBAC856FC2F68D1_12</vt:lpwstr>
  </property>
</Properties>
</file>