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C4E342">
      <w:pPr>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b/>
          <w:bCs/>
          <w:color w:val="auto"/>
          <w:sz w:val="28"/>
          <w:szCs w:val="36"/>
          <w:u w:val="single"/>
          <w:lang w:val="en-US" w:eastAsia="zh-CN"/>
        </w:rPr>
      </w:pPr>
      <w:bookmarkStart w:id="2" w:name="_GoBack"/>
      <w:bookmarkEnd w:id="2"/>
      <w:r>
        <w:rPr>
          <w:rFonts w:hint="eastAsia" w:ascii="Times New Roman" w:hAnsi="Times New Roman" w:cs="Times New Roman"/>
          <w:b/>
          <w:bCs/>
          <w:color w:val="auto"/>
          <w:sz w:val="28"/>
          <w:szCs w:val="36"/>
          <w:u w:val="single"/>
          <w:lang w:val="en-US" w:eastAsia="zh-CN"/>
        </w:rPr>
        <w:t>Supporting Information</w:t>
      </w:r>
      <w:r>
        <w:rPr>
          <w:rFonts w:hint="default" w:ascii="Times New Roman" w:hAnsi="Times New Roman" w:cs="Times New Roman"/>
          <w:b/>
          <w:bCs/>
          <w:color w:val="auto"/>
          <w:sz w:val="28"/>
          <w:szCs w:val="36"/>
          <w:u w:val="single"/>
          <w:lang w:val="en-US" w:eastAsia="zh-CN"/>
        </w:rPr>
        <w:t xml:space="preserve"> for</w:t>
      </w:r>
      <w:r>
        <w:rPr>
          <w:rFonts w:hint="eastAsia" w:ascii="Times New Roman" w:hAnsi="Times New Roman" w:cs="Times New Roman"/>
          <w:b/>
          <w:bCs/>
          <w:color w:val="auto"/>
          <w:sz w:val="28"/>
          <w:szCs w:val="36"/>
          <w:u w:val="single"/>
          <w:lang w:val="en-US" w:eastAsia="zh-CN"/>
        </w:rPr>
        <w:t xml:space="preserve"> </w:t>
      </w:r>
      <w:r>
        <w:rPr>
          <w:rFonts w:hint="default" w:ascii="Times New Roman" w:hAnsi="Times New Roman" w:cs="Times New Roman"/>
          <w:b/>
          <w:bCs/>
          <w:i/>
          <w:iCs/>
          <w:color w:val="auto"/>
          <w:sz w:val="28"/>
          <w:szCs w:val="36"/>
          <w:u w:val="single"/>
        </w:rPr>
        <w:t>Food Analytical Methods</w:t>
      </w:r>
    </w:p>
    <w:p w14:paraId="6288BF72">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default" w:ascii="Times New Roman" w:hAnsi="Times New Roman" w:cs="Times New Roman"/>
          <w:b/>
          <w:bCs/>
          <w:color w:val="auto"/>
          <w:sz w:val="28"/>
          <w:szCs w:val="36"/>
          <w:lang w:val="en-US" w:eastAsia="zh-CN"/>
        </w:rPr>
      </w:pPr>
      <w:r>
        <w:rPr>
          <w:rFonts w:hint="default" w:ascii="Times New Roman" w:hAnsi="Times New Roman" w:cs="Times New Roman"/>
          <w:b/>
          <w:bCs/>
          <w:color w:val="auto"/>
          <w:sz w:val="28"/>
          <w:szCs w:val="36"/>
          <w:lang w:val="en-US" w:eastAsia="zh-CN"/>
        </w:rPr>
        <w:t xml:space="preserve">A Rapid and Sensitive Multi-Residue Colloidal Gold Lateral Flow Immunoassay for Simultaneous Detection of Pesticide Residues in Complex Food Matrices </w:t>
      </w:r>
    </w:p>
    <w:p w14:paraId="3E493B37">
      <w:pPr>
        <w:spacing w:line="480" w:lineRule="auto"/>
        <w:rPr>
          <w:rFonts w:ascii="Times New Roman" w:hAnsi="Times New Roman" w:eastAsia="宋体" w:cs="Times New Roman"/>
          <w:bCs/>
          <w:sz w:val="24"/>
          <w:szCs w:val="28"/>
        </w:rPr>
      </w:pPr>
      <w:bookmarkStart w:id="0" w:name="_Hlk154497940"/>
      <w:r>
        <w:rPr>
          <w:rFonts w:hint="eastAsia" w:ascii="Times New Roman" w:hAnsi="Times New Roman" w:eastAsia="宋体" w:cs="Times New Roman"/>
          <w:bCs/>
          <w:sz w:val="24"/>
          <w:szCs w:val="28"/>
          <w:lang w:val="en-US" w:eastAsia="zh-CN"/>
        </w:rPr>
        <w:t>Zizhe Li</w:t>
      </w:r>
      <w:r>
        <w:rPr>
          <w:rFonts w:ascii="Times New Roman" w:hAnsi="Times New Roman" w:eastAsia="宋体" w:cs="Times New Roman"/>
          <w:i/>
          <w:color w:val="auto"/>
          <w:kern w:val="0"/>
          <w:sz w:val="24"/>
          <w:szCs w:val="24"/>
          <w:vertAlign w:val="superscript"/>
          <w:lang w:eastAsia="en-GB"/>
        </w:rPr>
        <w:t>a</w:t>
      </w:r>
      <w:r>
        <w:rPr>
          <w:rFonts w:hint="eastAsia" w:ascii="Times New Roman" w:hAnsi="Times New Roman" w:eastAsia="宋体" w:cs="Times New Roman"/>
          <w:bCs/>
          <w:color w:val="auto"/>
          <w:sz w:val="24"/>
          <w:szCs w:val="28"/>
        </w:rPr>
        <w:t>,</w:t>
      </w:r>
      <w:r>
        <w:rPr>
          <w:rFonts w:ascii="Times New Roman" w:hAnsi="Times New Roman" w:eastAsia="宋体" w:cs="Times New Roman"/>
          <w:bCs/>
          <w:color w:val="auto"/>
          <w:sz w:val="24"/>
          <w:szCs w:val="28"/>
        </w:rPr>
        <w:t xml:space="preserve"> </w:t>
      </w:r>
      <w:r>
        <w:rPr>
          <w:rFonts w:hint="eastAsia" w:ascii="Times New Roman" w:hAnsi="Times New Roman" w:eastAsia="宋体" w:cs="Times New Roman"/>
          <w:bCs/>
          <w:color w:val="auto"/>
          <w:sz w:val="24"/>
          <w:szCs w:val="28"/>
          <w:lang w:val="en-US" w:eastAsia="zh-CN"/>
        </w:rPr>
        <w:t>Xiaole Pan</w:t>
      </w:r>
      <w:r>
        <w:rPr>
          <w:rFonts w:ascii="Times New Roman" w:hAnsi="Times New Roman" w:eastAsia="宋体" w:cs="Times New Roman"/>
          <w:i/>
          <w:color w:val="auto"/>
          <w:kern w:val="0"/>
          <w:sz w:val="24"/>
          <w:szCs w:val="24"/>
          <w:vertAlign w:val="superscript"/>
          <w:lang w:eastAsia="en-GB"/>
        </w:rPr>
        <w:t>a</w:t>
      </w:r>
      <w:r>
        <w:rPr>
          <w:rFonts w:hint="eastAsia" w:ascii="Times New Roman" w:hAnsi="Times New Roman" w:eastAsia="宋体" w:cs="Times New Roman"/>
          <w:bCs/>
          <w:color w:val="auto"/>
          <w:sz w:val="24"/>
          <w:szCs w:val="28"/>
        </w:rPr>
        <w:t>,</w:t>
      </w:r>
      <w:r>
        <w:rPr>
          <w:rFonts w:hint="eastAsia" w:ascii="Times New Roman" w:hAnsi="Times New Roman" w:eastAsia="宋体" w:cs="Times New Roman"/>
          <w:bCs/>
          <w:color w:val="auto"/>
          <w:sz w:val="24"/>
          <w:szCs w:val="28"/>
          <w:lang w:val="en-US" w:eastAsia="zh-CN"/>
        </w:rPr>
        <w:t xml:space="preserve"> Chen Xing</w:t>
      </w:r>
      <w:r>
        <w:rPr>
          <w:rFonts w:ascii="Times New Roman" w:hAnsi="Times New Roman" w:eastAsia="宋体" w:cs="Times New Roman"/>
          <w:i/>
          <w:color w:val="auto"/>
          <w:kern w:val="0"/>
          <w:sz w:val="24"/>
          <w:szCs w:val="24"/>
          <w:vertAlign w:val="superscript"/>
          <w:lang w:eastAsia="en-GB"/>
        </w:rPr>
        <w:t>a</w:t>
      </w:r>
      <w:r>
        <w:rPr>
          <w:rFonts w:hint="eastAsia" w:ascii="Times New Roman" w:hAnsi="Times New Roman" w:eastAsia="宋体" w:cs="Times New Roman"/>
          <w:bCs/>
          <w:color w:val="auto"/>
          <w:sz w:val="24"/>
          <w:szCs w:val="28"/>
          <w:lang w:val="en-US" w:eastAsia="zh-CN"/>
        </w:rPr>
        <w:t xml:space="preserve">, </w:t>
      </w:r>
      <w:r>
        <w:rPr>
          <w:rFonts w:ascii="Times New Roman" w:hAnsi="Times New Roman" w:eastAsia="宋体" w:cs="Times New Roman"/>
          <w:bCs/>
          <w:color w:val="auto"/>
          <w:sz w:val="24"/>
          <w:szCs w:val="28"/>
        </w:rPr>
        <w:t>Yantong Pan</w:t>
      </w:r>
      <w:r>
        <w:rPr>
          <w:rFonts w:ascii="Times New Roman" w:hAnsi="Times New Roman" w:eastAsia="宋体" w:cs="Times New Roman"/>
          <w:i/>
          <w:color w:val="auto"/>
          <w:kern w:val="0"/>
          <w:sz w:val="24"/>
          <w:szCs w:val="24"/>
          <w:vertAlign w:val="superscript"/>
          <w:lang w:eastAsia="en-GB"/>
        </w:rPr>
        <w:t>a,b</w:t>
      </w:r>
      <w:r>
        <w:rPr>
          <w:rFonts w:hint="eastAsia" w:ascii="Times New Roman" w:hAnsi="Times New Roman" w:eastAsia="宋体" w:cs="Times New Roman"/>
          <w:bCs/>
          <w:color w:val="auto"/>
          <w:sz w:val="24"/>
          <w:szCs w:val="28"/>
        </w:rPr>
        <w:t>,</w:t>
      </w:r>
      <w:r>
        <w:rPr>
          <w:rFonts w:ascii="Times New Roman" w:hAnsi="Times New Roman" w:eastAsia="宋体" w:cs="Times New Roman"/>
          <w:bCs/>
          <w:color w:val="auto"/>
          <w:sz w:val="24"/>
          <w:szCs w:val="28"/>
        </w:rPr>
        <w:t xml:space="preserve"> </w:t>
      </w:r>
      <w:r>
        <w:rPr>
          <w:rFonts w:hint="eastAsia" w:ascii="Times New Roman" w:hAnsi="Times New Roman" w:eastAsia="宋体" w:cs="Times New Roman"/>
          <w:bCs/>
          <w:color w:val="auto"/>
          <w:sz w:val="24"/>
          <w:szCs w:val="28"/>
          <w:lang w:val="en-US" w:eastAsia="zh-CN"/>
        </w:rPr>
        <w:t>Zhanhui Wang</w:t>
      </w:r>
      <w:r>
        <w:rPr>
          <w:rFonts w:ascii="Times New Roman" w:hAnsi="Times New Roman" w:eastAsia="宋体" w:cs="Times New Roman"/>
          <w:i/>
          <w:color w:val="auto"/>
          <w:kern w:val="0"/>
          <w:sz w:val="24"/>
          <w:szCs w:val="24"/>
          <w:vertAlign w:val="superscript"/>
          <w:lang w:eastAsia="en-GB"/>
        </w:rPr>
        <w:t>a,b</w:t>
      </w:r>
      <w:r>
        <w:rPr>
          <w:rFonts w:hint="eastAsia" w:ascii="Times New Roman" w:hAnsi="Times New Roman" w:eastAsia="宋体" w:cs="Times New Roman"/>
          <w:bCs/>
          <w:color w:val="auto"/>
          <w:sz w:val="24"/>
          <w:szCs w:val="28"/>
          <w:lang w:val="en-US" w:eastAsia="zh-CN"/>
        </w:rPr>
        <w:t>, Jiancheng Li</w:t>
      </w:r>
      <w:r>
        <w:rPr>
          <w:rFonts w:ascii="Times New Roman" w:hAnsi="Times New Roman" w:eastAsia="宋体" w:cs="Times New Roman"/>
          <w:i/>
          <w:color w:val="auto"/>
          <w:kern w:val="0"/>
          <w:sz w:val="24"/>
          <w:szCs w:val="24"/>
          <w:vertAlign w:val="superscript"/>
          <w:lang w:eastAsia="en-GB"/>
        </w:rPr>
        <w:t>a,b</w:t>
      </w:r>
      <w:r>
        <w:rPr>
          <w:rFonts w:ascii="Times New Roman" w:hAnsi="Times New Roman" w:eastAsia="宋体" w:cs="Times New Roman"/>
          <w:i/>
          <w:kern w:val="0"/>
          <w:sz w:val="24"/>
          <w:szCs w:val="20"/>
          <w:lang w:eastAsia="de-DE"/>
        </w:rPr>
        <w:t>*</w:t>
      </w:r>
    </w:p>
    <w:p w14:paraId="47EA5D4F">
      <w:pPr>
        <w:widowControl/>
        <w:spacing w:line="480" w:lineRule="auto"/>
        <w:rPr>
          <w:rFonts w:ascii="Times New Roman" w:hAnsi="Times New Roman" w:eastAsia="宋体" w:cs="Times New Roman"/>
          <w:i/>
          <w:iCs/>
          <w:kern w:val="0"/>
          <w:sz w:val="24"/>
          <w:szCs w:val="20"/>
        </w:rPr>
      </w:pPr>
      <w:r>
        <w:rPr>
          <w:rFonts w:ascii="Times New Roman" w:hAnsi="Times New Roman" w:eastAsia="宋体" w:cs="Times New Roman"/>
          <w:i/>
          <w:kern w:val="0"/>
          <w:sz w:val="24"/>
          <w:szCs w:val="24"/>
          <w:lang w:eastAsia="en-GB"/>
        </w:rPr>
        <w:t xml:space="preserve">a </w:t>
      </w:r>
      <w:bookmarkStart w:id="1" w:name="OLE_LINK2"/>
      <w:r>
        <w:rPr>
          <w:rFonts w:ascii="Times New Roman" w:hAnsi="Times New Roman" w:eastAsia="宋体" w:cs="Times New Roman"/>
          <w:i/>
          <w:iCs/>
          <w:kern w:val="0"/>
          <w:sz w:val="24"/>
          <w:szCs w:val="20"/>
        </w:rPr>
        <w:t>Technology Innovation Center for Food Safety Surveillance and Detection</w:t>
      </w:r>
      <w:bookmarkEnd w:id="1"/>
      <w:r>
        <w:rPr>
          <w:rFonts w:ascii="Times New Roman" w:hAnsi="Times New Roman" w:eastAsia="宋体" w:cs="Times New Roman"/>
          <w:i/>
          <w:iCs/>
          <w:kern w:val="0"/>
          <w:sz w:val="24"/>
          <w:szCs w:val="20"/>
        </w:rPr>
        <w:t xml:space="preserve"> (Hainan), Sanya Institute of China Agricultural University, Sanya, 572025, People’s Republic of China</w:t>
      </w:r>
    </w:p>
    <w:p w14:paraId="0E242F63">
      <w:pPr>
        <w:widowControl/>
        <w:spacing w:line="480" w:lineRule="auto"/>
        <w:rPr>
          <w:rFonts w:ascii="Times New Roman" w:hAnsi="Times New Roman" w:eastAsia="宋体" w:cs="Times New Roman"/>
          <w:kern w:val="0"/>
          <w:sz w:val="24"/>
          <w:szCs w:val="24"/>
          <w:lang w:eastAsia="en-GB"/>
        </w:rPr>
      </w:pPr>
      <w:r>
        <w:rPr>
          <w:rFonts w:hint="eastAsia" w:ascii="Times New Roman" w:hAnsi="Times New Roman" w:eastAsia="宋体" w:cs="Times New Roman"/>
          <w:i/>
          <w:kern w:val="0"/>
          <w:sz w:val="24"/>
          <w:szCs w:val="24"/>
        </w:rPr>
        <w:t>b</w:t>
      </w:r>
      <w:r>
        <w:rPr>
          <w:rFonts w:ascii="Times New Roman" w:hAnsi="Times New Roman" w:eastAsia="宋体" w:cs="Times New Roman"/>
          <w:i/>
          <w:kern w:val="0"/>
          <w:sz w:val="24"/>
          <w:szCs w:val="24"/>
        </w:rPr>
        <w:t xml:space="preserve"> </w:t>
      </w:r>
      <w:r>
        <w:rPr>
          <w:rFonts w:ascii="Times New Roman" w:hAnsi="Times New Roman" w:eastAsia="宋体" w:cs="Times New Roman"/>
          <w:i/>
          <w:kern w:val="0"/>
          <w:sz w:val="24"/>
          <w:szCs w:val="24"/>
          <w:lang w:eastAsia="en-GB"/>
        </w:rPr>
        <w:t>National Key Laboratory of Veterinary Public Health and Safety, Beijing Key Laboratory of Detection Technology for Animal Derived Food Safety, College of Veterinary Medicine, China Agricultural University, Beijing, 100193, People’s Republic of China</w:t>
      </w:r>
    </w:p>
    <w:p w14:paraId="1BE33643">
      <w:pPr>
        <w:widowControl/>
        <w:spacing w:line="480" w:lineRule="auto"/>
        <w:rPr>
          <w:rFonts w:ascii="Times New Roman" w:hAnsi="Times New Roman" w:eastAsia="宋体" w:cs="Times New Roman"/>
          <w:i/>
          <w:kern w:val="0"/>
          <w:sz w:val="24"/>
          <w:szCs w:val="20"/>
          <w:lang w:eastAsia="de-DE"/>
        </w:rPr>
      </w:pPr>
      <w:r>
        <w:rPr>
          <w:rFonts w:ascii="Times New Roman" w:hAnsi="Times New Roman" w:eastAsia="宋体" w:cs="Times New Roman"/>
          <w:i/>
          <w:kern w:val="0"/>
          <w:sz w:val="24"/>
          <w:szCs w:val="20"/>
          <w:lang w:eastAsia="de-DE"/>
        </w:rPr>
        <w:t xml:space="preserve">* Author to whom correspondence should be addressed </w:t>
      </w:r>
    </w:p>
    <w:bookmarkEnd w:id="0"/>
    <w:p w14:paraId="083E9621">
      <w:pPr>
        <w:spacing w:line="480" w:lineRule="auto"/>
        <w:rPr>
          <w:rFonts w:hint="eastAsia" w:ascii="Times New Roman" w:hAnsi="Times New Roman" w:eastAsia="宋体" w:cs="Times New Roman"/>
          <w:i/>
          <w:kern w:val="0"/>
          <w:sz w:val="24"/>
          <w:szCs w:val="20"/>
          <w:lang w:val="en-US" w:eastAsia="zh-CN"/>
        </w:rPr>
      </w:pPr>
      <w:r>
        <w:rPr>
          <w:rFonts w:ascii="Times New Roman" w:hAnsi="Times New Roman" w:eastAsia="宋体" w:cs="Times New Roman"/>
          <w:i/>
          <w:kern w:val="0"/>
          <w:sz w:val="24"/>
          <w:szCs w:val="20"/>
          <w:lang w:eastAsia="de-DE"/>
        </w:rPr>
        <w:t>E-mail:</w:t>
      </w:r>
      <w:r>
        <w:rPr>
          <w:rFonts w:hint="eastAsia" w:ascii="Times New Roman" w:hAnsi="Times New Roman" w:eastAsia="宋体" w:cs="Times New Roman"/>
          <w:i/>
          <w:kern w:val="0"/>
          <w:sz w:val="24"/>
          <w:szCs w:val="20"/>
          <w:lang w:val="en-US" w:eastAsia="zh-CN"/>
        </w:rPr>
        <w:t xml:space="preserve"> horse20@cau.edu.cn</w:t>
      </w:r>
    </w:p>
    <w:p w14:paraId="1EABA113">
      <w:pPr>
        <w:rPr>
          <w:rFonts w:hint="eastAsia" w:eastAsiaTheme="minorEastAsia"/>
          <w:lang w:eastAsia="zh-CN"/>
        </w:rPr>
      </w:pPr>
      <w:r>
        <w:rPr>
          <w:rFonts w:hint="eastAsia" w:eastAsiaTheme="minorEastAsia"/>
          <w:lang w:eastAsia="zh-CN"/>
        </w:rPr>
        <w:drawing>
          <wp:inline distT="0" distB="0" distL="114300" distR="114300">
            <wp:extent cx="5149850" cy="7203440"/>
            <wp:effectExtent l="0" t="0" r="6350" b="10160"/>
            <wp:docPr id="1" name="图片 1" descr="附件图1 单因素优化组 [已恢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图1 单因素优化组 [已恢复]"/>
                    <pic:cNvPicPr>
                      <a:picLocks noChangeAspect="1"/>
                    </pic:cNvPicPr>
                  </pic:nvPicPr>
                  <pic:blipFill>
                    <a:blip r:embed="rId6"/>
                    <a:stretch>
                      <a:fillRect/>
                    </a:stretch>
                  </pic:blipFill>
                  <pic:spPr>
                    <a:xfrm>
                      <a:off x="0" y="0"/>
                      <a:ext cx="5149850" cy="7203440"/>
                    </a:xfrm>
                    <a:prstGeom prst="rect">
                      <a:avLst/>
                    </a:prstGeom>
                  </pic:spPr>
                </pic:pic>
              </a:graphicData>
            </a:graphic>
          </wp:inline>
        </w:drawing>
      </w:r>
    </w:p>
    <w:p w14:paraId="057F2B37">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Theme="minorEastAsia"/>
          <w:lang w:eastAsia="zh-CN"/>
        </w:rPr>
      </w:pPr>
      <w:r>
        <w:rPr>
          <w:rFonts w:hint="eastAsia" w:ascii="Times New Roman" w:hAnsi="Times New Roman" w:cs="Times New Roman"/>
          <w:b/>
          <w:bCs/>
          <w:sz w:val="22"/>
          <w:szCs w:val="28"/>
          <w:lang w:val="en-US" w:eastAsia="zh-CN"/>
        </w:rPr>
        <w:t>Figure S1</w:t>
      </w:r>
      <w:r>
        <w:rPr>
          <w:rFonts w:hint="eastAsia" w:ascii="Times New Roman" w:hAnsi="Times New Roman" w:cs="Times New Roman"/>
          <w:sz w:val="22"/>
          <w:szCs w:val="28"/>
          <w:lang w:val="en-US" w:eastAsia="zh-CN"/>
        </w:rPr>
        <w:t>. Optimization of assay conditions for the single-residue CG-LFIA. (A) Effect of pH on assay performance. (B) Effect of antibody loading amount. (C) Effect of the reconstitution buffer type. (D) Effect of the dilution factor of the reconstitution buffer.</w:t>
      </w:r>
      <w:r>
        <w:rPr>
          <w:rFonts w:hint="eastAsia" w:eastAsiaTheme="minorEastAsia"/>
          <w:lang w:eastAsia="zh-CN"/>
        </w:rPr>
        <w:drawing>
          <wp:inline distT="0" distB="0" distL="114300" distR="114300">
            <wp:extent cx="5067935" cy="7189470"/>
            <wp:effectExtent l="0" t="0" r="12065" b="11430"/>
            <wp:docPr id="2" name="图片 2" descr="附件图2 单因素优化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图2 单因素优化组"/>
                    <pic:cNvPicPr>
                      <a:picLocks noChangeAspect="1"/>
                    </pic:cNvPicPr>
                  </pic:nvPicPr>
                  <pic:blipFill>
                    <a:blip r:embed="rId7"/>
                    <a:stretch>
                      <a:fillRect/>
                    </a:stretch>
                  </pic:blipFill>
                  <pic:spPr>
                    <a:xfrm>
                      <a:off x="0" y="0"/>
                      <a:ext cx="5067935" cy="7189470"/>
                    </a:xfrm>
                    <a:prstGeom prst="rect">
                      <a:avLst/>
                    </a:prstGeom>
                  </pic:spPr>
                </pic:pic>
              </a:graphicData>
            </a:graphic>
          </wp:inline>
        </w:drawing>
      </w:r>
    </w:p>
    <w:p w14:paraId="0D5BF134">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Theme="minorEastAsia"/>
          <w:lang w:eastAsia="zh-CN"/>
        </w:rPr>
      </w:pPr>
      <w:r>
        <w:rPr>
          <w:rFonts w:hint="eastAsia" w:ascii="Times New Roman" w:hAnsi="Times New Roman" w:cs="Times New Roman"/>
          <w:b/>
          <w:bCs/>
          <w:sz w:val="22"/>
          <w:szCs w:val="28"/>
          <w:lang w:val="en-US" w:eastAsia="zh-CN"/>
        </w:rPr>
        <w:t>Figure S2</w:t>
      </w:r>
      <w:r>
        <w:rPr>
          <w:rFonts w:hint="eastAsia" w:ascii="Times New Roman" w:hAnsi="Times New Roman" w:cs="Times New Roman"/>
          <w:sz w:val="22"/>
          <w:szCs w:val="28"/>
          <w:lang w:val="en-US" w:eastAsia="zh-CN"/>
        </w:rPr>
        <w:t>. Optimization of assay parameters for the single-residue CG-LFIA. (A) Optimization of the antibody dilution buffer. (B) Optimization of the NC membrane type. (C) Optimization of the coating buffer type. (D) Optimization of the coating antigen dilution factor.</w:t>
      </w:r>
      <w:r>
        <w:rPr>
          <w:rFonts w:hint="eastAsia" w:eastAsiaTheme="minorEastAsia"/>
          <w:lang w:eastAsia="zh-CN"/>
        </w:rPr>
        <w:br w:type="page"/>
      </w:r>
    </w:p>
    <w:p w14:paraId="4E6B7E9A">
      <w:pPr>
        <w:rPr>
          <w:rFonts w:hint="eastAsia" w:eastAsiaTheme="minorEastAsia"/>
          <w:lang w:eastAsia="zh-CN"/>
        </w:rPr>
      </w:pPr>
      <w:r>
        <w:rPr>
          <w:rFonts w:hint="eastAsia" w:eastAsiaTheme="minorEastAsia"/>
          <w:lang w:eastAsia="zh-CN"/>
        </w:rPr>
        <w:drawing>
          <wp:inline distT="0" distB="0" distL="114300" distR="114300">
            <wp:extent cx="5271770" cy="2461895"/>
            <wp:effectExtent l="0" t="0" r="11430" b="1905"/>
            <wp:docPr id="3" name="图片 3" descr="附件图3 基质优化图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图3 基质优化图组"/>
                    <pic:cNvPicPr>
                      <a:picLocks noChangeAspect="1"/>
                    </pic:cNvPicPr>
                  </pic:nvPicPr>
                  <pic:blipFill>
                    <a:blip r:embed="rId8"/>
                    <a:stretch>
                      <a:fillRect/>
                    </a:stretch>
                  </pic:blipFill>
                  <pic:spPr>
                    <a:xfrm>
                      <a:off x="0" y="0"/>
                      <a:ext cx="5271770" cy="2461895"/>
                    </a:xfrm>
                    <a:prstGeom prst="rect">
                      <a:avLst/>
                    </a:prstGeom>
                  </pic:spPr>
                </pic:pic>
              </a:graphicData>
            </a:graphic>
          </wp:inline>
        </w:drawing>
      </w:r>
    </w:p>
    <w:p w14:paraId="32230B27">
      <w:pPr>
        <w:keepNext w:val="0"/>
        <w:keepLines w:val="0"/>
        <w:pageBreakBefore w:val="0"/>
        <w:widowControl w:val="0"/>
        <w:numPr>
          <w:ilvl w:val="0"/>
          <w:numId w:val="1"/>
        </w:numPr>
        <w:kinsoku/>
        <w:wordWrap/>
        <w:overflowPunct/>
        <w:topLinePunct w:val="0"/>
        <w:autoSpaceDE/>
        <w:autoSpaceDN/>
        <w:bidi w:val="0"/>
        <w:adjustRightInd/>
        <w:snapToGrid/>
        <w:spacing w:line="480" w:lineRule="auto"/>
        <w:ind w:firstLine="442" w:firstLineChars="200"/>
        <w:textAlignment w:val="auto"/>
        <w:rPr>
          <w:rFonts w:hint="eastAsia" w:eastAsiaTheme="minorEastAsia"/>
          <w:lang w:eastAsia="zh-CN"/>
        </w:rPr>
      </w:pPr>
      <w:r>
        <w:rPr>
          <w:rFonts w:hint="eastAsia" w:ascii="Times New Roman" w:hAnsi="Times New Roman" w:cs="Times New Roman"/>
          <w:b/>
          <w:bCs/>
          <w:sz w:val="22"/>
          <w:szCs w:val="28"/>
          <w:lang w:val="en-US" w:eastAsia="zh-CN"/>
        </w:rPr>
        <w:t>Figure S3</w:t>
      </w:r>
      <w:r>
        <w:rPr>
          <w:rFonts w:hint="eastAsia" w:ascii="Times New Roman" w:hAnsi="Times New Roman" w:cs="Times New Roman"/>
          <w:sz w:val="22"/>
          <w:szCs w:val="28"/>
          <w:lang w:val="en-US" w:eastAsia="zh-CN"/>
        </w:rPr>
        <w:t xml:space="preserve">. Standard calibration curves for single-residue detection of (a) CTP, (b) EMB, and (c) FEN, together </w:t>
      </w:r>
      <w:r>
        <w:rPr>
          <w:rFonts w:hint="eastAsia" w:ascii="Times New Roman" w:hAnsi="Times New Roman" w:cs="Times New Roman"/>
          <w:color w:val="auto"/>
          <w:sz w:val="24"/>
          <w:szCs w:val="32"/>
          <w:lang w:val="en-US" w:eastAsia="zh-CN"/>
        </w:rPr>
        <w:t xml:space="preserve">with </w:t>
      </w:r>
      <w:r>
        <w:rPr>
          <w:rFonts w:hint="eastAsia" w:ascii="Times New Roman" w:hAnsi="Times New Roman" w:cs="Times New Roman"/>
          <w:sz w:val="22"/>
          <w:szCs w:val="28"/>
          <w:lang w:val="en-US" w:eastAsia="zh-CN"/>
        </w:rPr>
        <w:t>the corresponding calibration parameters.</w:t>
      </w:r>
      <w:r>
        <w:rPr>
          <w:rFonts w:hint="eastAsia" w:eastAsiaTheme="minorEastAsia"/>
          <w:lang w:eastAsia="zh-CN"/>
        </w:rPr>
        <w:br w:type="page"/>
      </w:r>
    </w:p>
    <w:p w14:paraId="05A89A0D">
      <w:pPr>
        <w:rPr>
          <w:rFonts w:hint="eastAsia" w:eastAsiaTheme="minorEastAsia"/>
          <w:lang w:eastAsia="zh-CN"/>
        </w:rPr>
      </w:pPr>
      <w:r>
        <w:rPr>
          <w:rFonts w:hint="eastAsia" w:eastAsiaTheme="minorEastAsia"/>
          <w:lang w:eastAsia="zh-CN"/>
        </w:rPr>
        <w:drawing>
          <wp:inline distT="0" distB="0" distL="114300" distR="114300">
            <wp:extent cx="5273675" cy="4403090"/>
            <wp:effectExtent l="0" t="0" r="9525" b="3810"/>
            <wp:docPr id="4" name="图片 4" descr="附件图4 单残留基质效应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图4 单残留基质效应图"/>
                    <pic:cNvPicPr>
                      <a:picLocks noChangeAspect="1"/>
                    </pic:cNvPicPr>
                  </pic:nvPicPr>
                  <pic:blipFill>
                    <a:blip r:embed="rId9"/>
                    <a:stretch>
                      <a:fillRect/>
                    </a:stretch>
                  </pic:blipFill>
                  <pic:spPr>
                    <a:xfrm>
                      <a:off x="0" y="0"/>
                      <a:ext cx="5273675" cy="4403090"/>
                    </a:xfrm>
                    <a:prstGeom prst="rect">
                      <a:avLst/>
                    </a:prstGeom>
                  </pic:spPr>
                </pic:pic>
              </a:graphicData>
            </a:graphic>
          </wp:inline>
        </w:drawing>
      </w:r>
    </w:p>
    <w:p w14:paraId="2827747C">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eastAsiaTheme="minorEastAsia"/>
          <w:lang w:eastAsia="zh-CN"/>
        </w:rPr>
      </w:pPr>
      <w:r>
        <w:rPr>
          <w:rFonts w:hint="eastAsia" w:ascii="Times New Roman" w:hAnsi="Times New Roman" w:cs="Times New Roman"/>
          <w:b/>
          <w:bCs/>
          <w:sz w:val="22"/>
          <w:szCs w:val="28"/>
          <w:lang w:val="en-US" w:eastAsia="zh-CN"/>
        </w:rPr>
        <w:t>Figure S4</w:t>
      </w:r>
      <w:r>
        <w:rPr>
          <w:rFonts w:hint="eastAsia" w:ascii="Times New Roman" w:hAnsi="Times New Roman" w:cs="Times New Roman"/>
          <w:sz w:val="22"/>
          <w:szCs w:val="28"/>
          <w:lang w:val="en-US" w:eastAsia="zh-CN"/>
        </w:rPr>
        <w:t>. Matrix-matched calibration curves for single-residue detection of (a) CTP, (b) EMB, and (c) FEN in different sample matrices, together with the corresponding matrix calibration parameters.</w:t>
      </w:r>
    </w:p>
    <w:p w14:paraId="3F2AD3F9">
      <w:pPr>
        <w:rPr>
          <w:rFonts w:hint="eastAsia" w:eastAsiaTheme="minorEastAsia"/>
          <w:lang w:eastAsia="zh-CN"/>
        </w:rPr>
      </w:pPr>
      <w:r>
        <w:rPr>
          <w:rFonts w:hint="eastAsia" w:eastAsiaTheme="minorEastAsia"/>
          <w:lang w:eastAsia="zh-CN"/>
        </w:rPr>
        <w:br w:type="page"/>
      </w:r>
    </w:p>
    <w:p w14:paraId="25D9E0FD">
      <w:pPr>
        <w:rPr>
          <w:rFonts w:hint="eastAsia" w:eastAsiaTheme="minorEastAsia"/>
          <w:lang w:eastAsia="zh-CN"/>
        </w:rPr>
      </w:pPr>
    </w:p>
    <w:p w14:paraId="3AA1807C">
      <w:pPr>
        <w:rPr>
          <w:rFonts w:hint="eastAsia" w:eastAsiaTheme="minorEastAsia"/>
          <w:lang w:eastAsia="zh-CN"/>
        </w:rPr>
      </w:pPr>
      <w:r>
        <w:rPr>
          <w:rFonts w:hint="eastAsia" w:eastAsiaTheme="minorEastAsia"/>
          <w:lang w:eastAsia="zh-CN"/>
        </w:rPr>
        <w:drawing>
          <wp:inline distT="0" distB="0" distL="114300" distR="114300">
            <wp:extent cx="5268595" cy="3648710"/>
            <wp:effectExtent l="0" t="0" r="0" b="0"/>
            <wp:docPr id="6" name="图片 6" descr="附件图6 单残留特异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图6 单残留特异性图"/>
                    <pic:cNvPicPr>
                      <a:picLocks noChangeAspect="1"/>
                    </pic:cNvPicPr>
                  </pic:nvPicPr>
                  <pic:blipFill>
                    <a:blip r:embed="rId10"/>
                    <a:srcRect b="13464"/>
                    <a:stretch>
                      <a:fillRect/>
                    </a:stretch>
                  </pic:blipFill>
                  <pic:spPr>
                    <a:xfrm>
                      <a:off x="0" y="0"/>
                      <a:ext cx="5268595" cy="3648710"/>
                    </a:xfrm>
                    <a:prstGeom prst="rect">
                      <a:avLst/>
                    </a:prstGeom>
                  </pic:spPr>
                </pic:pic>
              </a:graphicData>
            </a:graphic>
          </wp:inline>
        </w:drawing>
      </w:r>
    </w:p>
    <w:p w14:paraId="6E204CD8">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Times New Roman" w:hAnsi="Times New Roman" w:cs="Times New Roman"/>
          <w:sz w:val="22"/>
          <w:szCs w:val="28"/>
          <w:lang w:val="en-US" w:eastAsia="zh-CN"/>
        </w:rPr>
      </w:pPr>
      <w:r>
        <w:rPr>
          <w:rFonts w:hint="eastAsia" w:ascii="Times New Roman" w:hAnsi="Times New Roman" w:cs="Times New Roman"/>
          <w:b/>
          <w:bCs/>
          <w:sz w:val="22"/>
          <w:szCs w:val="28"/>
          <w:lang w:val="en-US" w:eastAsia="zh-CN"/>
        </w:rPr>
        <w:t>Figure S5</w:t>
      </w:r>
      <w:r>
        <w:rPr>
          <w:rFonts w:hint="eastAsia" w:ascii="Times New Roman" w:hAnsi="Times New Roman" w:cs="Times New Roman"/>
          <w:sz w:val="22"/>
          <w:szCs w:val="28"/>
          <w:lang w:val="en-US" w:eastAsia="zh-CN"/>
        </w:rPr>
        <w:t>. Specificity evaluation of the single-residue CG-LFIA. Lanes 1–17 correspond to the negative control, abamectin, acephate, bromophos, dichlorvos, isocarbophos, chlorthiophos, methamidophos, chlorpyrifos, dimethoate, trichlorfon, malathion, parathion, triazophos, phorate, fonofos, phoxim, and omethoate, respectively. The image on the right shows the responses of the negative control, EMB, and avermectin.</w:t>
      </w:r>
    </w:p>
    <w:sectPr>
      <w:headerReference r:id="rId3" w:type="default"/>
      <w:footerReference r:id="rId4" w:type="default"/>
      <w:pgSz w:w="11906" w:h="16838"/>
      <w:pgMar w:top="1440" w:right="1800" w:bottom="1440" w:left="1800" w:header="851" w:footer="992" w:gutter="0"/>
      <w:lnNumType w:countBy="1" w:restart="continuou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7FA7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F712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78F712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33690">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ADDC83"/>
    <w:multiLevelType w:val="singleLevel"/>
    <w:tmpl w:val="9DADDC8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F7ACC"/>
    <w:rsid w:val="0BC44605"/>
    <w:rsid w:val="17E578F7"/>
    <w:rsid w:val="22077AB5"/>
    <w:rsid w:val="3D3F359B"/>
    <w:rsid w:val="49AC06C4"/>
    <w:rsid w:val="4FC46C6B"/>
    <w:rsid w:val="5D013790"/>
    <w:rsid w:val="77824BDD"/>
    <w:rsid w:val="7FA53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284</Words>
  <Characters>1821</Characters>
  <Lines>0</Lines>
  <Paragraphs>0</Paragraphs>
  <TotalTime>0</TotalTime>
  <ScaleCrop>false</ScaleCrop>
  <LinksUpToDate>false</LinksUpToDate>
  <CharactersWithSpaces>2093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2026-01-27T01:05:00Z</dcterms:created>
  <dc:creator>李子哲</dc:creator>
  <cp:lastModifiedBy>读你</cp:lastModifiedBy>
  <dcterms:modified xsi:type="dcterms:W3CDTF">2026-04-08T02:20:11Z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eyJoZGlkIjoiYTZkZDA0Y2Y0NmRmYTBlOWU0OWEwODNlYzQ2MDYyNGIiLCJ1c2VySWQiOiI0NTI0OTczMDQifQ==</vt:lpwstr>
  </property>
  <property fmtid="{D5CDD505-2E9C-101B-9397-08002B2CF9AE}" pid="4" name="ICV">
    <vt:lpwstr>3575FC966E8149ADBB11823CEA892F5F_13</vt:lpwstr>
  </property>
</Properties>
</file>