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3EFEE">
      <w:pPr>
        <w:jc w:val="center"/>
        <w:rPr>
          <w:rFonts w:hint="default" w:ascii="Times New Roman" w:hAnsi="Times New Roman" w:cs="Times New Roman"/>
          <w:b/>
          <w:bCs/>
          <w:sz w:val="28"/>
          <w:szCs w:val="28"/>
          <w:lang w:val="en-US"/>
        </w:rPr>
      </w:pPr>
      <w:bookmarkStart w:id="0" w:name="_GoBack"/>
      <w:bookmarkEnd w:id="0"/>
      <w:r>
        <w:rPr>
          <w:rFonts w:hint="default" w:ascii="Times New Roman" w:hAnsi="Times New Roman" w:cs="Times New Roman"/>
          <w:b/>
          <w:bCs/>
          <w:sz w:val="28"/>
          <w:szCs w:val="28"/>
          <w:lang w:val="en-US"/>
        </w:rPr>
        <w:t>Breakout Session Discussion Guide</w:t>
      </w:r>
    </w:p>
    <w:p w14:paraId="564BDBE0">
      <w:pPr>
        <w:jc w:val="center"/>
        <w:rPr>
          <w:rFonts w:hint="default" w:ascii="Times New Roman" w:hAnsi="Times New Roman" w:cs="Times New Roman"/>
          <w:b/>
          <w:bCs/>
          <w:sz w:val="28"/>
          <w:szCs w:val="28"/>
          <w:lang w:val="en-US"/>
        </w:rPr>
      </w:pPr>
    </w:p>
    <w:p w14:paraId="7C7DA893">
      <w:pPr>
        <w:numPr>
          <w:ilvl w:val="0"/>
          <w:numId w:val="1"/>
        </w:numPr>
        <w:ind w:left="425" w:leftChars="0" w:hanging="425"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Please, subject the key findings and analysis to critical scrutiny to determine their factual accuracy.</w:t>
      </w:r>
    </w:p>
    <w:p w14:paraId="57E0B15A">
      <w:pPr>
        <w:numPr>
          <w:ilvl w:val="0"/>
          <w:numId w:val="1"/>
        </w:numPr>
        <w:ind w:left="425" w:leftChars="0" w:hanging="425"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Examine the conclusions to determine their validity and soundness</w:t>
      </w:r>
    </w:p>
    <w:p w14:paraId="75A2DC15">
      <w:pPr>
        <w:numPr>
          <w:ilvl w:val="0"/>
          <w:numId w:val="1"/>
        </w:numPr>
        <w:ind w:left="425" w:leftChars="0" w:hanging="425" w:firstLineChars="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Examine the recommendations to determine their feasibility and appropriateness.</w:t>
      </w:r>
    </w:p>
    <w:p w14:paraId="6EF1F93E">
      <w:pPr>
        <w:jc w:val="both"/>
      </w:pPr>
    </w:p>
    <w:p w14:paraId="34BCA3A9">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1.0 Key Findings</w:t>
      </w:r>
    </w:p>
    <w:p w14:paraId="56753878">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1.1 Coordination</w:t>
      </w:r>
    </w:p>
    <w:p w14:paraId="2F004AFF">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Inadequate funds for technical officers at the RCC to perform oversight responsibilities and provide backstopping support to the DoA.</w:t>
      </w:r>
    </w:p>
    <w:p w14:paraId="1DE5956C">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Reporting challenges due to disparities in the reporting template, indicators, and timelines.</w:t>
      </w:r>
    </w:p>
    <w:p w14:paraId="6D2EDDE6">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The actions of some development partners undermine the decentralization process. </w:t>
      </w:r>
    </w:p>
    <w:p w14:paraId="4DC71917">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Inadequate funding hinders the operations of the DPCU to provide effective policy implementation and coordination.</w:t>
      </w:r>
    </w:p>
    <w:p w14:paraId="0B47577D">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Inadequate logistics is a major challenge affecting the performance of the DPCU.</w:t>
      </w:r>
    </w:p>
    <w:p w14:paraId="393D24F3">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effectiveness of the DPCU is contingent on the performance of the various departments of the Assembly to ensure that the DPCU has quality data to work with.</w:t>
      </w:r>
    </w:p>
    <w:p w14:paraId="36058467">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Future organization of consultative review/planning workshops by DoA without MAG funding is unclear.</w:t>
      </w:r>
    </w:p>
    <w:p w14:paraId="5990EB01">
      <w:pPr>
        <w:jc w:val="both"/>
        <w:rPr>
          <w:rFonts w:hint="default" w:ascii="Times New Roman" w:hAnsi="Times New Roman" w:cs="Times New Roman"/>
          <w:b/>
          <w:bCs/>
          <w:sz w:val="24"/>
          <w:szCs w:val="24"/>
          <w:lang w:val="en-US"/>
        </w:rPr>
      </w:pPr>
    </w:p>
    <w:p w14:paraId="37D09201">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1.2 Funding &amp; Budget</w:t>
      </w:r>
    </w:p>
    <w:p w14:paraId="45BB3100">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Insufficient Internally Generated Funds (IGF) mobilization.</w:t>
      </w:r>
    </w:p>
    <w:p w14:paraId="5B575530">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Insufficient and irregular release of the District Assembly Common Fund (DACF).</w:t>
      </w:r>
    </w:p>
    <w:p w14:paraId="4DD1CFA1">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DACF is often undermined by its diversion to support various central government expenditures and initiatives.</w:t>
      </w:r>
    </w:p>
    <w:p w14:paraId="3F9AD4BC">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Department of Agriculture does not benefit from the DDF which prioritises Education and Health.</w:t>
      </w:r>
    </w:p>
    <w:p w14:paraId="3C95741E">
      <w:pPr>
        <w:numPr>
          <w:ilvl w:val="0"/>
          <w:numId w:val="2"/>
        </w:numPr>
        <w:ind w:left="420" w:leftChars="0" w:hanging="4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exclusion of food security as a critical indicator of the Basic Needs Approach used in the formula for the distribution of the DACF may be an aberration.</w:t>
      </w:r>
    </w:p>
    <w:p w14:paraId="2ECD4205">
      <w:pPr>
        <w:jc w:val="both"/>
        <w:rPr>
          <w:rFonts w:hint="default" w:ascii="Times New Roman" w:hAnsi="Times New Roman" w:cs="Times New Roman"/>
          <w:b/>
          <w:bCs/>
          <w:sz w:val="24"/>
          <w:szCs w:val="24"/>
          <w:lang w:val="en-US"/>
        </w:rPr>
      </w:pPr>
    </w:p>
    <w:p w14:paraId="73A45785">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1.3 Planning &amp; Implementation</w:t>
      </w:r>
    </w:p>
    <w:p w14:paraId="3D21FFAD">
      <w:pPr>
        <w:numPr>
          <w:ilvl w:val="0"/>
          <w:numId w:val="2"/>
        </w:numPr>
        <w:ind w:left="420" w:leftChars="0" w:hanging="420" w:firstLineChars="0"/>
        <w:jc w:val="both"/>
        <w:rPr>
          <w:rFonts w:hint="default" w:ascii="Times New Roman" w:hAnsi="Times New Roman"/>
          <w:sz w:val="24"/>
          <w:szCs w:val="24"/>
          <w:lang w:val="en-US"/>
        </w:rPr>
      </w:pPr>
      <w:r>
        <w:rPr>
          <w:rFonts w:hint="default" w:ascii="Times New Roman" w:hAnsi="Times New Roman"/>
          <w:sz w:val="24"/>
          <w:szCs w:val="24"/>
          <w:lang w:val="en-US"/>
        </w:rPr>
        <w:t>Inadequate staffing to implement critical activities and responsibilities at the Department of Agriculture.</w:t>
      </w:r>
    </w:p>
    <w:p w14:paraId="51B3458F">
      <w:pPr>
        <w:numPr>
          <w:ilvl w:val="0"/>
          <w:numId w:val="2"/>
        </w:numPr>
        <w:ind w:left="420" w:leftChars="0" w:hanging="420" w:firstLineChars="0"/>
        <w:jc w:val="both"/>
        <w:rPr>
          <w:rFonts w:hint="default" w:ascii="Times New Roman" w:hAnsi="Times New Roman"/>
          <w:sz w:val="24"/>
          <w:szCs w:val="24"/>
          <w:lang w:val="en-US"/>
        </w:rPr>
      </w:pPr>
      <w:r>
        <w:rPr>
          <w:rFonts w:hint="default" w:ascii="Times New Roman" w:hAnsi="Times New Roman"/>
          <w:sz w:val="24"/>
          <w:szCs w:val="24"/>
          <w:lang w:val="en-US"/>
        </w:rPr>
        <w:t>Setbacks in staff recruitment into the Local Government Service have implications for quality extension service delivery.</w:t>
      </w:r>
    </w:p>
    <w:p w14:paraId="452BACBF">
      <w:pPr>
        <w:numPr>
          <w:ilvl w:val="0"/>
          <w:numId w:val="2"/>
        </w:numPr>
        <w:ind w:left="420" w:leftChars="0" w:hanging="420" w:firstLineChars="0"/>
        <w:jc w:val="both"/>
        <w:rPr>
          <w:rFonts w:hint="default" w:ascii="Times New Roman" w:hAnsi="Times New Roman"/>
          <w:sz w:val="24"/>
          <w:szCs w:val="24"/>
          <w:lang w:val="en-US"/>
        </w:rPr>
      </w:pPr>
      <w:r>
        <w:rPr>
          <w:rFonts w:hint="default" w:ascii="Times New Roman" w:hAnsi="Times New Roman"/>
          <w:sz w:val="24"/>
          <w:szCs w:val="24"/>
          <w:lang w:val="en-US"/>
        </w:rPr>
        <w:t>Inadequate logistical constraints affect staff performance and morale.</w:t>
      </w:r>
    </w:p>
    <w:p w14:paraId="0F1EF3F0">
      <w:pPr>
        <w:numPr>
          <w:ilvl w:val="0"/>
          <w:numId w:val="2"/>
        </w:numPr>
        <w:ind w:left="420" w:leftChars="0" w:hanging="420" w:firstLineChars="0"/>
        <w:jc w:val="both"/>
        <w:rPr>
          <w:rFonts w:hint="default" w:ascii="Times New Roman" w:hAnsi="Times New Roman"/>
          <w:sz w:val="24"/>
          <w:szCs w:val="24"/>
          <w:lang w:val="en-US"/>
        </w:rPr>
      </w:pPr>
      <w:r>
        <w:rPr>
          <w:rFonts w:hint="default" w:ascii="Times New Roman" w:hAnsi="Times New Roman"/>
          <w:sz w:val="24"/>
          <w:szCs w:val="24"/>
          <w:lang w:val="en-US"/>
        </w:rPr>
        <w:t>There is widespread dissatisfaction with the state of participation in decision-making platforms to promote ownership and accountability (i.e Town Hall meetings, Area Council meetings, and Agric review/planning workshops).</w:t>
      </w:r>
    </w:p>
    <w:p w14:paraId="1191918A">
      <w:pPr>
        <w:jc w:val="both"/>
        <w:rPr>
          <w:rFonts w:hint="default" w:ascii="Times New Roman" w:hAnsi="Times New Roman" w:cs="Times New Roman"/>
          <w:b/>
          <w:bCs/>
          <w:sz w:val="24"/>
          <w:szCs w:val="24"/>
          <w:lang w:val="en-US"/>
        </w:rPr>
      </w:pPr>
    </w:p>
    <w:p w14:paraId="6C12B9F2">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1.4 Cross cutting</w:t>
      </w:r>
    </w:p>
    <w:p w14:paraId="3C8540C0">
      <w:pPr>
        <w:numPr>
          <w:ilvl w:val="0"/>
          <w:numId w:val="2"/>
        </w:numPr>
        <w:ind w:left="420" w:leftChars="0" w:hanging="420" w:firstLineChars="0"/>
        <w:jc w:val="both"/>
        <w:rPr>
          <w:rFonts w:hint="default" w:ascii="Times New Roman" w:hAnsi="Times New Roman"/>
          <w:sz w:val="24"/>
          <w:szCs w:val="24"/>
          <w:lang w:val="en-US"/>
        </w:rPr>
      </w:pPr>
      <w:r>
        <w:rPr>
          <w:rFonts w:hint="default" w:ascii="Times New Roman" w:hAnsi="Times New Roman"/>
          <w:sz w:val="24"/>
          <w:szCs w:val="24"/>
          <w:lang w:val="en-US"/>
        </w:rPr>
        <w:t>Some Local Government staff have not internalized the institutional shift from central government to local Assembly, amidst a lack of appreciation of the civil service organogram.</w:t>
      </w:r>
    </w:p>
    <w:p w14:paraId="05DFA355">
      <w:pPr>
        <w:numPr>
          <w:ilvl w:val="0"/>
          <w:numId w:val="2"/>
        </w:numPr>
        <w:ind w:left="420" w:leftChars="0" w:hanging="420" w:firstLineChars="0"/>
        <w:jc w:val="both"/>
        <w:rPr>
          <w:rFonts w:hint="default" w:ascii="Times New Roman" w:hAnsi="Times New Roman"/>
          <w:sz w:val="24"/>
          <w:szCs w:val="24"/>
          <w:lang w:val="en-US"/>
        </w:rPr>
      </w:pPr>
      <w:r>
        <w:rPr>
          <w:rFonts w:hint="default" w:ascii="Times New Roman" w:hAnsi="Times New Roman"/>
          <w:sz w:val="24"/>
          <w:szCs w:val="24"/>
          <w:lang w:val="en-US"/>
        </w:rPr>
        <w:t>Inadequate capacity and structural issues render sub-district structures practically invisible.</w:t>
      </w:r>
    </w:p>
    <w:p w14:paraId="2995968D">
      <w:pPr>
        <w:numPr>
          <w:ilvl w:val="0"/>
          <w:numId w:val="2"/>
        </w:numPr>
        <w:ind w:left="420" w:leftChars="0" w:hanging="420" w:firstLineChars="0"/>
        <w:jc w:val="both"/>
        <w:rPr>
          <w:rFonts w:hint="default" w:ascii="Times New Roman" w:hAnsi="Times New Roman"/>
          <w:sz w:val="24"/>
          <w:szCs w:val="24"/>
          <w:lang w:val="en-US"/>
        </w:rPr>
      </w:pPr>
      <w:r>
        <w:rPr>
          <w:rFonts w:hint="default" w:ascii="Times New Roman" w:hAnsi="Times New Roman"/>
          <w:sz w:val="24"/>
          <w:szCs w:val="24"/>
          <w:lang w:val="en-US"/>
        </w:rPr>
        <w:t>Creation of new local authorities without due recourse to available resources is a major challenge.</w:t>
      </w:r>
    </w:p>
    <w:p w14:paraId="14BE3FD6">
      <w:pPr>
        <w:numPr>
          <w:ilvl w:val="0"/>
          <w:numId w:val="2"/>
        </w:numPr>
        <w:ind w:left="420" w:leftChars="0" w:hanging="420" w:firstLineChars="0"/>
        <w:jc w:val="both"/>
        <w:rPr>
          <w:rFonts w:hint="default" w:ascii="Times New Roman" w:hAnsi="Times New Roman"/>
          <w:sz w:val="24"/>
          <w:szCs w:val="24"/>
          <w:lang w:val="en-US"/>
        </w:rPr>
      </w:pPr>
      <w:r>
        <w:rPr>
          <w:rFonts w:hint="default" w:ascii="Times New Roman" w:hAnsi="Times New Roman"/>
          <w:sz w:val="24"/>
          <w:szCs w:val="24"/>
          <w:lang w:val="en-US"/>
        </w:rPr>
        <w:t>Lack of formal spaces to mainstream local governance structures for both traditional authorities and Civil Society Organizations to engage with MMDAs.</w:t>
      </w:r>
    </w:p>
    <w:p w14:paraId="1555C028">
      <w:pPr>
        <w:numPr>
          <w:ilvl w:val="0"/>
          <w:numId w:val="2"/>
        </w:numPr>
        <w:ind w:left="420" w:leftChars="0" w:hanging="420" w:firstLineChars="0"/>
        <w:jc w:val="both"/>
        <w:rPr>
          <w:rFonts w:hint="default" w:ascii="Times New Roman" w:hAnsi="Times New Roman"/>
          <w:sz w:val="24"/>
          <w:szCs w:val="24"/>
          <w:lang w:val="en-US"/>
        </w:rPr>
      </w:pPr>
      <w:r>
        <w:rPr>
          <w:rFonts w:hint="default" w:ascii="Times New Roman" w:hAnsi="Times New Roman"/>
          <w:sz w:val="24"/>
          <w:szCs w:val="24"/>
          <w:lang w:val="en-US"/>
        </w:rPr>
        <w:t>Lack of formal spaces for private sector actors to engage with MMDAs to foster an enabling business environment to increase commercialization and profitability.</w:t>
      </w:r>
    </w:p>
    <w:p w14:paraId="0773B61F">
      <w:pPr>
        <w:jc w:val="both"/>
        <w:rPr>
          <w:rFonts w:hint="default" w:ascii="Times New Roman" w:hAnsi="Times New Roman" w:cs="Times New Roman"/>
          <w:sz w:val="24"/>
          <w:szCs w:val="24"/>
          <w:lang w:val="en-US"/>
        </w:rPr>
      </w:pPr>
    </w:p>
    <w:p w14:paraId="0730D85B">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2.0 Conclusions</w:t>
      </w:r>
    </w:p>
    <w:p w14:paraId="5B3057CE">
      <w:pPr>
        <w:numPr>
          <w:ilvl w:val="0"/>
          <w:numId w:val="3"/>
        </w:numPr>
        <w:ind w:left="42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Insufficient and irregular flow of funds through the IGF and DACF poses challenges for MMDAs to allocate funds towards engaging sub-district structures in agricultural development planning, design, and management.</w:t>
      </w:r>
    </w:p>
    <w:p w14:paraId="56792267">
      <w:pPr>
        <w:numPr>
          <w:ilvl w:val="0"/>
          <w:numId w:val="3"/>
        </w:numPr>
        <w:ind w:left="42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 xml:space="preserve">The government's flagship programs such as PJF, the source deductions from the DACF for central government expenditures, and the activities of certain donors and development partners seem to hinder the decentralization process and efforts. </w:t>
      </w:r>
    </w:p>
    <w:p w14:paraId="4125154A">
      <w:pPr>
        <w:numPr>
          <w:ilvl w:val="0"/>
          <w:numId w:val="3"/>
        </w:numPr>
        <w:ind w:left="42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Inadequate local participation will hinder accountability, policy implementation, and coordination necessary for sustainable local economic development.</w:t>
      </w:r>
    </w:p>
    <w:p w14:paraId="36B2C6BF">
      <w:pPr>
        <w:numPr>
          <w:ilvl w:val="0"/>
          <w:numId w:val="3"/>
        </w:numPr>
        <w:ind w:left="425" w:leftChars="0" w:hanging="425" w:firstLineChars="0"/>
        <w:jc w:val="both"/>
        <w:rPr>
          <w:rFonts w:hint="default" w:ascii="Times New Roman" w:hAnsi="Times New Roman"/>
          <w:sz w:val="24"/>
          <w:szCs w:val="24"/>
          <w:lang w:val="en-US"/>
        </w:rPr>
      </w:pPr>
      <w:r>
        <w:rPr>
          <w:rFonts w:hint="default" w:ascii="Times New Roman" w:hAnsi="Times New Roman"/>
          <w:sz w:val="24"/>
          <w:szCs w:val="24"/>
          <w:lang w:val="en-US"/>
        </w:rPr>
        <w:t>The apparent discordance between some of the DDAs and the Assemblies may be attributed to individual actors involved rather than a systemic challenge.</w:t>
      </w:r>
    </w:p>
    <w:p w14:paraId="75908155">
      <w:pPr>
        <w:jc w:val="both"/>
        <w:rPr>
          <w:rFonts w:hint="default" w:ascii="Times New Roman" w:hAnsi="Times New Roman" w:cs="Times New Roman"/>
          <w:sz w:val="24"/>
          <w:szCs w:val="24"/>
          <w:lang w:val="en-US"/>
        </w:rPr>
      </w:pPr>
    </w:p>
    <w:p w14:paraId="2A50390F">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3.0 Suggested Recommendations</w:t>
      </w:r>
    </w:p>
    <w:p w14:paraId="072BDF19">
      <w:pPr>
        <w:numPr>
          <w:ilvl w:val="0"/>
          <w:numId w:val="4"/>
        </w:numPr>
        <w:ind w:left="425" w:leftChars="0" w:hanging="425" w:firstLineChars="0"/>
        <w:jc w:val="both"/>
        <w:rPr>
          <w:rFonts w:hint="default" w:ascii="Times New Roman" w:hAnsi="Times New Roman"/>
          <w:sz w:val="24"/>
          <w:szCs w:val="24"/>
          <w:lang w:val="en-US"/>
        </w:rPr>
      </w:pPr>
      <w:r>
        <w:rPr>
          <w:rFonts w:hint="default" w:ascii="Times New Roman" w:hAnsi="Times New Roman"/>
          <w:b/>
          <w:bCs/>
          <w:sz w:val="24"/>
          <w:szCs w:val="24"/>
          <w:lang w:val="en-US"/>
        </w:rPr>
        <w:t>The District Assemblies should promote Local Economic Development</w:t>
      </w:r>
      <w:r>
        <w:rPr>
          <w:rFonts w:hint="default" w:ascii="Times New Roman" w:hAnsi="Times New Roman"/>
          <w:sz w:val="24"/>
          <w:szCs w:val="24"/>
          <w:lang w:val="en-US"/>
        </w:rPr>
        <w:t xml:space="preserve"> by forging partnerships with the private sector and civil society to harness and accelerate the economic potentials of the districts and strengthen the competitiveness of the local private sector. </w:t>
      </w:r>
    </w:p>
    <w:p w14:paraId="6C9A7487">
      <w:pPr>
        <w:numPr>
          <w:ilvl w:val="0"/>
          <w:numId w:val="4"/>
        </w:numPr>
        <w:ind w:left="425" w:leftChars="0" w:hanging="425" w:firstLineChars="0"/>
        <w:jc w:val="both"/>
        <w:rPr>
          <w:rFonts w:hint="default" w:ascii="Times New Roman" w:hAnsi="Times New Roman"/>
          <w:sz w:val="24"/>
          <w:szCs w:val="24"/>
          <w:lang w:val="en-US"/>
        </w:rPr>
      </w:pPr>
      <w:r>
        <w:rPr>
          <w:rFonts w:hint="default" w:ascii="Times New Roman" w:hAnsi="Times New Roman"/>
          <w:b/>
          <w:bCs/>
          <w:sz w:val="24"/>
          <w:szCs w:val="24"/>
          <w:lang w:val="en-US"/>
        </w:rPr>
        <w:t>The District Assemblies should leverage digital innovations to improve Internally Generated Funds (IGF)</w:t>
      </w:r>
      <w:r>
        <w:rPr>
          <w:rFonts w:hint="default" w:ascii="Times New Roman" w:hAnsi="Times New Roman"/>
          <w:sz w:val="24"/>
          <w:szCs w:val="24"/>
          <w:lang w:val="en-US"/>
        </w:rPr>
        <w:t xml:space="preserve"> to deal with revenue leakages, enforcing tax laws, maintaining robust data of revenue sources in the district and implementing effective monitoring systems.</w:t>
      </w:r>
    </w:p>
    <w:p w14:paraId="428B0DF5">
      <w:pPr>
        <w:numPr>
          <w:ilvl w:val="0"/>
          <w:numId w:val="4"/>
        </w:numPr>
        <w:ind w:left="425" w:leftChars="0" w:hanging="425" w:firstLineChars="0"/>
        <w:jc w:val="both"/>
        <w:rPr>
          <w:rFonts w:hint="default" w:ascii="Times New Roman" w:hAnsi="Times New Roman"/>
          <w:sz w:val="24"/>
          <w:szCs w:val="24"/>
          <w:lang w:val="en-US"/>
        </w:rPr>
      </w:pPr>
      <w:r>
        <w:rPr>
          <w:rFonts w:hint="default" w:ascii="Times New Roman" w:hAnsi="Times New Roman"/>
          <w:b/>
          <w:bCs/>
          <w:sz w:val="24"/>
          <w:szCs w:val="24"/>
          <w:lang w:val="en-US"/>
        </w:rPr>
        <w:t>Government should ensure regular and timely disbursement of funds to the DACF</w:t>
      </w:r>
      <w:r>
        <w:rPr>
          <w:rFonts w:hint="default" w:ascii="Times New Roman" w:hAnsi="Times New Roman"/>
          <w:sz w:val="24"/>
          <w:szCs w:val="24"/>
          <w:lang w:val="en-US"/>
        </w:rPr>
        <w:t xml:space="preserve"> to facilitate efficient functioning of the District Assemblies.</w:t>
      </w:r>
    </w:p>
    <w:p w14:paraId="3E15AA37">
      <w:pPr>
        <w:numPr>
          <w:ilvl w:val="0"/>
          <w:numId w:val="4"/>
        </w:numPr>
        <w:ind w:left="425" w:leftChars="0" w:hanging="425" w:firstLineChars="0"/>
        <w:jc w:val="both"/>
        <w:rPr>
          <w:rFonts w:hint="default" w:ascii="Times New Roman" w:hAnsi="Times New Roman"/>
          <w:sz w:val="24"/>
          <w:szCs w:val="24"/>
          <w:lang w:val="en-US"/>
        </w:rPr>
      </w:pPr>
      <w:r>
        <w:rPr>
          <w:rFonts w:hint="default" w:ascii="Times New Roman" w:hAnsi="Times New Roman"/>
          <w:b/>
          <w:bCs/>
          <w:sz w:val="24"/>
          <w:szCs w:val="24"/>
          <w:lang w:val="en-US"/>
        </w:rPr>
        <w:t>The DACF Administrator should review the formula for sharing the DACF</w:t>
      </w:r>
      <w:r>
        <w:rPr>
          <w:rFonts w:hint="default" w:ascii="Times New Roman" w:hAnsi="Times New Roman"/>
          <w:sz w:val="24"/>
          <w:szCs w:val="24"/>
          <w:lang w:val="en-US"/>
        </w:rPr>
        <w:t xml:space="preserve"> by incorporating food security as a critical indicator within the "Basic Needs" approach to development.</w:t>
      </w:r>
    </w:p>
    <w:p w14:paraId="27AA7C66">
      <w:pPr>
        <w:numPr>
          <w:ilvl w:val="0"/>
          <w:numId w:val="4"/>
        </w:numPr>
        <w:ind w:left="425" w:leftChars="0" w:hanging="425" w:firstLineChars="0"/>
        <w:jc w:val="both"/>
        <w:rPr>
          <w:rFonts w:hint="default" w:ascii="Times New Roman" w:hAnsi="Times New Roman"/>
          <w:sz w:val="24"/>
          <w:szCs w:val="24"/>
          <w:lang w:val="en-US"/>
        </w:rPr>
      </w:pPr>
      <w:r>
        <w:rPr>
          <w:rFonts w:hint="default" w:ascii="Times New Roman" w:hAnsi="Times New Roman"/>
          <w:b/>
          <w:bCs/>
          <w:sz w:val="24"/>
          <w:szCs w:val="24"/>
          <w:lang w:val="en-US"/>
        </w:rPr>
        <w:t>Development partners should facilitate the establishment of public/private dialogue (PPD) platforms</w:t>
      </w:r>
      <w:r>
        <w:rPr>
          <w:rFonts w:hint="default" w:ascii="Times New Roman" w:hAnsi="Times New Roman"/>
          <w:sz w:val="24"/>
          <w:szCs w:val="24"/>
          <w:lang w:val="en-US"/>
        </w:rPr>
        <w:t xml:space="preserve"> to promote good governance, foster a conducive business environment, and stimulate an entrepreneurial ecosystem.</w:t>
      </w:r>
    </w:p>
    <w:p w14:paraId="45F2CF88">
      <w:pPr>
        <w:numPr>
          <w:ilvl w:val="0"/>
          <w:numId w:val="4"/>
        </w:numPr>
        <w:ind w:left="425" w:leftChars="0" w:hanging="425" w:firstLineChars="0"/>
        <w:jc w:val="both"/>
        <w:rPr>
          <w:rFonts w:hint="default" w:ascii="Times New Roman" w:hAnsi="Times New Roman"/>
          <w:sz w:val="24"/>
          <w:szCs w:val="24"/>
          <w:lang w:val="en-US"/>
        </w:rPr>
      </w:pPr>
      <w:r>
        <w:rPr>
          <w:rFonts w:hint="default" w:ascii="Times New Roman" w:hAnsi="Times New Roman"/>
          <w:b/>
          <w:bCs/>
          <w:sz w:val="24"/>
          <w:szCs w:val="24"/>
          <w:lang w:val="en-US"/>
        </w:rPr>
        <w:t>The Parliament of Ghana should impose moratorium on the creation of new districts</w:t>
      </w:r>
      <w:r>
        <w:rPr>
          <w:rFonts w:hint="default" w:ascii="Times New Roman" w:hAnsi="Times New Roman"/>
          <w:sz w:val="24"/>
          <w:szCs w:val="24"/>
          <w:lang w:val="en-US"/>
        </w:rPr>
        <w:t xml:space="preserve"> until existing local governments are adequately staffed and financed to provide improved services.</w:t>
      </w:r>
    </w:p>
    <w:p w14:paraId="255FBDB0">
      <w:pPr>
        <w:numPr>
          <w:ilvl w:val="0"/>
          <w:numId w:val="4"/>
        </w:numPr>
        <w:ind w:left="425" w:leftChars="0" w:hanging="425" w:firstLineChars="0"/>
        <w:jc w:val="both"/>
        <w:rPr>
          <w:rFonts w:hint="default" w:ascii="Times New Roman" w:hAnsi="Times New Roman"/>
          <w:sz w:val="24"/>
          <w:szCs w:val="24"/>
          <w:lang w:val="en-US"/>
        </w:rPr>
      </w:pPr>
      <w:r>
        <w:rPr>
          <w:rFonts w:hint="default" w:ascii="Times New Roman" w:hAnsi="Times New Roman"/>
          <w:b/>
          <w:bCs/>
          <w:sz w:val="24"/>
          <w:szCs w:val="24"/>
          <w:lang w:val="en-US"/>
        </w:rPr>
        <w:t>Development partners should leverage pre-existing coordination structures</w:t>
      </w:r>
      <w:r>
        <w:rPr>
          <w:rFonts w:hint="default" w:ascii="Times New Roman" w:hAnsi="Times New Roman"/>
          <w:sz w:val="24"/>
          <w:szCs w:val="24"/>
          <w:lang w:val="en-US"/>
        </w:rPr>
        <w:t xml:space="preserve"> to strengthen coordination mechanisms at the Assemblies.</w:t>
      </w:r>
    </w:p>
    <w:p w14:paraId="0ADF9E4B">
      <w:pPr>
        <w:numPr>
          <w:ilvl w:val="0"/>
          <w:numId w:val="4"/>
        </w:numPr>
        <w:ind w:left="425" w:leftChars="0" w:hanging="425" w:firstLineChars="0"/>
        <w:jc w:val="both"/>
        <w:rPr>
          <w:rFonts w:hint="default" w:ascii="Times New Roman" w:hAnsi="Times New Roman"/>
          <w:sz w:val="24"/>
          <w:szCs w:val="24"/>
          <w:lang w:val="en-US"/>
        </w:rPr>
      </w:pPr>
      <w:r>
        <w:rPr>
          <w:rFonts w:hint="default" w:ascii="Times New Roman" w:hAnsi="Times New Roman"/>
          <w:b/>
          <w:bCs/>
          <w:sz w:val="24"/>
          <w:szCs w:val="24"/>
          <w:lang w:val="en-US"/>
        </w:rPr>
        <w:t>The District Assemblies are encouraged to explore efficient ways to promote popular participation</w:t>
      </w:r>
      <w:r>
        <w:rPr>
          <w:rFonts w:hint="default" w:ascii="Times New Roman" w:hAnsi="Times New Roman"/>
          <w:sz w:val="24"/>
          <w:szCs w:val="24"/>
          <w:lang w:val="en-US"/>
        </w:rPr>
        <w:t xml:space="preserve"> through civic education to reinforce citizens' awareness of their civic rights.</w:t>
      </w:r>
    </w:p>
    <w:p w14:paraId="60A076F5">
      <w:pPr>
        <w:jc w:val="both"/>
        <w:rPr>
          <w:rFonts w:hint="default" w:ascii="Times New Roman" w:hAnsi="Times New Roman" w:cs="Times New Roman"/>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6764B"/>
    <w:multiLevelType w:val="singleLevel"/>
    <w:tmpl w:val="FC76764B"/>
    <w:lvl w:ilvl="0" w:tentative="0">
      <w:start w:val="1"/>
      <w:numFmt w:val="lowerRoman"/>
      <w:lvlText w:val="%1."/>
      <w:lvlJc w:val="left"/>
      <w:pPr>
        <w:tabs>
          <w:tab w:val="left" w:pos="425"/>
        </w:tabs>
        <w:ind w:left="425" w:leftChars="0" w:hanging="425" w:firstLineChars="0"/>
      </w:pPr>
      <w:rPr>
        <w:rFonts w:hint="default"/>
      </w:rPr>
    </w:lvl>
  </w:abstractNum>
  <w:abstractNum w:abstractNumId="1">
    <w:nsid w:val="03AD9469"/>
    <w:multiLevelType w:val="singleLevel"/>
    <w:tmpl w:val="03AD946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1859234A"/>
    <w:multiLevelType w:val="singleLevel"/>
    <w:tmpl w:val="1859234A"/>
    <w:lvl w:ilvl="0" w:tentative="0">
      <w:start w:val="1"/>
      <w:numFmt w:val="lowerRoman"/>
      <w:lvlText w:val="%1."/>
      <w:lvlJc w:val="left"/>
      <w:pPr>
        <w:tabs>
          <w:tab w:val="left" w:pos="425"/>
        </w:tabs>
        <w:ind w:left="425" w:leftChars="0" w:hanging="425" w:firstLineChars="0"/>
      </w:pPr>
      <w:rPr>
        <w:rFonts w:hint="default"/>
      </w:rPr>
    </w:lvl>
  </w:abstractNum>
  <w:abstractNum w:abstractNumId="3">
    <w:nsid w:val="7A6063D2"/>
    <w:multiLevelType w:val="singleLevel"/>
    <w:tmpl w:val="7A6063D2"/>
    <w:lvl w:ilvl="0" w:tentative="0">
      <w:start w:val="1"/>
      <w:numFmt w:val="lowerRoman"/>
      <w:lvlText w:val="%1."/>
      <w:lvlJc w:val="left"/>
      <w:pPr>
        <w:tabs>
          <w:tab w:val="left" w:pos="425"/>
        </w:tabs>
        <w:ind w:left="425" w:leftChars="0" w:hanging="425" w:firstLineChars="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B778B"/>
    <w:rsid w:val="02F16168"/>
    <w:rsid w:val="10BC3585"/>
    <w:rsid w:val="13BA0EE5"/>
    <w:rsid w:val="1FD510D9"/>
    <w:rsid w:val="218741E1"/>
    <w:rsid w:val="23CB2CC8"/>
    <w:rsid w:val="266B778B"/>
    <w:rsid w:val="3EF87AFD"/>
    <w:rsid w:val="4E7901B1"/>
    <w:rsid w:val="63945E89"/>
    <w:rsid w:val="6F040F2F"/>
    <w:rsid w:val="785C1EDA"/>
    <w:rsid w:val="7FC0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123</TotalTime>
  <ScaleCrop>false</ScaleCrop>
  <LinksUpToDate>false</LinksUpToDate>
  <CharactersWithSpaces>0</CharactersWithSpaces>
  <Application>WPS Office_12.2.0.23201_F1E327BC-269C-435d-A152-05C5408002CA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2024-02-09T22:58:00Z</dcterms:created>
  <dc:creator>Anonymous</dc:creator>
  <cp:lastModifiedBy>Author</cp:lastModifiedBy>
  <dcterms:modified xsi:type="dcterms:W3CDTF">2026-04-20T14:38:32Z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1033-12.2.0.23201</vt:lpwstr>
  </property>
  <property fmtid="{D5CDD505-2E9C-101B-9397-08002B2CF9AE}" pid="3" name="ICV">
    <vt:lpwstr>749ACA8977444A938CF31263011B61F0_13</vt:lpwstr>
  </property>
</Properties>
</file>