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ACBB" w14:textId="77777777" w:rsidR="00C60B49" w:rsidRPr="005A59EB" w:rsidRDefault="00C60B49" w:rsidP="00C60B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Supplemental table 2</w:t>
      </w:r>
      <w:r w:rsidRPr="005A59EB">
        <w:rPr>
          <w:rFonts w:ascii="Times New Roman" w:hAnsi="Times New Roman" w:cs="Times New Roman"/>
          <w:b/>
          <w:bCs/>
          <w:sz w:val="24"/>
          <w:szCs w:val="24"/>
        </w:rPr>
        <w:t>. Univariable analysis comparison of factors associated with endovascular treatment cohort</w:t>
      </w:r>
    </w:p>
    <w:tbl>
      <w:tblPr>
        <w:tblStyle w:val="Tablaconcuadrcula"/>
        <w:tblW w:w="10915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134"/>
        <w:gridCol w:w="1134"/>
        <w:gridCol w:w="1276"/>
        <w:gridCol w:w="992"/>
      </w:tblGrid>
      <w:tr w:rsidR="00C60B49" w:rsidRPr="005A59EB" w14:paraId="3A04DFD8" w14:textId="77777777" w:rsidTr="007D5038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A6344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Group of treatment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EFFAB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Recurrence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32667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50AD2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Reintervention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CE61E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C60B49" w:rsidRPr="005A59EB" w14:paraId="6724A3C2" w14:textId="77777777" w:rsidTr="007D5038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C3E3A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3254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Yes n=21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392A4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 n=121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540E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0E5295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Yes n=20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3127F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 n=122 (%) </w:t>
            </w:r>
            <w:r w:rsidRPr="005A59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±</w:t>
            </w: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69490F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57BBA8FE" w14:textId="77777777" w:rsidTr="007D5038"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B251E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Moment of the embolization</w:t>
            </w:r>
          </w:p>
        </w:tc>
      </w:tr>
      <w:tr w:rsidR="00C60B49" w:rsidRPr="005A59EB" w14:paraId="7C7CEDA3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4F01D9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Previous the Surgery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06B90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(28.57)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F5EBA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20 (16.52)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5F68B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424EDE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D8483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22 (18.03)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56DD8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0.100</w:t>
            </w:r>
          </w:p>
        </w:tc>
      </w:tr>
      <w:tr w:rsidR="00C60B49" w:rsidRPr="005A59EB" w14:paraId="7C8E6A31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FB57A81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After the Surgery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2988A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9 (42.86)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6BFD5A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70 (58.85)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3569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7E949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7 (35)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17FAC3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70 (57.37)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BFFBB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044E900D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8CE204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Only embolization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C7BC5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(28.57)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9176C6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31 (25.61)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867F0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C49F3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7 (35)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DC3A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32 (26.22)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68A26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6E43689B" w14:textId="77777777" w:rsidTr="007D5038"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F8F7B3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Vascular access route</w:t>
            </w:r>
          </w:p>
        </w:tc>
      </w:tr>
      <w:tr w:rsidR="00C60B49" w:rsidRPr="005A59EB" w14:paraId="08B2C353" w14:textId="77777777" w:rsidTr="007D5038">
        <w:trPr>
          <w:trHeight w:val="37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10E404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Femoral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0841E6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21 (100)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1D4E33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111 (91.74)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1E1DA1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63A97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20 (100)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691D5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112 (91.80)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8384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0.184</w:t>
            </w:r>
          </w:p>
        </w:tc>
      </w:tr>
      <w:tr w:rsidR="00C60B49" w:rsidRPr="005A59EB" w14:paraId="5AAC7C65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CFBF2FC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Radial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A59159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C60171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10 (8.26)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1F424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6FC35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A7107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10 (8.20)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05151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2CF449CE" w14:textId="77777777" w:rsidTr="007D5038"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2D2514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Embolic material</w:t>
            </w:r>
          </w:p>
        </w:tc>
      </w:tr>
      <w:tr w:rsidR="00C60B49" w:rsidRPr="005A59EB" w14:paraId="79267015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2C04000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Coils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640383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(14.28)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E78551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 (6.61)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F24E43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B1585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983444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 (6.61)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19E301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0.026</w:t>
            </w:r>
          </w:p>
        </w:tc>
      </w:tr>
      <w:tr w:rsidR="00C60B49" w:rsidRPr="005A59EB" w14:paraId="417F15A3" w14:textId="77777777" w:rsidTr="007D5038">
        <w:trPr>
          <w:trHeight w:val="23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A6C3D9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Onyx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2B43D29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10 (47.61)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9B4C39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42 (34.71)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809F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33FC3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12 (60)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607504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41 (25,40)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617E3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08CA56B8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6DF491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Cyanoacrylate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4C3D2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 (9.52)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3D3299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29 (29.96)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05B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18E2C1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BFB75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31 (25.62)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96B69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7DBFBA45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6D8478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Microparticles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7FCF33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(4.76)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3CCF09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26 (21.48)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F819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7C028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79F28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25 (20.49)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5AC836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6DE4D931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59F688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Phill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5396D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(4.76)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CEDBB3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5 (4.13)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CF25F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F12B1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0EAC1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(4.96)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D5BBB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075F3C64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F6D18D8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Squid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5F13FA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 (19.04)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8E1AE3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 (19.05)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AA51B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E2F8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 (20)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430C0A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 (6.61)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1B0FA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7B33B399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B9C8C70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Menox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FC482C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DAAB5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(0.82)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C23B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22E7AA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31E49D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(0.83)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371DC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618DD9D2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97DFB02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Phill + Cyanoacrylate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1132A1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43385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 (1.65)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5E024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0479D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C28F1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(0.83)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71282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475649E0" w14:textId="77777777" w:rsidTr="007D5038"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EA29E7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Embolic material subtype</w:t>
            </w:r>
          </w:p>
        </w:tc>
      </w:tr>
      <w:tr w:rsidR="00C60B49" w:rsidRPr="005A59EB" w14:paraId="206E0064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45CF0BD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Coils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C8C5EC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(14.28)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1BA84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 (6.61)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4161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A0702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(15)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FC9EA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 (6.61)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5F55D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0.138</w:t>
            </w:r>
          </w:p>
        </w:tc>
      </w:tr>
      <w:tr w:rsidR="00C60B49" w:rsidRPr="005A59EB" w14:paraId="07AF1C48" w14:textId="77777777" w:rsidTr="007D5038">
        <w:trPr>
          <w:trHeight w:val="9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11AE9B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Microparticles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C644594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(4.76)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CE0D5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26 (21.48)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39762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3341F8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 (5)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76D03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25 (20.49)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E910B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0FDC85D7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3DC9BFE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Liquid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59551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17 (80.95)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210EF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83 (68.59)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816DC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1DCF2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16 (20)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A626C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88 (72.13)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970E3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242D2079" w14:textId="77777777" w:rsidTr="007D5038"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0746A0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Catheter position before embolization</w:t>
            </w:r>
          </w:p>
        </w:tc>
      </w:tr>
      <w:tr w:rsidR="00C60B49" w:rsidRPr="005A59EB" w14:paraId="3C9FEEF3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2438C35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Origin of the MMA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6CDA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7 (33.33)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ED72F1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40 (33.05)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5F3C2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36B4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8 (40)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08744B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39 (31.96)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648DC7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0.192</w:t>
            </w:r>
          </w:p>
        </w:tc>
      </w:tr>
      <w:tr w:rsidR="00C60B49" w:rsidRPr="005A59EB" w14:paraId="364A2653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E9EAA15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Anterior division of the MMA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EFBE40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(28.57)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624FD4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21 (17.35)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9D42C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184A39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6 (30)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E45CC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21 (17.21)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8F420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11ED6116" w14:textId="77777777" w:rsidTr="007D503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5AD088E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Posterior division of the MMA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A2E1796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3 (14.28)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4BB3D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14 (11.57)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E99CB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9EC90E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 (10)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93DC6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14 (11.47)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C203C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0B49" w:rsidRPr="005A59EB" w14:paraId="69864EEA" w14:textId="77777777" w:rsidTr="007D5038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240D0" w14:textId="77777777" w:rsidR="00C60B49" w:rsidRPr="005A59EB" w:rsidRDefault="00C60B49" w:rsidP="007D5038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A59EB">
              <w:rPr>
                <w:rStyle w:val="Textoennegrita"/>
                <w:rFonts w:ascii="Times New Roman" w:hAnsi="Times New Roman" w:cs="Times New Roman"/>
                <w:sz w:val="20"/>
                <w:szCs w:val="20"/>
              </w:rPr>
              <w:t>Anterior + posterior divisions of the MMA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D5D45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5  (</w:t>
            </w:r>
            <w:proofErr w:type="gramEnd"/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23.80)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FD8D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46 (38.01)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F63FD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BA23F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 (20)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33B6" w14:textId="77777777" w:rsidR="00C60B49" w:rsidRPr="005A59EB" w:rsidRDefault="00C60B49" w:rsidP="007D50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59EB">
              <w:rPr>
                <w:rFonts w:ascii="Times New Roman" w:hAnsi="Times New Roman" w:cs="Times New Roman"/>
                <w:sz w:val="20"/>
                <w:szCs w:val="20"/>
              </w:rPr>
              <w:t>47 (38.52)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8AB74" w14:textId="77777777" w:rsidR="00C60B49" w:rsidRPr="005A59EB" w:rsidRDefault="00C60B49" w:rsidP="007D50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08E55AD" w14:textId="77777777" w:rsidR="00C60B49" w:rsidRPr="004B2A26" w:rsidRDefault="00C60B49" w:rsidP="00C60B4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007F50" w14:textId="77777777" w:rsidR="00907E1A" w:rsidRDefault="00907E1A"/>
    <w:sectPr w:rsidR="00907E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EC"/>
    <w:rsid w:val="001F4BEC"/>
    <w:rsid w:val="00907E1A"/>
    <w:rsid w:val="00C6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CDA56-7ED6-4956-B183-B587DBA0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49"/>
    <w:pPr>
      <w:spacing w:after="0" w:line="276" w:lineRule="auto"/>
    </w:pPr>
    <w:rPr>
      <w:rFonts w:ascii="Arial" w:eastAsia="Arial" w:hAnsi="Arial" w:cs="Arial"/>
      <w:lang w:val="en-U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0B4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C60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Luzardo</dc:creator>
  <cp:keywords/>
  <dc:description/>
  <cp:lastModifiedBy>Cesar Luzardo</cp:lastModifiedBy>
  <cp:revision>2</cp:revision>
  <dcterms:created xsi:type="dcterms:W3CDTF">2026-04-07T15:48:00Z</dcterms:created>
  <dcterms:modified xsi:type="dcterms:W3CDTF">2026-04-07T15:49:00Z</dcterms:modified>
</cp:coreProperties>
</file>