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122100" w14:textId="77777777" w:rsidR="009C0020" w:rsidRDefault="009C0020" w:rsidP="009C0020">
      <w:pPr>
        <w:jc w:val="center"/>
        <w:rPr>
          <w:color w:val="C00000"/>
          <w:sz w:val="32"/>
          <w:szCs w:val="32"/>
        </w:rPr>
      </w:pPr>
      <w:bookmarkStart w:id="0" w:name="_Hlk222238339"/>
      <w:bookmarkEnd w:id="0"/>
      <w:r>
        <w:rPr>
          <w:color w:val="C00000"/>
          <w:sz w:val="32"/>
          <w:szCs w:val="32"/>
        </w:rPr>
        <w:t>Future scenarios for the cost of capital for energy technologies linked to the Shared Socioeconomic Pathways</w:t>
      </w:r>
    </w:p>
    <w:p w14:paraId="10CD85D0" w14:textId="77777777" w:rsidR="009C0020" w:rsidRDefault="009C0020" w:rsidP="009C0020">
      <w:pPr>
        <w:jc w:val="center"/>
        <w:rPr>
          <w:color w:val="C00000"/>
          <w:sz w:val="32"/>
          <w:szCs w:val="32"/>
        </w:rPr>
      </w:pPr>
    </w:p>
    <w:p w14:paraId="24FFDD4C" w14:textId="71CEA0C4" w:rsidR="009C0020" w:rsidRDefault="009C0020" w:rsidP="009C0020">
      <w:pPr>
        <w:jc w:val="center"/>
        <w:rPr>
          <w:color w:val="C00000"/>
          <w:sz w:val="32"/>
          <w:szCs w:val="32"/>
        </w:rPr>
      </w:pPr>
      <w:r>
        <w:rPr>
          <w:color w:val="C00000"/>
          <w:sz w:val="32"/>
          <w:szCs w:val="32"/>
        </w:rPr>
        <w:t>Supplementary Material</w:t>
      </w:r>
    </w:p>
    <w:p w14:paraId="651040B7" w14:textId="77777777" w:rsidR="00C51400" w:rsidRDefault="00C51400"/>
    <w:p w14:paraId="48EBF9E8" w14:textId="1542036A" w:rsidR="006A0147" w:rsidRDefault="005E6DAF" w:rsidP="006A0147">
      <w:pPr>
        <w:keepNext/>
      </w:pPr>
      <w:r>
        <w:rPr>
          <w:noProof/>
        </w:rPr>
        <w:drawing>
          <wp:inline distT="0" distB="0" distL="0" distR="0" wp14:anchorId="423F03A3" wp14:editId="198C33D3">
            <wp:extent cx="1850184" cy="5040000"/>
            <wp:effectExtent l="0" t="0" r="4445" b="1905"/>
            <wp:docPr id="1516474852" name="Picture 3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74852" name="Picture 34" descr="A map of the worl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50184" cy="5040000"/>
                    </a:xfrm>
                    <a:prstGeom prst="rect">
                      <a:avLst/>
                    </a:prstGeom>
                  </pic:spPr>
                </pic:pic>
              </a:graphicData>
            </a:graphic>
          </wp:inline>
        </w:drawing>
      </w:r>
      <w:r>
        <w:rPr>
          <w:noProof/>
        </w:rPr>
        <w:drawing>
          <wp:inline distT="0" distB="0" distL="0" distR="0" wp14:anchorId="757A9FED" wp14:editId="2FD39D47">
            <wp:extent cx="1850191" cy="5040000"/>
            <wp:effectExtent l="0" t="0" r="4445" b="1905"/>
            <wp:docPr id="1166718513" name="Picture 3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718513" name="Picture 35" descr="A map of the worl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50191" cy="5040000"/>
                    </a:xfrm>
                    <a:prstGeom prst="rect">
                      <a:avLst/>
                    </a:prstGeom>
                  </pic:spPr>
                </pic:pic>
              </a:graphicData>
            </a:graphic>
          </wp:inline>
        </w:drawing>
      </w:r>
      <w:r>
        <w:rPr>
          <w:noProof/>
        </w:rPr>
        <w:drawing>
          <wp:inline distT="0" distB="0" distL="0" distR="0" wp14:anchorId="2089B8AD" wp14:editId="7688978E">
            <wp:extent cx="1850191" cy="5040000"/>
            <wp:effectExtent l="0" t="0" r="4445" b="1905"/>
            <wp:docPr id="1438452009" name="Picture 36"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52009" name="Picture 36" descr="A map of the world&#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0191" cy="5040000"/>
                    </a:xfrm>
                    <a:prstGeom prst="rect">
                      <a:avLst/>
                    </a:prstGeom>
                  </pic:spPr>
                </pic:pic>
              </a:graphicData>
            </a:graphic>
          </wp:inline>
        </w:drawing>
      </w:r>
    </w:p>
    <w:p w14:paraId="1FDF1D8A" w14:textId="08DEB85D" w:rsidR="006A0147" w:rsidRDefault="006A0147" w:rsidP="006A0147">
      <w:pPr>
        <w:pStyle w:val="Caption"/>
      </w:pPr>
      <w:r>
        <w:t xml:space="preserve">Figure </w:t>
      </w:r>
      <w:fldSimple w:instr=" SEQ Figure \* ARABIC ">
        <w:r w:rsidR="00DB186A">
          <w:rPr>
            <w:noProof/>
          </w:rPr>
          <w:t>1</w:t>
        </w:r>
      </w:fldSimple>
      <w:r w:rsidR="00C45219">
        <w:t xml:space="preserve">: </w:t>
      </w:r>
      <w:r w:rsidR="00C45219">
        <w:t xml:space="preserve">Geographic distribution of the cost of capital for </w:t>
      </w:r>
      <w:r w:rsidR="00C45219">
        <w:t xml:space="preserve">First </w:t>
      </w:r>
      <w:proofErr w:type="gramStart"/>
      <w:r w:rsidR="00C45219">
        <w:t>Of</w:t>
      </w:r>
      <w:proofErr w:type="gramEnd"/>
      <w:r w:rsidR="00C45219">
        <w:t xml:space="preserve"> A Kind (FOAK</w:t>
      </w:r>
      <w:r w:rsidR="00EF204F">
        <w:t>, TRL8</w:t>
      </w:r>
      <w:r w:rsidR="00C45219">
        <w:t xml:space="preserve">) </w:t>
      </w:r>
      <w:r w:rsidR="00C45219">
        <w:t xml:space="preserve">energy technologies with Strong policy support by Shared Socioeconomic Pathway, for 2030, 2050 and 2100. Data gaps correspond to countries that either do not have GDP per capita projections under the SSP scenarios (e.g., Venezuela, Syria) and/or are not rated due to </w:t>
      </w:r>
      <w:r w:rsidR="00C45219">
        <w:t>non-sovereignty</w:t>
      </w:r>
      <w:r w:rsidR="00C45219">
        <w:t xml:space="preserve">. Countries without a rating and corresponding country risk premium in the Damodaran database were set to Ca in Moody’s rating (one notch above default). </w:t>
      </w:r>
      <w:r w:rsidR="00C45219">
        <w:t>Weak policy support increases the cost of capital between 2 – 3 % depending on the debt share and corporate tax rating.</w:t>
      </w:r>
    </w:p>
    <w:p w14:paraId="2F2260CC" w14:textId="77777777" w:rsidR="009C0020" w:rsidRDefault="009C0020"/>
    <w:p w14:paraId="4A34ED3F" w14:textId="06ED8324" w:rsidR="006A0147" w:rsidRDefault="005E6DAF" w:rsidP="006A0147">
      <w:pPr>
        <w:keepNext/>
      </w:pPr>
      <w:r>
        <w:rPr>
          <w:noProof/>
        </w:rPr>
        <w:lastRenderedPageBreak/>
        <w:drawing>
          <wp:inline distT="0" distB="0" distL="0" distR="0" wp14:anchorId="3367455D" wp14:editId="44F4307D">
            <wp:extent cx="1776865" cy="3960000"/>
            <wp:effectExtent l="0" t="0" r="1270" b="2540"/>
            <wp:docPr id="663593476" name="Picture 37"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93476" name="Picture 37" descr="A map of the worl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76865" cy="3960000"/>
                    </a:xfrm>
                    <a:prstGeom prst="rect">
                      <a:avLst/>
                    </a:prstGeom>
                  </pic:spPr>
                </pic:pic>
              </a:graphicData>
            </a:graphic>
          </wp:inline>
        </w:drawing>
      </w:r>
      <w:r>
        <w:rPr>
          <w:noProof/>
        </w:rPr>
        <w:drawing>
          <wp:inline distT="0" distB="0" distL="0" distR="0" wp14:anchorId="1AB6D230" wp14:editId="2D7AE6AF">
            <wp:extent cx="1776865" cy="3960000"/>
            <wp:effectExtent l="0" t="0" r="1270" b="2540"/>
            <wp:docPr id="891638924" name="Picture 38"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638924" name="Picture 38" descr="A map of the worl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6865" cy="3960000"/>
                    </a:xfrm>
                    <a:prstGeom prst="rect">
                      <a:avLst/>
                    </a:prstGeom>
                  </pic:spPr>
                </pic:pic>
              </a:graphicData>
            </a:graphic>
          </wp:inline>
        </w:drawing>
      </w:r>
      <w:r>
        <w:rPr>
          <w:noProof/>
        </w:rPr>
        <w:drawing>
          <wp:inline distT="0" distB="0" distL="0" distR="0" wp14:anchorId="60CCBC71" wp14:editId="02F56174">
            <wp:extent cx="1776865" cy="3960000"/>
            <wp:effectExtent l="0" t="0" r="1270" b="2540"/>
            <wp:docPr id="745169535" name="Picture 39"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69535" name="Picture 39" descr="A map of the worl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6865" cy="3960000"/>
                    </a:xfrm>
                    <a:prstGeom prst="rect">
                      <a:avLst/>
                    </a:prstGeom>
                  </pic:spPr>
                </pic:pic>
              </a:graphicData>
            </a:graphic>
          </wp:inline>
        </w:drawing>
      </w:r>
    </w:p>
    <w:p w14:paraId="6B7E7961" w14:textId="79104965" w:rsidR="006A0147" w:rsidRDefault="006A0147" w:rsidP="006A0147">
      <w:pPr>
        <w:pStyle w:val="Caption"/>
      </w:pPr>
      <w:r>
        <w:t xml:space="preserve">Figure </w:t>
      </w:r>
      <w:fldSimple w:instr=" SEQ Figure \* ARABIC ">
        <w:r w:rsidR="00DB186A">
          <w:rPr>
            <w:noProof/>
          </w:rPr>
          <w:t>2</w:t>
        </w:r>
      </w:fldSimple>
      <w:r w:rsidR="00F009B3">
        <w:t xml:space="preserve">: </w:t>
      </w:r>
      <w:r w:rsidR="00F009B3">
        <w:t xml:space="preserve">Geographic distribution of the cost of capital for </w:t>
      </w:r>
      <w:r w:rsidR="00F009B3">
        <w:t>Early Commercial</w:t>
      </w:r>
      <w:r w:rsidR="00F009B3">
        <w:t xml:space="preserve"> energy technologies </w:t>
      </w:r>
      <w:r w:rsidR="00EF204F">
        <w:t xml:space="preserve">(TRL 9) </w:t>
      </w:r>
      <w:r w:rsidR="00F009B3">
        <w:t>with Strong policy support by Shared Socioeconomic Pathway, for 2030, 2050 and 2100. Data gaps correspond to countries that either do not have GDP per capita projections under the SSP scenarios (e.g., Venezuela, Syria) and/or are not rated due to non-sovereignty. Countries without a rating and corresponding country risk premium in the Damodaran database were set to Ca in Moody’s rating (one notch above default). Weak policy support increases the cost of capital between 2 – 3 % depending on the debt share and corporate tax rating.</w:t>
      </w:r>
    </w:p>
    <w:p w14:paraId="65695515" w14:textId="77777777" w:rsidR="006A0147" w:rsidRDefault="006A0147" w:rsidP="006A0147"/>
    <w:p w14:paraId="56CEE55A" w14:textId="289FC8C9" w:rsidR="006A0147" w:rsidRDefault="005E6DAF" w:rsidP="006A0147">
      <w:pPr>
        <w:keepNext/>
      </w:pPr>
      <w:r>
        <w:rPr>
          <w:noProof/>
        </w:rPr>
        <w:lastRenderedPageBreak/>
        <w:drawing>
          <wp:inline distT="0" distB="0" distL="0" distR="0" wp14:anchorId="3660B22D" wp14:editId="2C1E2663">
            <wp:extent cx="1850191" cy="5040000"/>
            <wp:effectExtent l="0" t="0" r="4445" b="1905"/>
            <wp:docPr id="1022928341" name="Picture 40"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28341" name="Picture 40" descr="A map of the worl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50191" cy="5040000"/>
                    </a:xfrm>
                    <a:prstGeom prst="rect">
                      <a:avLst/>
                    </a:prstGeom>
                  </pic:spPr>
                </pic:pic>
              </a:graphicData>
            </a:graphic>
          </wp:inline>
        </w:drawing>
      </w:r>
      <w:r>
        <w:rPr>
          <w:noProof/>
        </w:rPr>
        <w:drawing>
          <wp:inline distT="0" distB="0" distL="0" distR="0" wp14:anchorId="6FD751A0" wp14:editId="326A09F9">
            <wp:extent cx="1850191" cy="5040000"/>
            <wp:effectExtent l="0" t="0" r="4445" b="1905"/>
            <wp:docPr id="925609140" name="Picture 4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09140" name="Picture 41" descr="A map of the worl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0191" cy="5040000"/>
                    </a:xfrm>
                    <a:prstGeom prst="rect">
                      <a:avLst/>
                    </a:prstGeom>
                  </pic:spPr>
                </pic:pic>
              </a:graphicData>
            </a:graphic>
          </wp:inline>
        </w:drawing>
      </w:r>
      <w:r>
        <w:rPr>
          <w:noProof/>
        </w:rPr>
        <w:drawing>
          <wp:inline distT="0" distB="0" distL="0" distR="0" wp14:anchorId="14E69E17" wp14:editId="008532CC">
            <wp:extent cx="1850191" cy="5040000"/>
            <wp:effectExtent l="0" t="0" r="4445" b="1905"/>
            <wp:docPr id="713828494" name="Picture 42"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828494" name="Picture 42" descr="A map of the worl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50191" cy="5040000"/>
                    </a:xfrm>
                    <a:prstGeom prst="rect">
                      <a:avLst/>
                    </a:prstGeom>
                  </pic:spPr>
                </pic:pic>
              </a:graphicData>
            </a:graphic>
          </wp:inline>
        </w:drawing>
      </w:r>
    </w:p>
    <w:p w14:paraId="5A419518" w14:textId="12DB1334" w:rsidR="006A0147" w:rsidRDefault="006A0147" w:rsidP="006A0147">
      <w:pPr>
        <w:pStyle w:val="Caption"/>
      </w:pPr>
      <w:r>
        <w:t xml:space="preserve">Figure </w:t>
      </w:r>
      <w:fldSimple w:instr=" SEQ Figure \* ARABIC ">
        <w:r w:rsidR="00DB186A">
          <w:rPr>
            <w:noProof/>
          </w:rPr>
          <w:t>3</w:t>
        </w:r>
      </w:fldSimple>
      <w:r w:rsidR="00EF204F">
        <w:t xml:space="preserve">: </w:t>
      </w:r>
      <w:r w:rsidR="00EF204F">
        <w:t xml:space="preserve">Geographic distribution of the cost of capital for </w:t>
      </w:r>
      <w:r w:rsidR="00EF204F">
        <w:t>Scaling</w:t>
      </w:r>
      <w:r w:rsidR="00EF204F">
        <w:t xml:space="preserve"> energy technologies (TRL 9</w:t>
      </w:r>
      <w:r w:rsidR="00EF204F">
        <w:t>-10</w:t>
      </w:r>
      <w:r w:rsidR="00EF204F">
        <w:t>) with Strong policy support by Shared Socioeconomic Pathway, for 2030, 2050 and 2100. Data gaps correspond to countries that either do not have GDP per capita projections under the SSP scenarios (e.g., Venezuela, Syria) and/or are not rated due to non-sovereignty. Countries without a rating and corresponding country risk premium in the Damodaran database were set to Ca in Moody’s rating (one notch above default). Weak policy support increases the cost of capital between 2 – 3 % depending on the debt share and corporate tax rating.</w:t>
      </w:r>
    </w:p>
    <w:p w14:paraId="214B0A17" w14:textId="77777777" w:rsidR="006A0147" w:rsidRPr="006A0147" w:rsidRDefault="006A0147" w:rsidP="006A0147"/>
    <w:p w14:paraId="6A35CECE" w14:textId="77777777" w:rsidR="009C0020" w:rsidRDefault="009C0020"/>
    <w:p w14:paraId="1E0896B2" w14:textId="77777777" w:rsidR="009C0020" w:rsidRDefault="009C0020"/>
    <w:p w14:paraId="7EECB6E6" w14:textId="6517FB7C" w:rsidR="009C0020" w:rsidRDefault="005E6DAF" w:rsidP="009C0020">
      <w:pPr>
        <w:keepNext/>
      </w:pPr>
      <w:r>
        <w:rPr>
          <w:noProof/>
        </w:rPr>
        <w:lastRenderedPageBreak/>
        <w:drawing>
          <wp:inline distT="0" distB="0" distL="0" distR="0" wp14:anchorId="42E617F3" wp14:editId="35943126">
            <wp:extent cx="1854497" cy="4680000"/>
            <wp:effectExtent l="0" t="0" r="0" b="0"/>
            <wp:docPr id="1799642393" name="Picture 43"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42393" name="Picture 43" descr="A map of the worl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4497" cy="4680000"/>
                    </a:xfrm>
                    <a:prstGeom prst="rect">
                      <a:avLst/>
                    </a:prstGeom>
                  </pic:spPr>
                </pic:pic>
              </a:graphicData>
            </a:graphic>
          </wp:inline>
        </w:drawing>
      </w:r>
      <w:r>
        <w:rPr>
          <w:noProof/>
        </w:rPr>
        <w:drawing>
          <wp:inline distT="0" distB="0" distL="0" distR="0" wp14:anchorId="70A0B782" wp14:editId="66D5A894">
            <wp:extent cx="1854497" cy="4680000"/>
            <wp:effectExtent l="0" t="0" r="0" b="0"/>
            <wp:docPr id="2093365342" name="Picture 44"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65342" name="Picture 44" descr="A map of the worl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54497" cy="4680000"/>
                    </a:xfrm>
                    <a:prstGeom prst="rect">
                      <a:avLst/>
                    </a:prstGeom>
                  </pic:spPr>
                </pic:pic>
              </a:graphicData>
            </a:graphic>
          </wp:inline>
        </w:drawing>
      </w:r>
      <w:r>
        <w:rPr>
          <w:noProof/>
        </w:rPr>
        <w:drawing>
          <wp:inline distT="0" distB="0" distL="0" distR="0" wp14:anchorId="6417A873" wp14:editId="0880BB30">
            <wp:extent cx="1854497" cy="4680000"/>
            <wp:effectExtent l="0" t="0" r="0" b="0"/>
            <wp:docPr id="203157543" name="Picture 45"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7543" name="Picture 45" descr="A map of the wor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54497" cy="4680000"/>
                    </a:xfrm>
                    <a:prstGeom prst="rect">
                      <a:avLst/>
                    </a:prstGeom>
                  </pic:spPr>
                </pic:pic>
              </a:graphicData>
            </a:graphic>
          </wp:inline>
        </w:drawing>
      </w:r>
    </w:p>
    <w:p w14:paraId="26FC12AA" w14:textId="38D3AAE2" w:rsidR="009C0020" w:rsidRDefault="009C0020" w:rsidP="009C0020">
      <w:pPr>
        <w:pStyle w:val="Caption"/>
      </w:pPr>
      <w:r>
        <w:t xml:space="preserve">Figure </w:t>
      </w:r>
      <w:r w:rsidR="001D0F40">
        <w:fldChar w:fldCharType="begin"/>
      </w:r>
      <w:r w:rsidR="001D0F40">
        <w:instrText xml:space="preserve"> SEQ Figure \* ARABIC </w:instrText>
      </w:r>
      <w:r w:rsidR="001D0F40">
        <w:fldChar w:fldCharType="separate"/>
      </w:r>
      <w:r w:rsidR="00DB186A">
        <w:rPr>
          <w:noProof/>
        </w:rPr>
        <w:t>4</w:t>
      </w:r>
      <w:r w:rsidR="001D0F40">
        <w:rPr>
          <w:noProof/>
        </w:rPr>
        <w:fldChar w:fldCharType="end"/>
      </w:r>
      <w:r w:rsidR="00EF204F">
        <w:rPr>
          <w:noProof/>
        </w:rPr>
        <w:t xml:space="preserve">: </w:t>
      </w:r>
      <w:r w:rsidR="00EF204F">
        <w:t xml:space="preserve">Geographic distribution of the cost of capital for </w:t>
      </w:r>
      <w:r w:rsidR="00EF204F">
        <w:t>Commercial</w:t>
      </w:r>
      <w:r w:rsidR="00EF204F">
        <w:t xml:space="preserve"> energy technologies (TRL 10) with Strong policy support by Shared Socioeconomic Pathway, for 2030, 2050 and 2100. Data gaps correspond to countries that either do not have GDP per capita projections under the SSP scenarios (e.g., Venezuela, Syria) and/or are not rated due to non-sovereignty. Countries without a rating and corresponding country risk premium in the Damodaran database were set to Ca in Moody’s rating (one notch above default). Weak policy support increases the cost of capital between 2 – 3 % depending on the debt share and corporate tax rating.</w:t>
      </w:r>
    </w:p>
    <w:p w14:paraId="153150FC" w14:textId="77777777" w:rsidR="009C0020" w:rsidRDefault="009C0020" w:rsidP="009C0020"/>
    <w:p w14:paraId="36140002" w14:textId="77777777" w:rsidR="009C0020" w:rsidRDefault="009C0020" w:rsidP="009C0020"/>
    <w:p w14:paraId="1A19732E" w14:textId="77777777" w:rsidR="009C0020" w:rsidRDefault="009C0020" w:rsidP="009C0020"/>
    <w:p w14:paraId="14C5D97B" w14:textId="4C40C3D3" w:rsidR="00DB186A" w:rsidRDefault="005E6DAF" w:rsidP="00D434E5">
      <w:pPr>
        <w:keepNext/>
        <w:jc w:val="center"/>
      </w:pPr>
      <w:r>
        <w:rPr>
          <w:noProof/>
        </w:rPr>
        <w:lastRenderedPageBreak/>
        <w:drawing>
          <wp:inline distT="0" distB="0" distL="0" distR="0" wp14:anchorId="52CEFCF3" wp14:editId="52019767">
            <wp:extent cx="3795981" cy="2520000"/>
            <wp:effectExtent l="0" t="0" r="1905" b="0"/>
            <wp:docPr id="222265509" name="Picture 46"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265509" name="Picture 46" descr="A graph of a bar chart&#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r>
        <w:rPr>
          <w:noProof/>
        </w:rPr>
        <w:drawing>
          <wp:inline distT="0" distB="0" distL="0" distR="0" wp14:anchorId="1D430A18" wp14:editId="5163903F">
            <wp:extent cx="3795981" cy="2520000"/>
            <wp:effectExtent l="0" t="0" r="1905" b="0"/>
            <wp:docPr id="1428899720" name="Picture 47" descr="A graph of a number of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99720" name="Picture 47" descr="A graph of a number of countries/regions&#10;&#10;Description automatically generated with medium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r>
        <w:rPr>
          <w:noProof/>
        </w:rPr>
        <w:drawing>
          <wp:inline distT="0" distB="0" distL="0" distR="0" wp14:anchorId="6BA54560" wp14:editId="02D81A0E">
            <wp:extent cx="3795981" cy="2520000"/>
            <wp:effectExtent l="0" t="0" r="1905" b="0"/>
            <wp:docPr id="943278446" name="Picture 48"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278446" name="Picture 48" descr="A graph of a bar chart&#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p>
    <w:p w14:paraId="62CBDC6A" w14:textId="009529CF" w:rsidR="00D434E5" w:rsidRPr="00BD6E28" w:rsidRDefault="00DB186A" w:rsidP="00D434E5">
      <w:pPr>
        <w:pStyle w:val="Caption"/>
      </w:pPr>
      <w:r>
        <w:t xml:space="preserve">Figure </w:t>
      </w:r>
      <w:r w:rsidR="001D0F40">
        <w:fldChar w:fldCharType="begin"/>
      </w:r>
      <w:r w:rsidR="001D0F40">
        <w:instrText xml:space="preserve"> SEQ Figure \* ARABIC </w:instrText>
      </w:r>
      <w:r w:rsidR="001D0F40">
        <w:fldChar w:fldCharType="separate"/>
      </w:r>
      <w:r>
        <w:rPr>
          <w:noProof/>
        </w:rPr>
        <w:t>5</w:t>
      </w:r>
      <w:r w:rsidR="001D0F40">
        <w:rPr>
          <w:noProof/>
        </w:rPr>
        <w:fldChar w:fldCharType="end"/>
      </w:r>
      <w:r w:rsidR="00D434E5">
        <w:rPr>
          <w:noProof/>
        </w:rPr>
        <w:t xml:space="preserve">: </w:t>
      </w:r>
      <w:r w:rsidR="00D434E5">
        <w:t xml:space="preserve">Ranges of the cost of capital for </w:t>
      </w:r>
      <w:r w:rsidR="00D434E5">
        <w:t>FOAK</w:t>
      </w:r>
      <w:r w:rsidR="00D434E5">
        <w:t xml:space="preserve"> energy technologies (TRL</w:t>
      </w:r>
      <w:r w:rsidR="00D434E5">
        <w:t>8</w:t>
      </w:r>
      <w:r w:rsidR="00D434E5">
        <w:t>) under strong policy support schemes, with comparisons across country groupings by income and region, for 2050 and 2100 and the five modelled SSP scenarios. Boxplots include the range of values falling between the 1</w:t>
      </w:r>
      <w:r w:rsidR="00D434E5" w:rsidRPr="0024ADE3">
        <w:rPr>
          <w:vertAlign w:val="superscript"/>
        </w:rPr>
        <w:t>st</w:t>
      </w:r>
      <w:r w:rsidR="00D434E5">
        <w:t xml:space="preserve"> and 3</w:t>
      </w:r>
      <w:r w:rsidR="00D434E5" w:rsidRPr="0024ADE3">
        <w:rPr>
          <w:vertAlign w:val="superscript"/>
        </w:rPr>
        <w:t>rd</w:t>
      </w:r>
      <w:r w:rsidR="00D434E5">
        <w:t xml:space="preserve"> quantile, with the median highlighted in black. Values that fall outside of the 1.5 times interquartile range are deemed outliers and are not shown in the figure. Full plots for all technology maturity and policy coherence combinations are included in the Supplementary Material alongside the country groupings used.</w:t>
      </w:r>
      <w:r w:rsidR="00604EEE">
        <w:t xml:space="preserve"> Weak policy support increases the cost of capital between 2 – 3 % depending on the debt share and corporate tax rating.</w:t>
      </w:r>
    </w:p>
    <w:p w14:paraId="391CD666" w14:textId="41D3B216" w:rsidR="006A0147" w:rsidRDefault="006A0147" w:rsidP="00DB186A">
      <w:pPr>
        <w:pStyle w:val="Caption"/>
        <w:jc w:val="center"/>
      </w:pPr>
    </w:p>
    <w:p w14:paraId="05A9BE9D" w14:textId="40FF1F64" w:rsidR="006A0147" w:rsidRDefault="005E6DAF" w:rsidP="00DB186A">
      <w:pPr>
        <w:keepNext/>
        <w:jc w:val="center"/>
      </w:pPr>
      <w:r>
        <w:rPr>
          <w:noProof/>
        </w:rPr>
        <w:lastRenderedPageBreak/>
        <w:drawing>
          <wp:inline distT="0" distB="0" distL="0" distR="0" wp14:anchorId="37FFB9C5" wp14:editId="236C9D88">
            <wp:extent cx="3795981" cy="2520000"/>
            <wp:effectExtent l="0" t="0" r="1905" b="0"/>
            <wp:docPr id="1203940991" name="Picture 52"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40991" name="Picture 52" descr="A graph of a bar chart&#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r>
        <w:rPr>
          <w:noProof/>
        </w:rPr>
        <w:drawing>
          <wp:inline distT="0" distB="0" distL="0" distR="0" wp14:anchorId="74B60B60" wp14:editId="463254EB">
            <wp:extent cx="3795981" cy="2520000"/>
            <wp:effectExtent l="0" t="0" r="1905" b="0"/>
            <wp:docPr id="775752808" name="Picture 53"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52808" name="Picture 53" descr="A graph of a bar chart&#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r>
        <w:rPr>
          <w:noProof/>
        </w:rPr>
        <w:drawing>
          <wp:inline distT="0" distB="0" distL="0" distR="0" wp14:anchorId="1664217D" wp14:editId="238A96EF">
            <wp:extent cx="3795981" cy="2520000"/>
            <wp:effectExtent l="0" t="0" r="1905" b="0"/>
            <wp:docPr id="1450637154" name="Picture 54"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637154" name="Picture 54" descr="A graph of a bar chart&#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p>
    <w:p w14:paraId="4008DB0D" w14:textId="243BF631" w:rsidR="00D434E5" w:rsidRPr="00BD6E28" w:rsidRDefault="006A0147" w:rsidP="00D434E5">
      <w:pPr>
        <w:pStyle w:val="Caption"/>
      </w:pPr>
      <w:r>
        <w:t xml:space="preserve">Figure </w:t>
      </w:r>
      <w:fldSimple w:instr=" SEQ Figure \* ARABIC ">
        <w:r w:rsidR="00DB186A">
          <w:rPr>
            <w:noProof/>
          </w:rPr>
          <w:t>6</w:t>
        </w:r>
      </w:fldSimple>
      <w:r w:rsidR="00D434E5">
        <w:t xml:space="preserve">: </w:t>
      </w:r>
      <w:r w:rsidR="00D434E5">
        <w:t xml:space="preserve">Ranges of the cost of capital for </w:t>
      </w:r>
      <w:r w:rsidR="00D434E5">
        <w:t>Early Commercial</w:t>
      </w:r>
      <w:r w:rsidR="00D434E5">
        <w:t xml:space="preserve"> energy technologies (TRL</w:t>
      </w:r>
      <w:r w:rsidR="00D434E5">
        <w:t>9</w:t>
      </w:r>
      <w:r w:rsidR="00D434E5">
        <w:t xml:space="preserve">) under </w:t>
      </w:r>
      <w:r w:rsidR="00D434E5">
        <w:t>S</w:t>
      </w:r>
      <w:r w:rsidR="00D434E5">
        <w:t>trong policy support schemes, with comparisons across country groupings by income and region, for 2050 and 2100 and the five modelled SSP scenarios. Boxplots include the range of values falling between the 1</w:t>
      </w:r>
      <w:r w:rsidR="00D434E5" w:rsidRPr="0024ADE3">
        <w:rPr>
          <w:vertAlign w:val="superscript"/>
        </w:rPr>
        <w:t>st</w:t>
      </w:r>
      <w:r w:rsidR="00D434E5">
        <w:t xml:space="preserve"> and 3</w:t>
      </w:r>
      <w:r w:rsidR="00D434E5" w:rsidRPr="0024ADE3">
        <w:rPr>
          <w:vertAlign w:val="superscript"/>
        </w:rPr>
        <w:t>rd</w:t>
      </w:r>
      <w:r w:rsidR="00D434E5">
        <w:t xml:space="preserve"> quantile, with the median highlighted in black. Values that fall outside of the 1.5 times interquartile range are deemed outliers and are not shown in the figure. Full plots for all technology maturity and policy coherence combinations are included in the Supplementary Material alongside the country groupings used.</w:t>
      </w:r>
      <w:r w:rsidR="00604EEE">
        <w:t xml:space="preserve"> </w:t>
      </w:r>
      <w:r w:rsidR="00604EEE">
        <w:t xml:space="preserve"> Weak policy support increases the cost of capital between 2 – 3 % depending on the debt share and corporate tax rating.</w:t>
      </w:r>
    </w:p>
    <w:p w14:paraId="5C022E60" w14:textId="2EC85AE4" w:rsidR="006A0147" w:rsidRDefault="006A0147" w:rsidP="006A0147">
      <w:pPr>
        <w:pStyle w:val="Caption"/>
      </w:pPr>
    </w:p>
    <w:p w14:paraId="73AB56E6" w14:textId="5E8D654E" w:rsidR="006A0147" w:rsidRDefault="005E6DAF" w:rsidP="00DB186A">
      <w:pPr>
        <w:keepNext/>
        <w:jc w:val="center"/>
      </w:pPr>
      <w:r>
        <w:rPr>
          <w:noProof/>
        </w:rPr>
        <w:lastRenderedPageBreak/>
        <w:drawing>
          <wp:inline distT="0" distB="0" distL="0" distR="0" wp14:anchorId="6910B62F" wp14:editId="13098EF9">
            <wp:extent cx="3795981" cy="2520000"/>
            <wp:effectExtent l="0" t="0" r="1905" b="0"/>
            <wp:docPr id="799313557" name="Picture 55"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313557" name="Picture 55" descr="A graph of a bar char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r>
        <w:rPr>
          <w:noProof/>
        </w:rPr>
        <w:drawing>
          <wp:inline distT="0" distB="0" distL="0" distR="0" wp14:anchorId="02E5791A" wp14:editId="0D4F1AC8">
            <wp:extent cx="3795981" cy="2520000"/>
            <wp:effectExtent l="0" t="0" r="1905" b="0"/>
            <wp:docPr id="1171922982" name="Picture 56" descr="A graph of a number of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922982" name="Picture 56" descr="A graph of a number of countries/region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r>
        <w:rPr>
          <w:noProof/>
        </w:rPr>
        <w:drawing>
          <wp:inline distT="0" distB="0" distL="0" distR="0" wp14:anchorId="71743B8C" wp14:editId="79DC784D">
            <wp:extent cx="3795981" cy="2520000"/>
            <wp:effectExtent l="0" t="0" r="1905" b="0"/>
            <wp:docPr id="1589334910" name="Picture 57"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34910" name="Picture 57" descr="A graph of different colored line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p>
    <w:p w14:paraId="1579908E" w14:textId="07C84C49" w:rsidR="006A0147" w:rsidRPr="006A0147" w:rsidRDefault="006A0147" w:rsidP="006A0147">
      <w:pPr>
        <w:pStyle w:val="Caption"/>
      </w:pPr>
      <w:r>
        <w:t xml:space="preserve">Figure </w:t>
      </w:r>
      <w:fldSimple w:instr=" SEQ Figure \* ARABIC ">
        <w:r w:rsidR="00DB186A">
          <w:rPr>
            <w:noProof/>
          </w:rPr>
          <w:t>7</w:t>
        </w:r>
      </w:fldSimple>
      <w:r w:rsidR="00604EEE">
        <w:t xml:space="preserve">: </w:t>
      </w:r>
      <w:r w:rsidR="00604EEE">
        <w:t xml:space="preserve">Ranges of the cost of capital for </w:t>
      </w:r>
      <w:r w:rsidR="00604EEE">
        <w:t>Scaling</w:t>
      </w:r>
      <w:r w:rsidR="00604EEE">
        <w:t xml:space="preserve"> energy technologies (TRL</w:t>
      </w:r>
      <w:r w:rsidR="00604EEE">
        <w:t>9-10</w:t>
      </w:r>
      <w:r w:rsidR="00604EEE">
        <w:t>) under Strong policy support schemes, with comparisons across country groupings by income and region, for 2050 and 2100 and the five modelled SSP scenarios. Boxplots include the range of values falling between the 1</w:t>
      </w:r>
      <w:r w:rsidR="00604EEE" w:rsidRPr="0024ADE3">
        <w:rPr>
          <w:vertAlign w:val="superscript"/>
        </w:rPr>
        <w:t>st</w:t>
      </w:r>
      <w:r w:rsidR="00604EEE">
        <w:t xml:space="preserve"> and 3</w:t>
      </w:r>
      <w:r w:rsidR="00604EEE" w:rsidRPr="0024ADE3">
        <w:rPr>
          <w:vertAlign w:val="superscript"/>
        </w:rPr>
        <w:t>rd</w:t>
      </w:r>
      <w:r w:rsidR="00604EEE">
        <w:t xml:space="preserve"> quantile, with the median highlighted in black. Values that fall outside of the 1.5 times interquartile range are deemed outliers and are not shown in the figure. Full plots for all technology maturity and policy coherence combinations are included in the Supplementary Material alongside the country groupings used.  Weak policy support increases the cost of capital between 2 – 3 % depending on the debt share and corporate tax rating.</w:t>
      </w:r>
    </w:p>
    <w:p w14:paraId="41C11222" w14:textId="2A282DDF" w:rsidR="009C0020" w:rsidRDefault="005E6DAF" w:rsidP="00DB186A">
      <w:pPr>
        <w:keepNext/>
        <w:jc w:val="center"/>
      </w:pPr>
      <w:r>
        <w:rPr>
          <w:noProof/>
        </w:rPr>
        <w:lastRenderedPageBreak/>
        <w:drawing>
          <wp:inline distT="0" distB="0" distL="0" distR="0" wp14:anchorId="1D251DEB" wp14:editId="66B66BA3">
            <wp:extent cx="3795981" cy="2520000"/>
            <wp:effectExtent l="0" t="0" r="1905" b="0"/>
            <wp:docPr id="2013550770" name="Picture 58"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50770" name="Picture 58" descr="A graph of a bar chart&#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r>
        <w:rPr>
          <w:noProof/>
        </w:rPr>
        <w:drawing>
          <wp:inline distT="0" distB="0" distL="0" distR="0" wp14:anchorId="2A58932D" wp14:editId="2B0D0D19">
            <wp:extent cx="3795981" cy="2520000"/>
            <wp:effectExtent l="0" t="0" r="1905" b="0"/>
            <wp:docPr id="303858083" name="Picture 59"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58083" name="Picture 59" descr="A graph of a bar char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r>
        <w:rPr>
          <w:noProof/>
        </w:rPr>
        <w:drawing>
          <wp:inline distT="0" distB="0" distL="0" distR="0" wp14:anchorId="6274881F" wp14:editId="4294EF62">
            <wp:extent cx="3795981" cy="2520000"/>
            <wp:effectExtent l="0" t="0" r="1905" b="0"/>
            <wp:docPr id="2119035862" name="Picture 60" descr="A graph of a number of countries/reg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035862" name="Picture 60" descr="A graph of a number of countries/regions&#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95981" cy="2520000"/>
                    </a:xfrm>
                    <a:prstGeom prst="rect">
                      <a:avLst/>
                    </a:prstGeom>
                  </pic:spPr>
                </pic:pic>
              </a:graphicData>
            </a:graphic>
          </wp:inline>
        </w:drawing>
      </w:r>
    </w:p>
    <w:p w14:paraId="34BAEBDB" w14:textId="459C4161" w:rsidR="009C0020" w:rsidRDefault="009C0020" w:rsidP="00DB186A">
      <w:pPr>
        <w:pStyle w:val="Caption"/>
      </w:pPr>
      <w:r>
        <w:t xml:space="preserve">Figure </w:t>
      </w:r>
      <w:r w:rsidR="001D0F40">
        <w:fldChar w:fldCharType="begin"/>
      </w:r>
      <w:r w:rsidR="001D0F40">
        <w:instrText xml:space="preserve"> SEQ Figure \* ARABIC </w:instrText>
      </w:r>
      <w:r w:rsidR="001D0F40">
        <w:fldChar w:fldCharType="separate"/>
      </w:r>
      <w:r w:rsidR="00DB186A">
        <w:rPr>
          <w:noProof/>
        </w:rPr>
        <w:t>8</w:t>
      </w:r>
      <w:r w:rsidR="001D0F40">
        <w:rPr>
          <w:noProof/>
        </w:rPr>
        <w:fldChar w:fldCharType="end"/>
      </w:r>
      <w:r w:rsidR="00604EEE">
        <w:rPr>
          <w:noProof/>
        </w:rPr>
        <w:t xml:space="preserve">: </w:t>
      </w:r>
      <w:r w:rsidR="00604EEE">
        <w:t xml:space="preserve">Ranges of the cost of capital for </w:t>
      </w:r>
      <w:r w:rsidR="00604EEE">
        <w:t>Commercial</w:t>
      </w:r>
      <w:r w:rsidR="00604EEE">
        <w:t xml:space="preserve"> energy technologies (TRL10) under Strong policy support schemes, with comparisons across country groupings by income and region, for 2050 and 2100 and the five modelled SSP scenarios. Boxplots include the range of values falling between the 1</w:t>
      </w:r>
      <w:r w:rsidR="00604EEE" w:rsidRPr="0024ADE3">
        <w:rPr>
          <w:vertAlign w:val="superscript"/>
        </w:rPr>
        <w:t>st</w:t>
      </w:r>
      <w:r w:rsidR="00604EEE">
        <w:t xml:space="preserve"> and 3</w:t>
      </w:r>
      <w:r w:rsidR="00604EEE" w:rsidRPr="0024ADE3">
        <w:rPr>
          <w:vertAlign w:val="superscript"/>
        </w:rPr>
        <w:t>rd</w:t>
      </w:r>
      <w:r w:rsidR="00604EEE">
        <w:t xml:space="preserve"> quantile, with the median highlighted in black. Values that fall outside of the 1.5 times interquartile range are deemed outliers and are not shown in the figure. Full plots for all technology maturity and policy coherence combinations are included in the Supplementary Material alongside the country groupings used.  Weak policy support increases the cost of capital between 2 – 3 % depending on the debt share and corporate tax rating.</w:t>
      </w:r>
    </w:p>
    <w:sectPr w:rsidR="009C00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6A7EA" w14:textId="77777777" w:rsidR="00DB186A" w:rsidRDefault="00DB186A" w:rsidP="00DB186A">
      <w:r>
        <w:separator/>
      </w:r>
    </w:p>
  </w:endnote>
  <w:endnote w:type="continuationSeparator" w:id="0">
    <w:p w14:paraId="48C24507" w14:textId="77777777" w:rsidR="00DB186A" w:rsidRDefault="00DB186A" w:rsidP="00DB1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DD0D0" w14:textId="77777777" w:rsidR="00DB186A" w:rsidRDefault="00DB186A" w:rsidP="00DB186A">
      <w:r>
        <w:separator/>
      </w:r>
    </w:p>
  </w:footnote>
  <w:footnote w:type="continuationSeparator" w:id="0">
    <w:p w14:paraId="223B24FE" w14:textId="77777777" w:rsidR="00DB186A" w:rsidRDefault="00DB186A" w:rsidP="00DB186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020"/>
    <w:rsid w:val="000E56E6"/>
    <w:rsid w:val="001D0F40"/>
    <w:rsid w:val="001E01B7"/>
    <w:rsid w:val="005A6B87"/>
    <w:rsid w:val="005E6DAF"/>
    <w:rsid w:val="00604EEE"/>
    <w:rsid w:val="006732DB"/>
    <w:rsid w:val="006A0147"/>
    <w:rsid w:val="006A521A"/>
    <w:rsid w:val="008A47CC"/>
    <w:rsid w:val="009307C8"/>
    <w:rsid w:val="009C0020"/>
    <w:rsid w:val="00C41335"/>
    <w:rsid w:val="00C45219"/>
    <w:rsid w:val="00C51400"/>
    <w:rsid w:val="00D434E5"/>
    <w:rsid w:val="00D61C44"/>
    <w:rsid w:val="00DB186A"/>
    <w:rsid w:val="00EE70C9"/>
    <w:rsid w:val="00EF204F"/>
    <w:rsid w:val="00F009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D099EFD"/>
  <w15:chartTrackingRefBased/>
  <w15:docId w15:val="{FF419E6E-DD62-4D45-8DF6-7FCB7AEA6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0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9C0020"/>
    <w:pPr>
      <w:spacing w:after="200"/>
    </w:pPr>
    <w:rPr>
      <w:i/>
      <w:iCs/>
      <w:color w:val="44546A" w:themeColor="text2"/>
      <w:sz w:val="18"/>
      <w:szCs w:val="18"/>
    </w:rPr>
  </w:style>
  <w:style w:type="paragraph" w:styleId="Header">
    <w:name w:val="header"/>
    <w:basedOn w:val="Normal"/>
    <w:link w:val="HeaderChar"/>
    <w:uiPriority w:val="99"/>
    <w:unhideWhenUsed/>
    <w:rsid w:val="00DB186A"/>
    <w:pPr>
      <w:tabs>
        <w:tab w:val="center" w:pos="4513"/>
        <w:tab w:val="right" w:pos="9026"/>
      </w:tabs>
    </w:pPr>
  </w:style>
  <w:style w:type="character" w:customStyle="1" w:styleId="HeaderChar">
    <w:name w:val="Header Char"/>
    <w:basedOn w:val="DefaultParagraphFont"/>
    <w:link w:val="Header"/>
    <w:uiPriority w:val="99"/>
    <w:rsid w:val="00DB186A"/>
  </w:style>
  <w:style w:type="paragraph" w:styleId="Footer">
    <w:name w:val="footer"/>
    <w:basedOn w:val="Normal"/>
    <w:link w:val="FooterChar"/>
    <w:uiPriority w:val="99"/>
    <w:unhideWhenUsed/>
    <w:rsid w:val="00DB186A"/>
    <w:pPr>
      <w:tabs>
        <w:tab w:val="center" w:pos="4513"/>
        <w:tab w:val="right" w:pos="9026"/>
      </w:tabs>
    </w:pPr>
  </w:style>
  <w:style w:type="character" w:customStyle="1" w:styleId="FooterChar">
    <w:name w:val="Footer Char"/>
    <w:basedOn w:val="DefaultParagraphFont"/>
    <w:link w:val="Footer"/>
    <w:uiPriority w:val="99"/>
    <w:rsid w:val="00DB1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4CC003-B9F1-0E4F-B53B-BC5AB2DCA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883</Words>
  <Characters>5034</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Hatton, Luke K</dc:creator>
  <cp:keywords/>
  <dc:description/>
  <cp:lastModifiedBy>Hatton, Luke</cp:lastModifiedBy>
  <cp:revision>19</cp:revision>
  <dcterms:created xsi:type="dcterms:W3CDTF">2026-03-12T17:56:00Z</dcterms:created>
  <dcterms:modified xsi:type="dcterms:W3CDTF">2026-04-07T17:51:00Z</dcterms:modified>
</cp:coreProperties>
</file>