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35312C" w14:textId="77777777" w:rsidR="00B420D6" w:rsidRDefault="00446B42" w:rsidP="00446B42">
      <w:pPr>
        <w:spacing w:line="480" w:lineRule="auto"/>
        <w:rPr>
          <w:rFonts w:ascii="Times New Roman" w:hAnsi="Times New Roman" w:cs="Times New Roman"/>
          <w:b/>
          <w:noProof/>
          <w:sz w:val="24"/>
          <w:lang w:eastAsia="en-US"/>
        </w:rPr>
      </w:pPr>
      <w:r w:rsidRPr="00446B42">
        <w:rPr>
          <w:rFonts w:ascii="Times New Roman" w:hAnsi="Times New Roman" w:cs="Times New Roman"/>
          <w:b/>
          <w:noProof/>
          <w:sz w:val="24"/>
          <w:lang w:eastAsia="en-US"/>
        </w:rPr>
        <w:t>Supplementary</w:t>
      </w:r>
      <w:r w:rsidR="00B420D6">
        <w:rPr>
          <w:rFonts w:ascii="Times New Roman" w:hAnsi="Times New Roman" w:cs="Times New Roman"/>
          <w:b/>
          <w:noProof/>
          <w:sz w:val="24"/>
          <w:lang w:eastAsia="en-US"/>
        </w:rPr>
        <w:t xml:space="preserve"> </w:t>
      </w:r>
      <w:r w:rsidRPr="00446B42">
        <w:rPr>
          <w:rFonts w:ascii="Times New Roman" w:hAnsi="Times New Roman" w:cs="Times New Roman"/>
          <w:b/>
          <w:noProof/>
          <w:sz w:val="24"/>
          <w:lang w:eastAsia="en-US"/>
        </w:rPr>
        <w:t>Materials</w:t>
      </w:r>
    </w:p>
    <w:p w14:paraId="0C7CC896" w14:textId="6535CF3D" w:rsidR="001B480C" w:rsidRPr="00B420D6" w:rsidRDefault="00FF679E" w:rsidP="00B420D6">
      <w:pPr>
        <w:spacing w:line="480" w:lineRule="auto"/>
        <w:rPr>
          <w:rFonts w:ascii="Times New Roman" w:hAnsi="Times New Roman" w:cs="Times New Roman"/>
          <w:b/>
          <w:noProof/>
          <w:sz w:val="24"/>
          <w:lang w:eastAsia="en-US"/>
        </w:rPr>
      </w:pPr>
      <w:r>
        <w:rPr>
          <w:rFonts w:ascii="Times New Roman" w:hAnsi="Times New Roman" w:cs="Times New Roman"/>
          <w:b/>
          <w:noProof/>
          <w:sz w:val="24"/>
          <w:lang w:eastAsia="en-US"/>
        </w:rPr>
        <w:drawing>
          <wp:inline distT="0" distB="0" distL="0" distR="0" wp14:anchorId="5C5C5676" wp14:editId="7E4ED5FB">
            <wp:extent cx="5274310" cy="41255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204DA" w14:textId="045986AE" w:rsidR="00850FD6" w:rsidRPr="00850FD6" w:rsidRDefault="00850FD6" w:rsidP="00850FD6">
      <w:pPr>
        <w:spacing w:line="480" w:lineRule="auto"/>
        <w:rPr>
          <w:rFonts w:ascii="Times New Roman" w:hAnsi="Times New Roman" w:cs="Times New Roman"/>
          <w:bCs/>
          <w:color w:val="000000"/>
          <w:kern w:val="24"/>
          <w:sz w:val="24"/>
          <w:szCs w:val="28"/>
        </w:rPr>
      </w:pPr>
      <w:r w:rsidRPr="00850FD6"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 xml:space="preserve">Fig. </w:t>
      </w:r>
      <w:r>
        <w:rPr>
          <w:rFonts w:ascii="Times New Roman" w:hAnsi="Times New Roman" w:cs="Times New Roman" w:hint="eastAsia"/>
          <w:b/>
          <w:color w:val="000000"/>
          <w:kern w:val="24"/>
          <w:sz w:val="24"/>
          <w:szCs w:val="28"/>
        </w:rPr>
        <w:t>s</w:t>
      </w:r>
      <w:r w:rsidRPr="00850FD6"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 xml:space="preserve">1 </w:t>
      </w:r>
      <w:r w:rsidRPr="00850FD6">
        <w:rPr>
          <w:rFonts w:ascii="Times New Roman" w:hAnsi="Times New Roman" w:cs="Times New Roman"/>
          <w:bCs/>
          <w:kern w:val="0"/>
          <w:sz w:val="24"/>
          <w:szCs w:val="28"/>
        </w:rPr>
        <w:t>Aerobic glycolysis is required for microglial inflammatory activation.</w:t>
      </w:r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8"/>
        </w:rPr>
        <w:t xml:space="preserve"> </w:t>
      </w:r>
      <w:r w:rsidRPr="00850FD6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>a-d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Cells were pretreated with 3-BPA (25-100 </w:t>
      </w:r>
      <w:proofErr w:type="spellStart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8"/>
        </w:rPr>
        <w:t>μ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>M</w:t>
      </w:r>
      <w:proofErr w:type="spellEnd"/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>) for 30 min, followed by LPS (200 ng/mL) treatment for 24 hours. The nitrite in the cell culture medium was quantified using Griess reagent (</w:t>
      </w:r>
      <w:r w:rsidRPr="00850FD6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>a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BV-2 cells; </w:t>
      </w:r>
      <w:r w:rsidRPr="00850FD6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>c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Rat primary microglia). Cell viability was determined by MTT assay (</w:t>
      </w:r>
      <w:r w:rsidRPr="00850FD6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>b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BV-2 cells; </w:t>
      </w:r>
      <w:r w:rsidRPr="00850FD6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>d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Rat primary microglia). </w:t>
      </w:r>
      <w:r w:rsidRPr="00850FD6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 xml:space="preserve">e-f 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Amounts of IL-6 and TNF-α were analyzed by ELISA. </w:t>
      </w:r>
      <w:r w:rsidRPr="00850FD6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>g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</w:t>
      </w:r>
      <w:proofErr w:type="gramStart"/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>The</w:t>
      </w:r>
      <w:proofErr w:type="gramEnd"/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expression of </w:t>
      </w:r>
      <w:proofErr w:type="spellStart"/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>iNOS</w:t>
      </w:r>
      <w:proofErr w:type="spellEnd"/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>, COX-2 and IL-1β was analyzed by Western blotting</w:t>
      </w:r>
      <w:r w:rsidR="0063424C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</w:t>
      </w:r>
      <w:r w:rsidR="0063424C" w:rsidRPr="0063424C">
        <w:rPr>
          <w:rFonts w:ascii="Times New Roman" w:hAnsi="Times New Roman" w:cs="Times New Roman"/>
          <w:color w:val="000000"/>
          <w:kern w:val="24"/>
          <w:sz w:val="24"/>
          <w:szCs w:val="28"/>
        </w:rPr>
        <w:t>(</w:t>
      </w:r>
      <w:r w:rsidR="00140DC2" w:rsidRPr="00140DC2">
        <w:rPr>
          <w:rFonts w:ascii="Times New Roman" w:hAnsi="Times New Roman" w:cs="Times New Roman"/>
          <w:i/>
          <w:color w:val="000000"/>
          <w:kern w:val="24"/>
          <w:sz w:val="24"/>
          <w:szCs w:val="28"/>
        </w:rPr>
        <w:t>upper</w:t>
      </w:r>
      <w:r w:rsidR="0063424C" w:rsidRPr="0063424C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) and </w:t>
      </w:r>
      <w:r w:rsidR="00140DC2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the relative protein levels were </w:t>
      </w:r>
      <w:r w:rsidR="0063424C" w:rsidRPr="0063424C">
        <w:rPr>
          <w:rFonts w:ascii="Times New Roman" w:hAnsi="Times New Roman" w:cs="Times New Roman"/>
          <w:color w:val="000000"/>
          <w:kern w:val="24"/>
          <w:sz w:val="24"/>
          <w:szCs w:val="28"/>
        </w:rPr>
        <w:t>quantified by densitometric analysis (</w:t>
      </w:r>
      <w:r w:rsidR="00140DC2" w:rsidRPr="00140DC2">
        <w:rPr>
          <w:rFonts w:ascii="Times New Roman" w:hAnsi="Times New Roman" w:cs="Times New Roman"/>
          <w:i/>
          <w:color w:val="000000"/>
          <w:kern w:val="24"/>
          <w:sz w:val="24"/>
          <w:szCs w:val="28"/>
        </w:rPr>
        <w:t>lower</w:t>
      </w:r>
      <w:r w:rsidR="0063424C" w:rsidRPr="0063424C">
        <w:rPr>
          <w:rFonts w:ascii="Times New Roman" w:hAnsi="Times New Roman" w:cs="Times New Roman"/>
          <w:color w:val="000000"/>
          <w:kern w:val="24"/>
          <w:sz w:val="24"/>
          <w:szCs w:val="28"/>
        </w:rPr>
        <w:t>)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>. The values are the means ± S.D. of 3 different experiments (n=3). *</w:t>
      </w:r>
      <w:r w:rsidRPr="00850FD6">
        <w:rPr>
          <w:rFonts w:ascii="Times New Roman" w:hAnsi="Times New Roman" w:cs="Times New Roman"/>
          <w:bCs/>
          <w:i/>
          <w:color w:val="000000"/>
          <w:kern w:val="24"/>
          <w:sz w:val="24"/>
          <w:szCs w:val="28"/>
        </w:rPr>
        <w:t xml:space="preserve"> p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&lt; 0.05, **</w:t>
      </w:r>
      <w:r w:rsidRPr="00850FD6">
        <w:rPr>
          <w:rFonts w:ascii="Times New Roman" w:hAnsi="Times New Roman" w:cs="Times New Roman"/>
          <w:bCs/>
          <w:i/>
          <w:color w:val="000000"/>
          <w:kern w:val="24"/>
          <w:sz w:val="24"/>
          <w:szCs w:val="28"/>
        </w:rPr>
        <w:t xml:space="preserve"> p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&lt;0.01, compared to the NONE group or the LPS group.</w:t>
      </w:r>
    </w:p>
    <w:p w14:paraId="10711B9F" w14:textId="21CC912F" w:rsidR="00850FD6" w:rsidRDefault="00850FD6">
      <w:pPr>
        <w:widowControl/>
        <w:jc w:val="left"/>
      </w:pPr>
      <w:r>
        <w:br w:type="page"/>
      </w:r>
    </w:p>
    <w:p w14:paraId="556413FC" w14:textId="5CB09166" w:rsidR="00850FD6" w:rsidRDefault="00140DC2">
      <w:r>
        <w:rPr>
          <w:noProof/>
        </w:rPr>
        <w:lastRenderedPageBreak/>
        <w:drawing>
          <wp:inline distT="0" distB="0" distL="0" distR="0" wp14:anchorId="7CC6D489" wp14:editId="7E603466">
            <wp:extent cx="5274310" cy="77476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4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DAEFD" w14:textId="3AEED533" w:rsidR="00850FD6" w:rsidRPr="00850FD6" w:rsidRDefault="00850FD6" w:rsidP="00850FD6">
      <w:pPr>
        <w:spacing w:line="480" w:lineRule="auto"/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</w:pPr>
      <w:r w:rsidRPr="00850FD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s</w:t>
      </w:r>
      <w:r w:rsidRPr="00850FD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2</w:t>
      </w:r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</w:t>
      </w:r>
      <w:r w:rsidRPr="00850FD6">
        <w:rPr>
          <w:rFonts w:ascii="Times New Roman" w:hAnsi="Times New Roman" w:cs="Times New Roman"/>
          <w:bCs/>
          <w:kern w:val="0"/>
          <w:sz w:val="24"/>
          <w:szCs w:val="24"/>
        </w:rPr>
        <w:t>Aerobic glycolysis is required for microglial inflammatory activation.</w:t>
      </w:r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</w:t>
      </w:r>
      <w:r w:rsidRPr="00850FD6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 xml:space="preserve">a-j 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BV-2 cells were pretreated with 2-DG (600-1000 </w:t>
      </w:r>
      <w:proofErr w:type="spellStart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μ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>M</w:t>
      </w:r>
      <w:proofErr w:type="spellEnd"/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) or 3-BPA (25-100 </w:t>
      </w:r>
      <w:proofErr w:type="spellStart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μ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>M</w:t>
      </w:r>
      <w:proofErr w:type="spellEnd"/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) for 30 min, 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lastRenderedPageBreak/>
        <w:t xml:space="preserve">followed by LPS (200 ng/mL) treatment for 6 hours. The expression of </w:t>
      </w:r>
      <w:proofErr w:type="spellStart"/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>iNOS</w:t>
      </w:r>
      <w:proofErr w:type="spellEnd"/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>, COX2, TNF-α, IL-1β, and IL-6 was measured by qPCR. The values are the means ± S.D. of 3 different experiments (n=3). *</w:t>
      </w:r>
      <w:r w:rsidRPr="00850FD6">
        <w:rPr>
          <w:rFonts w:ascii="Times New Roman" w:hAnsi="Times New Roman" w:cs="Times New Roman"/>
          <w:bCs/>
          <w:i/>
          <w:color w:val="000000"/>
          <w:kern w:val="24"/>
          <w:sz w:val="24"/>
          <w:szCs w:val="24"/>
        </w:rPr>
        <w:t xml:space="preserve"> p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 &lt;0.05, **</w:t>
      </w:r>
      <w:r w:rsidRPr="00850FD6">
        <w:rPr>
          <w:rFonts w:ascii="Times New Roman" w:hAnsi="Times New Roman" w:cs="Times New Roman"/>
          <w:bCs/>
          <w:i/>
          <w:color w:val="000000"/>
          <w:kern w:val="24"/>
          <w:sz w:val="24"/>
          <w:szCs w:val="24"/>
        </w:rPr>
        <w:t xml:space="preserve"> p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 &lt;0.01</w:t>
      </w:r>
      <w:r w:rsidR="00140DC2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, 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>compared to the LPS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sym w:font="Symbol" w:char="F020"/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 group.</w:t>
      </w:r>
    </w:p>
    <w:p w14:paraId="7B27D187" w14:textId="6417B88D" w:rsidR="00850FD6" w:rsidRPr="00850FD6" w:rsidRDefault="00850FD6" w:rsidP="00850FD6">
      <w:pPr>
        <w:spacing w:line="480" w:lineRule="auto"/>
        <w:rPr>
          <w:sz w:val="24"/>
          <w:szCs w:val="28"/>
        </w:rPr>
      </w:pPr>
    </w:p>
    <w:p w14:paraId="3FEA6C26" w14:textId="4FF2C70A" w:rsidR="00850FD6" w:rsidRDefault="00850FD6">
      <w:pPr>
        <w:widowControl/>
        <w:jc w:val="left"/>
      </w:pPr>
      <w:r>
        <w:br w:type="page"/>
      </w:r>
    </w:p>
    <w:p w14:paraId="7AEB3866" w14:textId="3EC9C34B" w:rsidR="00850FD6" w:rsidRPr="00850FD6" w:rsidRDefault="00140DC2" w:rsidP="008423D0">
      <w:pPr>
        <w:spacing w:line="480" w:lineRule="auto"/>
        <w:jc w:val="center"/>
        <w:rPr>
          <w:sz w:val="24"/>
          <w:szCs w:val="28"/>
        </w:rPr>
      </w:pPr>
      <w:r>
        <w:rPr>
          <w:noProof/>
          <w:sz w:val="24"/>
          <w:szCs w:val="28"/>
        </w:rPr>
        <w:lastRenderedPageBreak/>
        <w:drawing>
          <wp:inline distT="0" distB="0" distL="0" distR="0" wp14:anchorId="5D55F607" wp14:editId="029FB5C7">
            <wp:extent cx="5274310" cy="7651115"/>
            <wp:effectExtent l="0" t="0" r="254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.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5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A9CD5" w14:textId="0F27746B" w:rsidR="00850FD6" w:rsidRDefault="00850FD6" w:rsidP="00850FD6">
      <w:pPr>
        <w:spacing w:line="480" w:lineRule="auto"/>
        <w:rPr>
          <w:bCs/>
          <w:sz w:val="24"/>
          <w:szCs w:val="28"/>
        </w:rPr>
      </w:pPr>
      <w:r w:rsidRPr="00850FD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 xml:space="preserve">Fig. </w:t>
      </w:r>
      <w:r w:rsidR="0094775F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s</w:t>
      </w:r>
      <w:r w:rsidRPr="00850FD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3</w:t>
      </w:r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Aerobic glycolysis is required for microglial inflammatory activation. </w:t>
      </w:r>
      <w:r w:rsidRPr="008423D0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>a-r</w:t>
      </w:r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BV2 cells were treated with control siRNA or si-GluT-1, si-HK2, or </w:t>
      </w:r>
      <w:proofErr w:type="spellStart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si</w:t>
      </w:r>
      <w:proofErr w:type="spellEnd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-LDHA. After 48 hours, BV2 microglia were stimulated with LPS (200 ng/ml) for 6 hours. The validation of </w:t>
      </w:r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lastRenderedPageBreak/>
        <w:t xml:space="preserve">knockdown efficiency was determined by qPCR analysis (a, g, m). Expression of </w:t>
      </w:r>
      <w:proofErr w:type="spellStart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iNOS</w:t>
      </w:r>
      <w:proofErr w:type="spellEnd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, COX2, TNF-α, IL-1β, and IL-6 was measured by qPCR analysis (</w:t>
      </w:r>
      <w:r w:rsidRPr="008423D0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>b-f, h-l, n-r</w:t>
      </w:r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). Values are means ± S.D. of 3 different experiments (n=3). ** </w:t>
      </w:r>
      <w:r w:rsidRPr="00140DC2">
        <w:rPr>
          <w:rFonts w:ascii="Times New Roman" w:hAnsi="Times New Roman" w:cs="Times New Roman"/>
          <w:bCs/>
          <w:i/>
          <w:color w:val="000000"/>
          <w:kern w:val="24"/>
          <w:sz w:val="24"/>
          <w:szCs w:val="24"/>
        </w:rPr>
        <w:t>p</w:t>
      </w:r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&lt;0.01, compared to the </w:t>
      </w:r>
      <w:proofErr w:type="spellStart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siCtrl</w:t>
      </w:r>
      <w:proofErr w:type="spellEnd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+ LPS group. # </w:t>
      </w:r>
      <w:r w:rsidRPr="00140DC2">
        <w:rPr>
          <w:rFonts w:ascii="Times New Roman" w:hAnsi="Times New Roman" w:cs="Times New Roman"/>
          <w:bCs/>
          <w:i/>
          <w:color w:val="000000"/>
          <w:kern w:val="24"/>
          <w:sz w:val="24"/>
          <w:szCs w:val="24"/>
        </w:rPr>
        <w:t>p</w:t>
      </w:r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&lt;0.05, compared to </w:t>
      </w:r>
      <w:proofErr w:type="spellStart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siCtrl</w:t>
      </w:r>
      <w:proofErr w:type="spellEnd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+ NONE group.</w:t>
      </w:r>
    </w:p>
    <w:p w14:paraId="15436D81" w14:textId="77777777" w:rsidR="00850FD6" w:rsidRDefault="00850FD6">
      <w:pPr>
        <w:widowControl/>
        <w:jc w:val="left"/>
        <w:rPr>
          <w:bCs/>
          <w:sz w:val="24"/>
          <w:szCs w:val="28"/>
        </w:rPr>
      </w:pPr>
      <w:r>
        <w:rPr>
          <w:bCs/>
          <w:sz w:val="24"/>
          <w:szCs w:val="28"/>
        </w:rPr>
        <w:br w:type="page"/>
      </w:r>
    </w:p>
    <w:p w14:paraId="479DF774" w14:textId="6D59D6A9" w:rsidR="00850FD6" w:rsidRDefault="00FF679E" w:rsidP="008423D0">
      <w:pPr>
        <w:spacing w:line="480" w:lineRule="auto"/>
        <w:jc w:val="center"/>
        <w:rPr>
          <w:bCs/>
          <w:sz w:val="24"/>
          <w:szCs w:val="28"/>
        </w:rPr>
      </w:pPr>
      <w:r>
        <w:rPr>
          <w:bCs/>
          <w:noProof/>
          <w:sz w:val="24"/>
          <w:szCs w:val="28"/>
        </w:rPr>
        <w:lastRenderedPageBreak/>
        <w:drawing>
          <wp:inline distT="0" distB="0" distL="0" distR="0" wp14:anchorId="2A8CFC05" wp14:editId="7388125C">
            <wp:extent cx="4651248" cy="659587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1248" cy="6595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6054F" w14:textId="7D91EEB8" w:rsidR="0094775F" w:rsidRDefault="00850FD6" w:rsidP="00850FD6">
      <w:pPr>
        <w:spacing w:line="480" w:lineRule="auto"/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</w:pPr>
      <w:r w:rsidRPr="00850FD6"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 xml:space="preserve">Fig. </w:t>
      </w:r>
      <w:r w:rsidR="0094775F"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>s</w:t>
      </w:r>
      <w:r w:rsidRPr="00850FD6"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>4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</w:t>
      </w:r>
      <w:r w:rsidR="00352E33" w:rsidRPr="00352E33">
        <w:rPr>
          <w:rFonts w:ascii="Times New Roman" w:hAnsi="Times New Roman" w:cs="Times New Roman"/>
          <w:color w:val="000000"/>
          <w:kern w:val="24"/>
          <w:sz w:val="24"/>
          <w:szCs w:val="28"/>
        </w:rPr>
        <w:t>Glycolytic inhibitors suppress the inflammatory response by negatively regulating NF-</w:t>
      </w:r>
      <w:proofErr w:type="spellStart"/>
      <w:r w:rsidR="00352E33" w:rsidRPr="00352E33">
        <w:rPr>
          <w:rFonts w:ascii="Times New Roman" w:hAnsi="Times New Roman" w:cs="Times New Roman"/>
          <w:color w:val="000000"/>
          <w:kern w:val="24"/>
          <w:sz w:val="24"/>
          <w:szCs w:val="28"/>
        </w:rPr>
        <w:t>κB</w:t>
      </w:r>
      <w:proofErr w:type="spellEnd"/>
      <w:r w:rsidR="00352E33" w:rsidRPr="00352E33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signaling. </w:t>
      </w:r>
      <w:r w:rsidRPr="00850FD6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>a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BV-2 cells were pretreated with 3-BPA (25-100 </w:t>
      </w:r>
      <w:proofErr w:type="spellStart"/>
      <w:r w:rsidRPr="00850FD6">
        <w:rPr>
          <w:rFonts w:ascii="Times New Roman" w:hAnsi="Times New Roman" w:cs="Times New Roman"/>
          <w:bCs/>
          <w:color w:val="000000"/>
          <w:kern w:val="24"/>
          <w:sz w:val="24"/>
          <w:szCs w:val="28"/>
        </w:rPr>
        <w:t>μ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>M</w:t>
      </w:r>
      <w:proofErr w:type="spellEnd"/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>) for 30 min, followed by LPS (200 ng/mL) treatment for 16 hours. The activity of NF-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sym w:font="Symbol" w:char="F06B"/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B was determined by a luciferase reporter assay system. </w:t>
      </w:r>
      <w:r w:rsidRPr="00850FD6">
        <w:rPr>
          <w:rFonts w:ascii="Times New Roman" w:hAnsi="Times New Roman" w:cs="Times New Roman"/>
          <w:b/>
          <w:bCs/>
          <w:sz w:val="24"/>
          <w:szCs w:val="28"/>
        </w:rPr>
        <w:t xml:space="preserve">b </w:t>
      </w:r>
      <w:r w:rsidRPr="00850FD6">
        <w:rPr>
          <w:rFonts w:ascii="Times New Roman" w:hAnsi="Times New Roman" w:cs="Times New Roman"/>
          <w:sz w:val="24"/>
          <w:szCs w:val="28"/>
        </w:rPr>
        <w:t>Luciferase activity detected in HEK293T cells transfected with an NF-</w:t>
      </w:r>
      <w:proofErr w:type="spellStart"/>
      <w:r w:rsidRPr="00850FD6">
        <w:rPr>
          <w:rFonts w:ascii="Times New Roman" w:hAnsi="Times New Roman" w:cs="Times New Roman"/>
          <w:sz w:val="24"/>
          <w:szCs w:val="28"/>
        </w:rPr>
        <w:t>κB</w:t>
      </w:r>
      <w:proofErr w:type="spellEnd"/>
      <w:r w:rsidRPr="00850FD6">
        <w:rPr>
          <w:rFonts w:ascii="Times New Roman" w:hAnsi="Times New Roman" w:cs="Times New Roman"/>
          <w:sz w:val="24"/>
          <w:szCs w:val="28"/>
        </w:rPr>
        <w:t xml:space="preserve"> luciferase reporter and the indicated </w:t>
      </w:r>
      <w:r w:rsidRPr="00850FD6">
        <w:rPr>
          <w:rFonts w:ascii="Times New Roman" w:hAnsi="Times New Roman" w:cs="Times New Roman"/>
          <w:sz w:val="24"/>
          <w:szCs w:val="28"/>
        </w:rPr>
        <w:lastRenderedPageBreak/>
        <w:t xml:space="preserve">plasmids. </w:t>
      </w:r>
      <w:r w:rsidRPr="00850FD6">
        <w:rPr>
          <w:rFonts w:ascii="Times New Roman" w:hAnsi="Times New Roman" w:cs="Times New Roman"/>
          <w:b/>
          <w:bCs/>
          <w:sz w:val="24"/>
          <w:szCs w:val="28"/>
        </w:rPr>
        <w:t>c</w:t>
      </w:r>
      <w:r w:rsidRPr="00850FD6">
        <w:rPr>
          <w:rFonts w:ascii="Times New Roman" w:hAnsi="Times New Roman" w:cs="Times New Roman"/>
          <w:sz w:val="24"/>
          <w:szCs w:val="28"/>
        </w:rPr>
        <w:t xml:space="preserve"> BV-2 cells were pretreated with 3-BPA (25-100 </w:t>
      </w:r>
      <w:proofErr w:type="spellStart"/>
      <w:r w:rsidRPr="00850FD6">
        <w:rPr>
          <w:rFonts w:ascii="Times New Roman" w:hAnsi="Times New Roman" w:cs="Times New Roman"/>
          <w:sz w:val="24"/>
          <w:szCs w:val="28"/>
        </w:rPr>
        <w:t>μM</w:t>
      </w:r>
      <w:proofErr w:type="spellEnd"/>
      <w:r w:rsidRPr="00850FD6">
        <w:rPr>
          <w:rFonts w:ascii="Times New Roman" w:hAnsi="Times New Roman" w:cs="Times New Roman"/>
          <w:sz w:val="24"/>
          <w:szCs w:val="28"/>
        </w:rPr>
        <w:t>) for 30 min, followed by LPS (200 ng/mL) treatment for 30 min. The expression of p-JNK, JNK, p-ERK, ERK, p-p38, and p38 was analyzed by Western blotting</w:t>
      </w:r>
      <w:r w:rsidR="0063424C">
        <w:rPr>
          <w:rFonts w:ascii="Times New Roman" w:hAnsi="Times New Roman" w:cs="Times New Roman"/>
          <w:sz w:val="24"/>
          <w:szCs w:val="28"/>
        </w:rPr>
        <w:t xml:space="preserve"> </w:t>
      </w:r>
      <w:r w:rsidR="0063424C" w:rsidRPr="0063424C">
        <w:rPr>
          <w:rFonts w:ascii="Times New Roman" w:hAnsi="Times New Roman" w:cs="Times New Roman"/>
          <w:sz w:val="24"/>
          <w:szCs w:val="28"/>
        </w:rPr>
        <w:t>(</w:t>
      </w:r>
      <w:r w:rsidR="0063424C">
        <w:rPr>
          <w:rFonts w:ascii="Times New Roman" w:hAnsi="Times New Roman" w:cs="Times New Roman"/>
          <w:sz w:val="24"/>
          <w:szCs w:val="28"/>
        </w:rPr>
        <w:t>left)</w:t>
      </w:r>
      <w:r w:rsidR="0063424C" w:rsidRPr="0063424C">
        <w:rPr>
          <w:rFonts w:ascii="Times New Roman" w:hAnsi="Times New Roman" w:cs="Times New Roman"/>
          <w:sz w:val="24"/>
          <w:szCs w:val="28"/>
        </w:rPr>
        <w:t xml:space="preserve"> and quantified by densitometric analysis (</w:t>
      </w:r>
      <w:r w:rsidR="0063424C">
        <w:rPr>
          <w:rFonts w:ascii="Times New Roman" w:hAnsi="Times New Roman" w:cs="Times New Roman"/>
          <w:sz w:val="24"/>
          <w:szCs w:val="28"/>
        </w:rPr>
        <w:t>right</w:t>
      </w:r>
      <w:r w:rsidR="0063424C" w:rsidRPr="0063424C">
        <w:rPr>
          <w:rFonts w:ascii="Times New Roman" w:hAnsi="Times New Roman" w:cs="Times New Roman"/>
          <w:sz w:val="24"/>
          <w:szCs w:val="28"/>
        </w:rPr>
        <w:t>)</w:t>
      </w:r>
      <w:r w:rsidRPr="00850FD6">
        <w:rPr>
          <w:rFonts w:ascii="Times New Roman" w:hAnsi="Times New Roman" w:cs="Times New Roman"/>
          <w:sz w:val="24"/>
          <w:szCs w:val="28"/>
        </w:rPr>
        <w:t xml:space="preserve">. </w:t>
      </w:r>
      <w:r w:rsidRPr="00850FD6">
        <w:rPr>
          <w:rFonts w:ascii="Times New Roman" w:hAnsi="Times New Roman" w:cs="Times New Roman"/>
          <w:b/>
          <w:bCs/>
          <w:sz w:val="24"/>
          <w:szCs w:val="28"/>
        </w:rPr>
        <w:t>d</w:t>
      </w:r>
      <w:r w:rsidRPr="00850FD6">
        <w:rPr>
          <w:rFonts w:ascii="Times New Roman" w:hAnsi="Times New Roman" w:cs="Times New Roman"/>
          <w:sz w:val="24"/>
          <w:szCs w:val="28"/>
        </w:rPr>
        <w:t xml:space="preserve"> BV-2 cells were treated with </w:t>
      </w:r>
      <w:r w:rsidR="0094775F"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3-BPA (25-100 </w:t>
      </w:r>
      <w:proofErr w:type="spellStart"/>
      <w:r w:rsidR="0094775F" w:rsidRPr="00850FD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μ</w:t>
      </w:r>
      <w:r w:rsidR="0094775F"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>M</w:t>
      </w:r>
      <w:proofErr w:type="spellEnd"/>
      <w:r w:rsidR="0094775F" w:rsidRPr="00850FD6">
        <w:rPr>
          <w:rFonts w:ascii="Times New Roman" w:hAnsi="Times New Roman" w:cs="Times New Roman"/>
          <w:color w:val="000000"/>
          <w:kern w:val="24"/>
          <w:sz w:val="24"/>
          <w:szCs w:val="24"/>
        </w:rPr>
        <w:t>)</w:t>
      </w:r>
      <w:r w:rsidRPr="00850FD6">
        <w:rPr>
          <w:rFonts w:ascii="Times New Roman" w:hAnsi="Times New Roman" w:cs="Times New Roman"/>
          <w:sz w:val="24"/>
          <w:szCs w:val="28"/>
        </w:rPr>
        <w:t xml:space="preserve"> for 30 min prior to LPS stimulation for 30 min. The expression of p-TBK1 was </w:t>
      </w:r>
      <w:r w:rsidR="0063424C">
        <w:rPr>
          <w:rFonts w:ascii="Times New Roman" w:hAnsi="Times New Roman" w:cs="Times New Roman"/>
          <w:sz w:val="24"/>
          <w:szCs w:val="28"/>
        </w:rPr>
        <w:t>determined</w:t>
      </w:r>
      <w:r w:rsidR="0063424C" w:rsidRPr="00850FD6">
        <w:rPr>
          <w:rFonts w:ascii="Times New Roman" w:hAnsi="Times New Roman" w:cs="Times New Roman"/>
          <w:sz w:val="24"/>
          <w:szCs w:val="28"/>
        </w:rPr>
        <w:t xml:space="preserve"> </w:t>
      </w:r>
      <w:r w:rsidRPr="00850FD6">
        <w:rPr>
          <w:rFonts w:ascii="Times New Roman" w:hAnsi="Times New Roman" w:cs="Times New Roman"/>
          <w:sz w:val="24"/>
          <w:szCs w:val="28"/>
        </w:rPr>
        <w:t>by Western blotting</w:t>
      </w:r>
      <w:r w:rsidR="0063424C">
        <w:rPr>
          <w:rFonts w:ascii="Times New Roman" w:hAnsi="Times New Roman" w:cs="Times New Roman"/>
          <w:sz w:val="24"/>
          <w:szCs w:val="28"/>
        </w:rPr>
        <w:t xml:space="preserve"> </w:t>
      </w:r>
      <w:r w:rsidR="0063424C" w:rsidRPr="0063424C">
        <w:rPr>
          <w:rFonts w:ascii="Times New Roman" w:hAnsi="Times New Roman" w:cs="Times New Roman"/>
          <w:sz w:val="24"/>
          <w:szCs w:val="28"/>
        </w:rPr>
        <w:t>(left) and quantification of p-TBK1 levels was normalized to α-tubulin (right)</w:t>
      </w:r>
      <w:r w:rsidRPr="00850FD6">
        <w:rPr>
          <w:rFonts w:ascii="Times New Roman" w:hAnsi="Times New Roman" w:cs="Times New Roman"/>
          <w:sz w:val="24"/>
          <w:szCs w:val="28"/>
        </w:rPr>
        <w:t xml:space="preserve">. 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>Values are means ± S.D. of 3 different experiments (n=3). *</w:t>
      </w:r>
      <w:r w:rsidRPr="00850FD6">
        <w:rPr>
          <w:rFonts w:ascii="Times New Roman" w:hAnsi="Times New Roman" w:cs="Times New Roman"/>
          <w:bCs/>
          <w:i/>
          <w:color w:val="000000"/>
          <w:kern w:val="24"/>
          <w:sz w:val="24"/>
          <w:szCs w:val="28"/>
        </w:rPr>
        <w:t xml:space="preserve"> p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&lt;0.05, **</w:t>
      </w:r>
      <w:r w:rsidRPr="00850FD6">
        <w:rPr>
          <w:rFonts w:ascii="Times New Roman" w:hAnsi="Times New Roman" w:cs="Times New Roman"/>
          <w:bCs/>
          <w:i/>
          <w:color w:val="000000"/>
          <w:kern w:val="24"/>
          <w:sz w:val="24"/>
          <w:szCs w:val="28"/>
        </w:rPr>
        <w:t xml:space="preserve"> p</w:t>
      </w:r>
      <w:r w:rsidRPr="00850FD6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&lt;0.01, compared to the LPS group or the NONE group.</w:t>
      </w:r>
    </w:p>
    <w:p w14:paraId="798273D4" w14:textId="77777777" w:rsidR="0094775F" w:rsidRDefault="0094775F">
      <w:pPr>
        <w:widowControl/>
        <w:jc w:val="left"/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br w:type="page"/>
      </w:r>
    </w:p>
    <w:p w14:paraId="061C50B3" w14:textId="567B438A" w:rsidR="0094775F" w:rsidRDefault="00FF679E" w:rsidP="00850FD6">
      <w:pPr>
        <w:spacing w:line="480" w:lineRule="auto"/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</w:pPr>
      <w:r>
        <w:rPr>
          <w:rFonts w:ascii="Times New Roman" w:hAnsi="Times New Roman" w:cs="Times New Roman"/>
          <w:b/>
          <w:noProof/>
          <w:color w:val="000000"/>
          <w:kern w:val="24"/>
          <w:sz w:val="24"/>
          <w:szCs w:val="28"/>
        </w:rPr>
        <w:lastRenderedPageBreak/>
        <w:drawing>
          <wp:inline distT="0" distB="0" distL="0" distR="0" wp14:anchorId="51DAD72E" wp14:editId="09E08961">
            <wp:extent cx="5274310" cy="46888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C34A1" w14:textId="36BF4B44" w:rsidR="0094775F" w:rsidRDefault="0094775F" w:rsidP="00850FD6">
      <w:pPr>
        <w:spacing w:line="480" w:lineRule="auto"/>
        <w:rPr>
          <w:rFonts w:ascii="Times New Roman" w:hAnsi="Times New Roman" w:cs="Times New Roman"/>
          <w:color w:val="000000"/>
          <w:kern w:val="24"/>
          <w:sz w:val="24"/>
          <w:szCs w:val="28"/>
        </w:rPr>
      </w:pPr>
      <w:r w:rsidRPr="0094775F"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 xml:space="preserve">Fig. 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>s</w:t>
      </w:r>
      <w:r w:rsidRPr="0094775F"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 xml:space="preserve">5 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Glycolytic inhibitors suppressed LPS-induced IKKβ activation by modulating AMPK/mTOR signaling in microglial cells. </w:t>
      </w:r>
      <w:r w:rsidRPr="0094775F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>a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BV-2 cells were pretreated with 3-BPA (25-100 </w:t>
      </w:r>
      <w:proofErr w:type="spellStart"/>
      <w:r w:rsidRPr="0094775F">
        <w:rPr>
          <w:rFonts w:ascii="Times New Roman" w:hAnsi="Times New Roman" w:cs="Times New Roman"/>
          <w:bCs/>
          <w:color w:val="000000"/>
          <w:kern w:val="24"/>
          <w:sz w:val="24"/>
          <w:szCs w:val="28"/>
        </w:rPr>
        <w:t>μ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M</w:t>
      </w:r>
      <w:proofErr w:type="spellEnd"/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) for 30 min, followed by LPS (200 ng/mL) treatment for 15 min. The expression of p-IKK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sym w:font="Symbol" w:char="F061"/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/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sym w:font="Symbol" w:char="F062"/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sym w:font="Symbol" w:char="F02C"/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p-I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sym w:font="Symbol" w:char="F06B"/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B-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sym w:font="Symbol" w:char="F061"/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and I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sym w:font="Symbol" w:char="F06B"/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B-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sym w:font="Symbol" w:char="F061"/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was </w:t>
      </w:r>
      <w:r w:rsidR="0063424C">
        <w:rPr>
          <w:rFonts w:ascii="Times New Roman" w:hAnsi="Times New Roman" w:cs="Times New Roman"/>
          <w:color w:val="000000"/>
          <w:kern w:val="24"/>
          <w:sz w:val="24"/>
          <w:szCs w:val="28"/>
        </w:rPr>
        <w:t>measured</w:t>
      </w:r>
      <w:r w:rsidR="0063424C"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by Western blotting</w:t>
      </w:r>
      <w:r w:rsidR="0063424C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</w:t>
      </w:r>
      <w:r w:rsidR="0063424C" w:rsidRPr="0063424C">
        <w:rPr>
          <w:rFonts w:ascii="Times New Roman" w:hAnsi="Times New Roman" w:cs="Times New Roman"/>
          <w:sz w:val="24"/>
          <w:szCs w:val="28"/>
        </w:rPr>
        <w:t>(</w:t>
      </w:r>
      <w:r w:rsidR="0063424C">
        <w:rPr>
          <w:rFonts w:ascii="Times New Roman" w:hAnsi="Times New Roman" w:cs="Times New Roman"/>
          <w:sz w:val="24"/>
          <w:szCs w:val="28"/>
        </w:rPr>
        <w:t>top)</w:t>
      </w:r>
      <w:r w:rsidR="0063424C" w:rsidRPr="0063424C">
        <w:rPr>
          <w:rFonts w:ascii="Times New Roman" w:hAnsi="Times New Roman" w:cs="Times New Roman"/>
          <w:sz w:val="24"/>
          <w:szCs w:val="28"/>
        </w:rPr>
        <w:t xml:space="preserve"> and quantified by densitometric analysis (</w:t>
      </w:r>
      <w:r w:rsidR="0063424C">
        <w:rPr>
          <w:rFonts w:ascii="Times New Roman" w:hAnsi="Times New Roman" w:cs="Times New Roman"/>
          <w:sz w:val="24"/>
          <w:szCs w:val="28"/>
        </w:rPr>
        <w:t>below</w:t>
      </w:r>
      <w:r w:rsidR="0063424C" w:rsidRPr="0063424C">
        <w:rPr>
          <w:rFonts w:ascii="Times New Roman" w:hAnsi="Times New Roman" w:cs="Times New Roman"/>
          <w:sz w:val="24"/>
          <w:szCs w:val="28"/>
        </w:rPr>
        <w:t>)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. </w:t>
      </w:r>
      <w:r w:rsidRPr="0094775F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>b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BV-2 cells were pretreated with 3-BPA (25-100 </w:t>
      </w:r>
      <w:proofErr w:type="spellStart"/>
      <w:r w:rsidRPr="0094775F">
        <w:rPr>
          <w:rFonts w:ascii="Times New Roman" w:hAnsi="Times New Roman" w:cs="Times New Roman"/>
          <w:bCs/>
          <w:color w:val="000000"/>
          <w:kern w:val="24"/>
          <w:sz w:val="24"/>
          <w:szCs w:val="28"/>
        </w:rPr>
        <w:t>μ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M</w:t>
      </w:r>
      <w:proofErr w:type="spellEnd"/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) for 30 min, followed by LPS (200 ng/mL) treatment for the indicated times. After 1 hour, the expression of p-AMPK and p-mTOR (total mTOR) was analyzed by Western blotting</w:t>
      </w:r>
      <w:r w:rsidR="0063424C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</w:t>
      </w:r>
      <w:r w:rsidR="0063424C" w:rsidRPr="0063424C">
        <w:rPr>
          <w:rFonts w:ascii="Times New Roman" w:hAnsi="Times New Roman" w:cs="Times New Roman"/>
          <w:sz w:val="24"/>
          <w:szCs w:val="28"/>
        </w:rPr>
        <w:t>(</w:t>
      </w:r>
      <w:r w:rsidR="0063424C">
        <w:rPr>
          <w:rFonts w:ascii="Times New Roman" w:hAnsi="Times New Roman" w:cs="Times New Roman"/>
          <w:sz w:val="24"/>
          <w:szCs w:val="28"/>
        </w:rPr>
        <w:t>top)</w:t>
      </w:r>
      <w:r w:rsidR="0063424C" w:rsidRPr="0063424C">
        <w:rPr>
          <w:rFonts w:ascii="Times New Roman" w:hAnsi="Times New Roman" w:cs="Times New Roman"/>
          <w:sz w:val="24"/>
          <w:szCs w:val="28"/>
        </w:rPr>
        <w:t xml:space="preserve"> and quantified by densitometric analysis (</w:t>
      </w:r>
      <w:r w:rsidR="0063424C">
        <w:rPr>
          <w:rFonts w:ascii="Times New Roman" w:hAnsi="Times New Roman" w:cs="Times New Roman"/>
          <w:sz w:val="24"/>
          <w:szCs w:val="28"/>
        </w:rPr>
        <w:t>below</w:t>
      </w:r>
      <w:r w:rsidR="0063424C" w:rsidRPr="0063424C">
        <w:rPr>
          <w:rFonts w:ascii="Times New Roman" w:hAnsi="Times New Roman" w:cs="Times New Roman"/>
          <w:sz w:val="24"/>
          <w:szCs w:val="28"/>
        </w:rPr>
        <w:t>)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. </w:t>
      </w:r>
      <w:r w:rsidRPr="0094775F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>c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After 16 hours, the ADP/ATP ratio was calculated as described in the methods and materials section. Values are means ± S.D. of 3 different experiments (n=3). *</w:t>
      </w:r>
      <w:r w:rsidRPr="0094775F">
        <w:rPr>
          <w:rFonts w:ascii="Times New Roman" w:hAnsi="Times New Roman" w:cs="Times New Roman"/>
          <w:bCs/>
          <w:i/>
          <w:color w:val="000000"/>
          <w:kern w:val="24"/>
          <w:sz w:val="24"/>
          <w:szCs w:val="28"/>
        </w:rPr>
        <w:t xml:space="preserve"> p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&lt;0.05, 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lastRenderedPageBreak/>
        <w:t>compared to the LPS group.</w:t>
      </w:r>
    </w:p>
    <w:p w14:paraId="11EAD60A" w14:textId="77777777" w:rsidR="0094775F" w:rsidRDefault="0094775F">
      <w:pPr>
        <w:widowControl/>
        <w:jc w:val="left"/>
        <w:rPr>
          <w:rFonts w:ascii="Times New Roman" w:hAnsi="Times New Roman" w:cs="Times New Roman"/>
          <w:color w:val="000000"/>
          <w:kern w:val="24"/>
          <w:sz w:val="24"/>
          <w:szCs w:val="28"/>
        </w:rPr>
      </w:pPr>
      <w:r>
        <w:rPr>
          <w:rFonts w:ascii="Times New Roman" w:hAnsi="Times New Roman" w:cs="Times New Roman"/>
          <w:color w:val="000000"/>
          <w:kern w:val="24"/>
          <w:sz w:val="24"/>
          <w:szCs w:val="28"/>
        </w:rPr>
        <w:br w:type="page"/>
      </w:r>
    </w:p>
    <w:p w14:paraId="0D998AF9" w14:textId="4B0C7DFE" w:rsidR="0094775F" w:rsidRDefault="008423D0" w:rsidP="008423D0">
      <w:pPr>
        <w:jc w:val="center"/>
        <w:rPr>
          <w:rFonts w:ascii="Times New Roman" w:hAnsi="Times New Roman" w:cs="Times New Roman"/>
          <w:b/>
          <w:color w:val="000000"/>
          <w:kern w:val="24"/>
        </w:rPr>
      </w:pPr>
      <w:r>
        <w:rPr>
          <w:rFonts w:ascii="Times New Roman" w:hAnsi="Times New Roman" w:cs="Times New Roman"/>
          <w:b/>
          <w:noProof/>
          <w:color w:val="000000"/>
          <w:kern w:val="24"/>
        </w:rPr>
        <w:lastRenderedPageBreak/>
        <w:drawing>
          <wp:inline distT="0" distB="0" distL="0" distR="0" wp14:anchorId="394A598F" wp14:editId="4FD6CA3D">
            <wp:extent cx="4020312" cy="2267712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.S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0312" cy="2267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08BA8" w14:textId="5BBB92C2" w:rsidR="0094775F" w:rsidRPr="00A467CF" w:rsidRDefault="0094775F" w:rsidP="0094775F">
      <w:pPr>
        <w:spacing w:line="480" w:lineRule="auto"/>
        <w:rPr>
          <w:rFonts w:ascii="Times New Roman" w:hAnsi="Times New Roman" w:cs="Times New Roman"/>
          <w:color w:val="000000"/>
          <w:kern w:val="24"/>
        </w:rPr>
      </w:pPr>
      <w:r w:rsidRPr="0094775F"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 xml:space="preserve">Fig. 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>s</w:t>
      </w:r>
      <w:r w:rsidRPr="0094775F"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 xml:space="preserve">6 </w:t>
      </w:r>
      <w:r w:rsidRPr="0094775F">
        <w:rPr>
          <w:rFonts w:ascii="Times New Roman" w:hAnsi="Times New Roman" w:cs="Times New Roman"/>
          <w:sz w:val="24"/>
          <w:szCs w:val="28"/>
        </w:rPr>
        <w:t>Glycolytic inhibitors reduce CM of activated microglial cell-induced MES23.5 neuroblastoma cell death.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</w:t>
      </w:r>
      <w:r w:rsidRPr="0094775F">
        <w:rPr>
          <w:rFonts w:ascii="Times New Roman" w:hAnsi="Times New Roman" w:cs="Times New Roman"/>
          <w:b/>
          <w:color w:val="000000"/>
          <w:kern w:val="24"/>
          <w:sz w:val="24"/>
          <w:szCs w:val="28"/>
        </w:rPr>
        <w:t>a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BV-2 cells were pretreated with 3-BPA (25-100 </w:t>
      </w:r>
      <w:proofErr w:type="spellStart"/>
      <w:r w:rsidRPr="0094775F">
        <w:rPr>
          <w:rFonts w:ascii="Times New Roman" w:hAnsi="Times New Roman" w:cs="Times New Roman"/>
          <w:bCs/>
          <w:color w:val="000000"/>
          <w:kern w:val="24"/>
          <w:sz w:val="24"/>
          <w:szCs w:val="28"/>
        </w:rPr>
        <w:t>μ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M</w:t>
      </w:r>
      <w:proofErr w:type="spellEnd"/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) for 30 min, followed by LPS (200 ng/mL) treatment for 6 hours. The culture medium was removed and fresh medium was added. After 24 hours of incubation, the culture medium was added to MES23.5 cells. Cell viability was determined by MTT assay.</w:t>
      </w:r>
      <w:r w:rsidRPr="0094775F">
        <w:rPr>
          <w:rFonts w:ascii="Times New Roman" w:hAnsi="Times New Roman" w:cs="Times New Roman"/>
          <w:b/>
          <w:bCs/>
          <w:color w:val="000000"/>
          <w:kern w:val="24"/>
          <w:sz w:val="24"/>
          <w:szCs w:val="28"/>
        </w:rPr>
        <w:t xml:space="preserve"> b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MES23.5 cells were treated with 3-BPA (12.5-100 </w:t>
      </w:r>
      <w:proofErr w:type="spellStart"/>
      <w:r w:rsidRPr="0094775F">
        <w:rPr>
          <w:rFonts w:ascii="Times New Roman" w:hAnsi="Times New Roman" w:cs="Times New Roman"/>
          <w:bCs/>
          <w:color w:val="000000"/>
          <w:kern w:val="24"/>
          <w:sz w:val="24"/>
          <w:szCs w:val="28"/>
        </w:rPr>
        <w:t>μ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M</w:t>
      </w:r>
      <w:proofErr w:type="spellEnd"/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) and MPP</w:t>
      </w:r>
      <w:r w:rsidRPr="0094775F">
        <w:rPr>
          <w:rFonts w:ascii="Times New Roman" w:hAnsi="Times New Roman" w:cs="Times New Roman"/>
          <w:color w:val="000000"/>
          <w:kern w:val="24"/>
          <w:position w:val="1"/>
          <w:sz w:val="24"/>
          <w:szCs w:val="28"/>
          <w:vertAlign w:val="superscript"/>
        </w:rPr>
        <w:t>+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(1000 </w:t>
      </w:r>
      <w:proofErr w:type="spellStart"/>
      <w:r w:rsidRPr="0094775F">
        <w:rPr>
          <w:rFonts w:ascii="Times New Roman" w:hAnsi="Times New Roman" w:cs="Times New Roman"/>
          <w:bCs/>
          <w:color w:val="000000"/>
          <w:kern w:val="24"/>
          <w:sz w:val="24"/>
          <w:szCs w:val="28"/>
        </w:rPr>
        <w:t>μ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M</w:t>
      </w:r>
      <w:proofErr w:type="spellEnd"/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>) for 24 hours. Cell viability was determined by MTT assay. The values are the means ± S.D. of 3 different experiments (n=3). **</w:t>
      </w:r>
      <w:r w:rsidRPr="0094775F">
        <w:rPr>
          <w:rFonts w:ascii="Times New Roman" w:hAnsi="Times New Roman" w:cs="Times New Roman"/>
          <w:bCs/>
          <w:i/>
          <w:color w:val="000000"/>
          <w:kern w:val="24"/>
          <w:sz w:val="24"/>
          <w:szCs w:val="28"/>
        </w:rPr>
        <w:t xml:space="preserve"> p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&lt;0.01, ***</w:t>
      </w:r>
      <w:r w:rsidRPr="0094775F">
        <w:rPr>
          <w:rFonts w:ascii="Times New Roman" w:hAnsi="Times New Roman" w:cs="Times New Roman"/>
          <w:bCs/>
          <w:i/>
          <w:color w:val="000000"/>
          <w:kern w:val="24"/>
          <w:sz w:val="24"/>
          <w:szCs w:val="28"/>
        </w:rPr>
        <w:t xml:space="preserve"> p</w:t>
      </w:r>
      <w:r w:rsidRPr="0094775F">
        <w:rPr>
          <w:rFonts w:ascii="Times New Roman" w:hAnsi="Times New Roman" w:cs="Times New Roman"/>
          <w:color w:val="000000"/>
          <w:kern w:val="24"/>
          <w:sz w:val="24"/>
          <w:szCs w:val="28"/>
        </w:rPr>
        <w:t xml:space="preserve"> &lt;0.001, compared to the LPS group</w:t>
      </w:r>
      <w:r w:rsidRPr="00A467CF">
        <w:rPr>
          <w:rFonts w:ascii="Times New Roman" w:hAnsi="Times New Roman" w:cs="Times New Roman"/>
          <w:color w:val="000000"/>
          <w:kern w:val="24"/>
        </w:rPr>
        <w:t>.</w:t>
      </w:r>
    </w:p>
    <w:p w14:paraId="2331A6B7" w14:textId="74D4938E" w:rsidR="0094775F" w:rsidRPr="0094775F" w:rsidRDefault="0094775F" w:rsidP="00850FD6">
      <w:pPr>
        <w:spacing w:line="480" w:lineRule="auto"/>
        <w:rPr>
          <w:rFonts w:ascii="Times New Roman" w:hAnsi="Times New Roman" w:cs="Times New Roman"/>
          <w:color w:val="000000"/>
          <w:kern w:val="24"/>
          <w:sz w:val="24"/>
          <w:szCs w:val="28"/>
        </w:rPr>
      </w:pPr>
    </w:p>
    <w:sectPr w:rsidR="0094775F" w:rsidRPr="0094775F" w:rsidSect="00446B4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88C063" w14:textId="77777777" w:rsidR="007A1997" w:rsidRDefault="007A1997" w:rsidP="00850FD6">
      <w:r>
        <w:separator/>
      </w:r>
    </w:p>
  </w:endnote>
  <w:endnote w:type="continuationSeparator" w:id="0">
    <w:p w14:paraId="4E4E48D3" w14:textId="77777777" w:rsidR="007A1997" w:rsidRDefault="007A1997" w:rsidP="00850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E0AC86" w14:textId="77777777" w:rsidR="007A1997" w:rsidRDefault="007A1997" w:rsidP="00850FD6">
      <w:r>
        <w:separator/>
      </w:r>
    </w:p>
  </w:footnote>
  <w:footnote w:type="continuationSeparator" w:id="0">
    <w:p w14:paraId="45CD93F3" w14:textId="77777777" w:rsidR="007A1997" w:rsidRDefault="007A1997" w:rsidP="00850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5827"/>
    <w:rsid w:val="0010211A"/>
    <w:rsid w:val="00140DC2"/>
    <w:rsid w:val="001B480C"/>
    <w:rsid w:val="00275827"/>
    <w:rsid w:val="00352E33"/>
    <w:rsid w:val="00446B42"/>
    <w:rsid w:val="005C17CC"/>
    <w:rsid w:val="0063424C"/>
    <w:rsid w:val="00677DA7"/>
    <w:rsid w:val="007A1997"/>
    <w:rsid w:val="008423D0"/>
    <w:rsid w:val="00850FD6"/>
    <w:rsid w:val="0094775F"/>
    <w:rsid w:val="00AE0C4A"/>
    <w:rsid w:val="00B420D6"/>
    <w:rsid w:val="00C23FD4"/>
    <w:rsid w:val="00F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C7AE4"/>
  <w15:chartTrackingRefBased/>
  <w15:docId w15:val="{79F367E4-A085-4BDE-8337-8A61D7733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0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0F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0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0FD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50FD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50FD6"/>
    <w:rPr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446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2A2B57-8F41-4F13-80C2-887C866AE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645</Words>
  <Characters>3678</Characters>
  <Application>Microsoft Office Word</Application>
  <DocSecurity>0</DocSecurity>
  <Lines>30</Lines>
  <Paragraphs>8</Paragraphs>
  <ScaleCrop>false</ScaleCrop>
  <Company/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 junjie</dc:creator>
  <cp:keywords/>
  <dc:description/>
  <cp:lastModifiedBy>cheng junjie</cp:lastModifiedBy>
  <cp:revision>3</cp:revision>
  <dcterms:created xsi:type="dcterms:W3CDTF">2020-10-12T14:05:00Z</dcterms:created>
  <dcterms:modified xsi:type="dcterms:W3CDTF">2020-10-14T10:15:00Z</dcterms:modified>
</cp:coreProperties>
</file>