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10C371" w14:textId="12AEBBBC" w:rsidR="00D012CA" w:rsidRDefault="00D012CA" w:rsidP="00D012CA">
      <w:pPr>
        <w:pStyle w:val="Heading5"/>
        <w:spacing w:line="480" w:lineRule="auto"/>
        <w:jc w:val="both"/>
        <w:rPr>
          <w:rFonts w:asciiTheme="majorBidi" w:hAnsiTheme="majorBidi"/>
          <w:b/>
          <w:bCs/>
          <w:color w:val="000000" w:themeColor="text1"/>
          <w:kern w:val="0"/>
          <w:sz w:val="28"/>
          <w:szCs w:val="28"/>
        </w:rPr>
      </w:pPr>
      <w:bookmarkStart w:id="0" w:name="_Hlk53257339"/>
      <w:r>
        <w:rPr>
          <w:rFonts w:asciiTheme="majorBidi" w:hAnsiTheme="majorBidi"/>
          <w:b/>
          <w:bCs/>
          <w:color w:val="000000" w:themeColor="text1"/>
          <w:kern w:val="0"/>
          <w:sz w:val="28"/>
          <w:szCs w:val="28"/>
        </w:rPr>
        <w:t>In vi</w:t>
      </w:r>
      <w:r w:rsidR="00277090">
        <w:rPr>
          <w:rFonts w:asciiTheme="majorBidi" w:hAnsiTheme="majorBidi"/>
          <w:b/>
          <w:bCs/>
          <w:color w:val="000000" w:themeColor="text1"/>
          <w:kern w:val="0"/>
          <w:sz w:val="28"/>
          <w:szCs w:val="28"/>
        </w:rPr>
        <w:t>vo</w:t>
      </w:r>
      <w:r>
        <w:rPr>
          <w:rFonts w:asciiTheme="majorBidi" w:hAnsiTheme="majorBidi"/>
          <w:b/>
          <w:bCs/>
          <w:color w:val="000000" w:themeColor="text1"/>
          <w:kern w:val="0"/>
          <w:sz w:val="28"/>
          <w:szCs w:val="28"/>
        </w:rPr>
        <w:t xml:space="preserve"> and in vi</w:t>
      </w:r>
      <w:r w:rsidR="00277090">
        <w:rPr>
          <w:rFonts w:asciiTheme="majorBidi" w:hAnsiTheme="majorBidi"/>
          <w:b/>
          <w:bCs/>
          <w:color w:val="000000" w:themeColor="text1"/>
          <w:kern w:val="0"/>
          <w:sz w:val="28"/>
          <w:szCs w:val="28"/>
        </w:rPr>
        <w:t>tro</w:t>
      </w:r>
      <w:r>
        <w:rPr>
          <w:rFonts w:asciiTheme="majorBidi" w:hAnsiTheme="majorBidi"/>
          <w:b/>
          <w:bCs/>
          <w:color w:val="000000" w:themeColor="text1"/>
          <w:kern w:val="0"/>
          <w:sz w:val="28"/>
          <w:szCs w:val="28"/>
        </w:rPr>
        <w:t xml:space="preserve"> evaluation of the anti-inflammatory effect of Thymoquinone toward Ischemic brain injury alleviation via Nrf2/HO-1 pathway.</w:t>
      </w:r>
      <w:bookmarkEnd w:id="0"/>
    </w:p>
    <w:p w14:paraId="5A82BA3B" w14:textId="2C7C340B" w:rsidR="006B6AB6" w:rsidRPr="006B6AB6" w:rsidRDefault="006B6AB6" w:rsidP="006B6AB6">
      <w:pPr>
        <w:spacing w:line="480" w:lineRule="auto"/>
        <w:jc w:val="both"/>
        <w:rPr>
          <w:rFonts w:asciiTheme="majorBidi" w:hAnsiTheme="majorBidi" w:cstheme="majorBidi"/>
          <w:color w:val="000000" w:themeColor="text1"/>
          <w:sz w:val="24"/>
          <w:szCs w:val="24"/>
          <w:vertAlign w:val="superscript"/>
        </w:rPr>
      </w:pPr>
      <w:r w:rsidRPr="006B6AB6">
        <w:rPr>
          <w:rFonts w:asciiTheme="majorBidi" w:hAnsiTheme="majorBidi" w:cstheme="majorBidi"/>
          <w:color w:val="000000" w:themeColor="text1"/>
          <w:sz w:val="24"/>
          <w:szCs w:val="24"/>
        </w:rPr>
        <w:t>Nashwa Amin</w:t>
      </w:r>
      <w:r w:rsidRPr="006B6AB6">
        <w:rPr>
          <w:rFonts w:asciiTheme="majorBidi" w:hAnsiTheme="majorBidi" w:cstheme="majorBidi"/>
          <w:color w:val="000000" w:themeColor="text1"/>
          <w:sz w:val="24"/>
          <w:szCs w:val="24"/>
          <w:vertAlign w:val="superscript"/>
        </w:rPr>
        <w:t>1,2</w:t>
      </w:r>
      <w:r w:rsidRPr="006B6AB6">
        <w:rPr>
          <w:rFonts w:asciiTheme="majorBidi" w:hAnsiTheme="majorBidi" w:cstheme="majorBidi"/>
          <w:color w:val="000000" w:themeColor="text1"/>
          <w:sz w:val="24"/>
          <w:szCs w:val="24"/>
        </w:rPr>
        <w:t xml:space="preserve">, </w:t>
      </w:r>
      <w:proofErr w:type="spellStart"/>
      <w:r w:rsidRPr="006B6AB6">
        <w:rPr>
          <w:rFonts w:asciiTheme="majorBidi" w:hAnsiTheme="majorBidi" w:cstheme="majorBidi"/>
          <w:color w:val="000000" w:themeColor="text1"/>
          <w:sz w:val="24"/>
          <w:szCs w:val="24"/>
        </w:rPr>
        <w:t>Xiaoxue</w:t>
      </w:r>
      <w:proofErr w:type="spellEnd"/>
      <w:r w:rsidRPr="006B6AB6">
        <w:rPr>
          <w:rFonts w:asciiTheme="majorBidi" w:hAnsiTheme="majorBidi" w:cstheme="majorBidi"/>
          <w:color w:val="000000" w:themeColor="text1"/>
          <w:sz w:val="24"/>
          <w:szCs w:val="24"/>
        </w:rPr>
        <w:t xml:space="preserve"> Du</w:t>
      </w:r>
      <w:r w:rsidRPr="006B6AB6">
        <w:rPr>
          <w:rFonts w:asciiTheme="majorBidi" w:hAnsiTheme="majorBidi" w:cstheme="majorBidi"/>
          <w:color w:val="000000" w:themeColor="text1"/>
          <w:sz w:val="24"/>
          <w:szCs w:val="24"/>
          <w:vertAlign w:val="superscript"/>
        </w:rPr>
        <w:t>3</w:t>
      </w:r>
      <w:r w:rsidRPr="006B6AB6">
        <w:rPr>
          <w:rFonts w:asciiTheme="majorBidi" w:hAnsiTheme="majorBidi" w:cstheme="majorBidi"/>
          <w:color w:val="000000" w:themeColor="text1"/>
          <w:sz w:val="24"/>
          <w:szCs w:val="24"/>
        </w:rPr>
        <w:t xml:space="preserve">, </w:t>
      </w:r>
      <w:proofErr w:type="spellStart"/>
      <w:r w:rsidRPr="006B6AB6">
        <w:rPr>
          <w:rFonts w:asciiTheme="majorBidi" w:hAnsiTheme="majorBidi" w:cstheme="majorBidi"/>
          <w:color w:val="000000" w:themeColor="text1"/>
          <w:sz w:val="24"/>
          <w:szCs w:val="24"/>
        </w:rPr>
        <w:t>Shijia</w:t>
      </w:r>
      <w:proofErr w:type="spellEnd"/>
      <w:r w:rsidRPr="006B6AB6">
        <w:rPr>
          <w:rFonts w:asciiTheme="majorBidi" w:hAnsiTheme="majorBidi" w:cstheme="majorBidi"/>
          <w:color w:val="000000" w:themeColor="text1"/>
          <w:sz w:val="24"/>
          <w:szCs w:val="24"/>
        </w:rPr>
        <w:t xml:space="preserve"> Chen</w:t>
      </w:r>
      <w:r w:rsidRPr="006B6AB6">
        <w:rPr>
          <w:rFonts w:asciiTheme="majorBidi" w:hAnsiTheme="majorBidi" w:cstheme="majorBidi"/>
          <w:color w:val="000000" w:themeColor="text1"/>
          <w:sz w:val="24"/>
          <w:szCs w:val="24"/>
          <w:vertAlign w:val="superscript"/>
        </w:rPr>
        <w:t>1</w:t>
      </w:r>
      <w:r w:rsidRPr="006B6AB6">
        <w:rPr>
          <w:rFonts w:asciiTheme="majorBidi" w:hAnsiTheme="majorBidi" w:cstheme="majorBidi"/>
          <w:color w:val="000000" w:themeColor="text1"/>
          <w:sz w:val="24"/>
          <w:szCs w:val="24"/>
        </w:rPr>
        <w:t xml:space="preserve">, </w:t>
      </w:r>
      <w:proofErr w:type="spellStart"/>
      <w:r w:rsidRPr="006B6AB6">
        <w:rPr>
          <w:rFonts w:asciiTheme="majorBidi" w:hAnsiTheme="majorBidi" w:cstheme="majorBidi"/>
          <w:color w:val="000000" w:themeColor="text1"/>
          <w:sz w:val="24"/>
          <w:szCs w:val="24"/>
        </w:rPr>
        <w:t>Qiannan</w:t>
      </w:r>
      <w:proofErr w:type="spellEnd"/>
      <w:r w:rsidRPr="006B6AB6">
        <w:rPr>
          <w:rFonts w:asciiTheme="majorBidi" w:hAnsiTheme="majorBidi" w:cstheme="majorBidi"/>
          <w:color w:val="000000" w:themeColor="text1"/>
          <w:sz w:val="24"/>
          <w:szCs w:val="24"/>
        </w:rPr>
        <w:t xml:space="preserve"> Ren</w:t>
      </w:r>
      <w:r w:rsidRPr="006B6AB6">
        <w:rPr>
          <w:rFonts w:asciiTheme="majorBidi" w:hAnsiTheme="majorBidi" w:cstheme="majorBidi"/>
          <w:color w:val="000000" w:themeColor="text1"/>
          <w:sz w:val="24"/>
          <w:szCs w:val="24"/>
          <w:vertAlign w:val="superscript"/>
        </w:rPr>
        <w:t>1</w:t>
      </w:r>
      <w:r w:rsidRPr="006B6AB6">
        <w:rPr>
          <w:rFonts w:asciiTheme="majorBidi" w:hAnsiTheme="majorBidi" w:cstheme="majorBidi"/>
          <w:color w:val="000000" w:themeColor="text1"/>
          <w:sz w:val="24"/>
          <w:szCs w:val="24"/>
        </w:rPr>
        <w:t xml:space="preserve">, </w:t>
      </w:r>
      <w:proofErr w:type="spellStart"/>
      <w:r w:rsidRPr="006B6AB6">
        <w:rPr>
          <w:rFonts w:asciiTheme="majorBidi" w:hAnsiTheme="majorBidi" w:cstheme="majorBidi"/>
          <w:color w:val="000000" w:themeColor="text1"/>
          <w:sz w:val="24"/>
          <w:szCs w:val="24"/>
        </w:rPr>
        <w:t>Azhar</w:t>
      </w:r>
      <w:proofErr w:type="spellEnd"/>
      <w:r w:rsidRPr="006B6AB6">
        <w:rPr>
          <w:rFonts w:asciiTheme="majorBidi" w:hAnsiTheme="majorBidi" w:cstheme="majorBidi"/>
          <w:color w:val="000000" w:themeColor="text1"/>
          <w:sz w:val="24"/>
          <w:szCs w:val="24"/>
        </w:rPr>
        <w:t xml:space="preserve"> B. Hussien</w:t>
      </w:r>
      <w:r w:rsidRPr="006B6AB6">
        <w:rPr>
          <w:rFonts w:asciiTheme="majorBidi" w:hAnsiTheme="majorBidi" w:cstheme="majorBidi"/>
          <w:color w:val="000000" w:themeColor="text1"/>
          <w:sz w:val="24"/>
          <w:szCs w:val="24"/>
          <w:vertAlign w:val="superscript"/>
        </w:rPr>
        <w:t>1</w:t>
      </w:r>
      <w:r w:rsidRPr="006B6AB6">
        <w:rPr>
          <w:rFonts w:asciiTheme="majorBidi" w:hAnsiTheme="majorBidi" w:cstheme="majorBidi"/>
          <w:color w:val="000000" w:themeColor="text1"/>
          <w:sz w:val="24"/>
          <w:szCs w:val="24"/>
        </w:rPr>
        <w:t>, Benson O.A. Botchway</w:t>
      </w:r>
      <w:r w:rsidRPr="006B6AB6">
        <w:rPr>
          <w:rFonts w:asciiTheme="majorBidi" w:hAnsiTheme="majorBidi" w:cstheme="majorBidi"/>
          <w:color w:val="000000" w:themeColor="text1"/>
          <w:sz w:val="24"/>
          <w:szCs w:val="24"/>
          <w:vertAlign w:val="superscript"/>
        </w:rPr>
        <w:t>1</w:t>
      </w:r>
      <w:r w:rsidRPr="006B6AB6">
        <w:rPr>
          <w:rFonts w:asciiTheme="majorBidi" w:hAnsiTheme="majorBidi" w:cstheme="majorBidi"/>
          <w:color w:val="000000" w:themeColor="text1"/>
          <w:sz w:val="24"/>
          <w:szCs w:val="24"/>
        </w:rPr>
        <w:t xml:space="preserve">, </w:t>
      </w:r>
      <w:proofErr w:type="spellStart"/>
      <w:r w:rsidRPr="006B6AB6">
        <w:rPr>
          <w:rFonts w:asciiTheme="majorBidi" w:hAnsiTheme="majorBidi" w:cstheme="majorBidi"/>
          <w:color w:val="000000" w:themeColor="text1"/>
          <w:sz w:val="24"/>
          <w:szCs w:val="24"/>
        </w:rPr>
        <w:t>Zhiying</w:t>
      </w:r>
      <w:proofErr w:type="spellEnd"/>
      <w:r w:rsidRPr="006B6AB6">
        <w:rPr>
          <w:rFonts w:asciiTheme="majorBidi" w:hAnsiTheme="majorBidi" w:cstheme="majorBidi"/>
          <w:color w:val="000000" w:themeColor="text1"/>
          <w:sz w:val="24"/>
          <w:szCs w:val="24"/>
        </w:rPr>
        <w:t xml:space="preserve"> Hu</w:t>
      </w:r>
      <w:r w:rsidRPr="006B6AB6">
        <w:rPr>
          <w:rFonts w:asciiTheme="majorBidi" w:hAnsiTheme="majorBidi" w:cstheme="majorBidi"/>
          <w:color w:val="000000" w:themeColor="text1"/>
          <w:sz w:val="24"/>
          <w:szCs w:val="24"/>
          <w:vertAlign w:val="superscript"/>
        </w:rPr>
        <w:t>4, a</w:t>
      </w:r>
      <w:r w:rsidRPr="006B6AB6">
        <w:rPr>
          <w:rFonts w:asciiTheme="majorBidi" w:hAnsiTheme="majorBidi" w:cstheme="majorBidi"/>
          <w:color w:val="000000" w:themeColor="text1"/>
          <w:sz w:val="24"/>
          <w:szCs w:val="24"/>
        </w:rPr>
        <w:t xml:space="preserve">, </w:t>
      </w:r>
      <w:proofErr w:type="spellStart"/>
      <w:r w:rsidRPr="006B6AB6">
        <w:rPr>
          <w:rFonts w:asciiTheme="majorBidi" w:hAnsiTheme="majorBidi" w:cstheme="majorBidi"/>
          <w:color w:val="000000" w:themeColor="text1"/>
          <w:sz w:val="24"/>
          <w:szCs w:val="24"/>
        </w:rPr>
        <w:t>Marong</w:t>
      </w:r>
      <w:proofErr w:type="spellEnd"/>
      <w:r w:rsidRPr="006B6AB6">
        <w:rPr>
          <w:rFonts w:asciiTheme="majorBidi" w:hAnsiTheme="majorBidi" w:cstheme="majorBidi"/>
          <w:color w:val="000000" w:themeColor="text1"/>
          <w:sz w:val="24"/>
          <w:szCs w:val="24"/>
        </w:rPr>
        <w:t xml:space="preserve"> Fang</w:t>
      </w:r>
      <w:r w:rsidRPr="006B6AB6">
        <w:rPr>
          <w:rFonts w:asciiTheme="majorBidi" w:hAnsiTheme="majorBidi" w:cstheme="majorBidi"/>
          <w:color w:val="000000" w:themeColor="text1"/>
          <w:sz w:val="24"/>
          <w:szCs w:val="24"/>
          <w:vertAlign w:val="superscript"/>
        </w:rPr>
        <w:t>1, b</w:t>
      </w:r>
      <w:r w:rsidRPr="006B6AB6">
        <w:rPr>
          <w:rFonts w:asciiTheme="majorBidi" w:hAnsiTheme="majorBidi" w:cstheme="majorBidi"/>
          <w:color w:val="000000" w:themeColor="text1"/>
          <w:sz w:val="24"/>
          <w:szCs w:val="24"/>
        </w:rPr>
        <w:t xml:space="preserve"> </w:t>
      </w:r>
    </w:p>
    <w:p w14:paraId="1C0702F1" w14:textId="77777777" w:rsidR="00347636" w:rsidRPr="003D77AB" w:rsidRDefault="00347636" w:rsidP="00ED59B3">
      <w:pPr>
        <w:autoSpaceDE w:val="0"/>
        <w:autoSpaceDN w:val="0"/>
        <w:adjustRightInd w:val="0"/>
        <w:spacing w:line="480" w:lineRule="auto"/>
        <w:jc w:val="both"/>
        <w:rPr>
          <w:rFonts w:asciiTheme="majorBidi" w:hAnsiTheme="majorBidi" w:cstheme="majorBidi"/>
          <w:color w:val="000000" w:themeColor="text1"/>
          <w:sz w:val="24"/>
          <w:szCs w:val="24"/>
        </w:rPr>
      </w:pPr>
      <w:r w:rsidRPr="003D77AB">
        <w:rPr>
          <w:rFonts w:asciiTheme="majorBidi" w:hAnsiTheme="majorBidi" w:cstheme="majorBidi"/>
          <w:color w:val="000000" w:themeColor="text1"/>
          <w:sz w:val="24"/>
          <w:szCs w:val="24"/>
          <w:vertAlign w:val="superscript"/>
        </w:rPr>
        <w:t>1</w:t>
      </w:r>
      <w:r w:rsidRPr="003D77AB">
        <w:rPr>
          <w:rFonts w:asciiTheme="majorBidi" w:hAnsiTheme="majorBidi" w:cstheme="majorBidi"/>
          <w:color w:val="000000" w:themeColor="text1"/>
          <w:sz w:val="24"/>
          <w:szCs w:val="24"/>
        </w:rPr>
        <w:t>Institute of Neuroscience, School of Medicine, Zhejiang University, Hangzhou, China.</w:t>
      </w:r>
    </w:p>
    <w:p w14:paraId="54089DD5" w14:textId="77777777" w:rsidR="00347636" w:rsidRPr="003D77AB" w:rsidRDefault="00347636" w:rsidP="00ED59B3">
      <w:pPr>
        <w:autoSpaceDE w:val="0"/>
        <w:autoSpaceDN w:val="0"/>
        <w:adjustRightInd w:val="0"/>
        <w:spacing w:line="480" w:lineRule="auto"/>
        <w:jc w:val="both"/>
        <w:rPr>
          <w:rFonts w:asciiTheme="majorBidi" w:hAnsiTheme="majorBidi" w:cstheme="majorBidi"/>
          <w:color w:val="000000" w:themeColor="text1"/>
          <w:sz w:val="24"/>
          <w:szCs w:val="24"/>
        </w:rPr>
      </w:pPr>
      <w:r w:rsidRPr="003D77AB">
        <w:rPr>
          <w:rFonts w:asciiTheme="majorBidi" w:hAnsiTheme="majorBidi" w:cstheme="majorBidi"/>
          <w:b/>
          <w:bCs/>
          <w:color w:val="000000" w:themeColor="text1"/>
          <w:sz w:val="24"/>
          <w:szCs w:val="24"/>
          <w:vertAlign w:val="superscript"/>
        </w:rPr>
        <w:t>2</w:t>
      </w:r>
      <w:r w:rsidRPr="003D77AB">
        <w:rPr>
          <w:rFonts w:asciiTheme="majorBidi" w:hAnsiTheme="majorBidi" w:cstheme="majorBidi"/>
          <w:color w:val="000000" w:themeColor="text1"/>
          <w:sz w:val="24"/>
          <w:szCs w:val="24"/>
        </w:rPr>
        <w:t>Department of Zoology, Faculty of Science, Aswan University, Egypt.</w:t>
      </w:r>
    </w:p>
    <w:p w14:paraId="699BDCC0" w14:textId="77777777" w:rsidR="00347636" w:rsidRPr="003D77AB" w:rsidRDefault="00347636" w:rsidP="00ED59B3">
      <w:pPr>
        <w:autoSpaceDE w:val="0"/>
        <w:autoSpaceDN w:val="0"/>
        <w:adjustRightInd w:val="0"/>
        <w:spacing w:line="480" w:lineRule="auto"/>
        <w:jc w:val="both"/>
        <w:rPr>
          <w:rFonts w:asciiTheme="majorBidi" w:hAnsiTheme="majorBidi" w:cstheme="majorBidi"/>
          <w:color w:val="000000" w:themeColor="text1"/>
          <w:sz w:val="24"/>
          <w:szCs w:val="24"/>
        </w:rPr>
      </w:pPr>
      <w:r w:rsidRPr="003D77AB">
        <w:rPr>
          <w:rFonts w:asciiTheme="majorBidi" w:hAnsiTheme="majorBidi" w:cstheme="majorBidi"/>
          <w:b/>
          <w:bCs/>
          <w:color w:val="000000" w:themeColor="text1"/>
          <w:sz w:val="24"/>
          <w:szCs w:val="24"/>
          <w:vertAlign w:val="superscript"/>
        </w:rPr>
        <w:t>3</w:t>
      </w:r>
      <w:r w:rsidRPr="003D77AB">
        <w:rPr>
          <w:rFonts w:asciiTheme="majorBidi" w:hAnsiTheme="majorBidi" w:cstheme="majorBidi"/>
          <w:color w:val="000000" w:themeColor="text1"/>
          <w:sz w:val="24"/>
          <w:szCs w:val="24"/>
        </w:rPr>
        <w:t>Translational Medicine Center, Affiliated Hangzhou First People’s Hospital, Zhejiang, China.</w:t>
      </w:r>
    </w:p>
    <w:p w14:paraId="1B70B2EE" w14:textId="77777777" w:rsidR="00347636" w:rsidRPr="003D77AB" w:rsidRDefault="00347636" w:rsidP="00ED59B3">
      <w:pPr>
        <w:spacing w:line="480" w:lineRule="auto"/>
        <w:jc w:val="both"/>
        <w:rPr>
          <w:rFonts w:asciiTheme="majorBidi" w:hAnsiTheme="majorBidi" w:cstheme="majorBidi"/>
          <w:color w:val="000000" w:themeColor="text1"/>
          <w:sz w:val="24"/>
          <w:szCs w:val="24"/>
        </w:rPr>
      </w:pPr>
      <w:r w:rsidRPr="003D77AB">
        <w:rPr>
          <w:rFonts w:asciiTheme="majorBidi" w:hAnsiTheme="majorBidi" w:cstheme="majorBidi"/>
          <w:b/>
          <w:bCs/>
          <w:color w:val="000000" w:themeColor="text1"/>
          <w:sz w:val="24"/>
          <w:szCs w:val="24"/>
          <w:vertAlign w:val="superscript"/>
        </w:rPr>
        <w:t>4</w:t>
      </w:r>
      <w:r w:rsidRPr="003D77AB">
        <w:rPr>
          <w:rFonts w:asciiTheme="majorBidi" w:hAnsiTheme="majorBidi" w:cstheme="majorBidi"/>
          <w:color w:val="000000" w:themeColor="text1"/>
          <w:sz w:val="24"/>
          <w:szCs w:val="24"/>
        </w:rPr>
        <w:t>Obstetrics &amp; Gynecology Department, Zhejiang Integrated Traditional and Western Medicine Hospital, Hangzhou, China.</w:t>
      </w:r>
    </w:p>
    <w:p w14:paraId="4D8D0DA1" w14:textId="77777777" w:rsidR="00347636" w:rsidRPr="003D77AB" w:rsidRDefault="00347636" w:rsidP="00ED59B3">
      <w:pPr>
        <w:autoSpaceDE w:val="0"/>
        <w:autoSpaceDN w:val="0"/>
        <w:adjustRightInd w:val="0"/>
        <w:spacing w:line="480" w:lineRule="auto"/>
        <w:jc w:val="both"/>
        <w:rPr>
          <w:rFonts w:asciiTheme="majorBidi" w:hAnsiTheme="majorBidi" w:cstheme="majorBidi"/>
          <w:color w:val="000000" w:themeColor="text1"/>
          <w:sz w:val="24"/>
          <w:szCs w:val="24"/>
          <w:vertAlign w:val="superscript"/>
        </w:rPr>
      </w:pPr>
      <w:r w:rsidRPr="003D77AB">
        <w:rPr>
          <w:rFonts w:asciiTheme="majorBidi" w:hAnsiTheme="majorBidi" w:cstheme="majorBidi"/>
          <w:color w:val="000000" w:themeColor="text1"/>
          <w:sz w:val="24"/>
          <w:szCs w:val="24"/>
          <w:vertAlign w:val="superscript"/>
        </w:rPr>
        <w:t>a</w:t>
      </w:r>
      <w:r w:rsidRPr="003D77AB">
        <w:rPr>
          <w:rFonts w:asciiTheme="majorBidi" w:hAnsiTheme="majorBidi" w:cstheme="majorBidi"/>
          <w:color w:val="000000" w:themeColor="text1"/>
          <w:sz w:val="24"/>
          <w:szCs w:val="24"/>
        </w:rPr>
        <w:t xml:space="preserve"> Correspondence: Z. Hu, Department of Obstetrics &amp; Gynecology, Zhejiang Integrated Traditional and Western Medicine Hospital, Hangzhou 310003, China.</w:t>
      </w:r>
    </w:p>
    <w:p w14:paraId="3750CA08" w14:textId="77777777" w:rsidR="00347636" w:rsidRPr="003D77AB" w:rsidRDefault="00347636" w:rsidP="00ED59B3">
      <w:pPr>
        <w:autoSpaceDE w:val="0"/>
        <w:autoSpaceDN w:val="0"/>
        <w:adjustRightInd w:val="0"/>
        <w:spacing w:line="480" w:lineRule="auto"/>
        <w:jc w:val="both"/>
        <w:rPr>
          <w:rFonts w:asciiTheme="majorBidi" w:hAnsiTheme="majorBidi" w:cstheme="majorBidi"/>
          <w:color w:val="000000" w:themeColor="text1"/>
          <w:sz w:val="24"/>
          <w:szCs w:val="24"/>
        </w:rPr>
      </w:pPr>
      <w:r w:rsidRPr="003D77AB">
        <w:rPr>
          <w:rFonts w:asciiTheme="majorBidi" w:hAnsiTheme="majorBidi" w:cstheme="majorBidi"/>
          <w:color w:val="000000" w:themeColor="text1"/>
          <w:sz w:val="24"/>
          <w:szCs w:val="24"/>
          <w:vertAlign w:val="superscript"/>
        </w:rPr>
        <w:t>b</w:t>
      </w:r>
      <w:r w:rsidRPr="003D77AB">
        <w:rPr>
          <w:rFonts w:asciiTheme="majorBidi" w:hAnsiTheme="majorBidi" w:cstheme="majorBidi"/>
          <w:color w:val="000000" w:themeColor="text1"/>
          <w:sz w:val="24"/>
          <w:szCs w:val="24"/>
        </w:rPr>
        <w:t xml:space="preserve"> Correspondence: M. Fang, Institute of Neuroscience, School of Medicine, Zhejiang University, 866 </w:t>
      </w:r>
      <w:proofErr w:type="spellStart"/>
      <w:r w:rsidRPr="003D77AB">
        <w:rPr>
          <w:rFonts w:asciiTheme="majorBidi" w:hAnsiTheme="majorBidi" w:cstheme="majorBidi"/>
          <w:color w:val="000000" w:themeColor="text1"/>
          <w:sz w:val="24"/>
          <w:szCs w:val="24"/>
        </w:rPr>
        <w:t>Yuhangtang</w:t>
      </w:r>
      <w:proofErr w:type="spellEnd"/>
      <w:r w:rsidRPr="003D77AB">
        <w:rPr>
          <w:rFonts w:asciiTheme="majorBidi" w:hAnsiTheme="majorBidi" w:cstheme="majorBidi"/>
          <w:color w:val="000000" w:themeColor="text1"/>
          <w:sz w:val="24"/>
          <w:szCs w:val="24"/>
        </w:rPr>
        <w:t xml:space="preserve"> Road, Hangzhou 310058, China.</w:t>
      </w:r>
    </w:p>
    <w:p w14:paraId="31636801" w14:textId="77777777" w:rsidR="00347636" w:rsidRPr="003D77AB" w:rsidRDefault="00347636" w:rsidP="00ED59B3">
      <w:pPr>
        <w:autoSpaceDE w:val="0"/>
        <w:autoSpaceDN w:val="0"/>
        <w:adjustRightInd w:val="0"/>
        <w:spacing w:line="480" w:lineRule="auto"/>
        <w:jc w:val="both"/>
        <w:rPr>
          <w:rFonts w:asciiTheme="majorBidi" w:hAnsiTheme="majorBidi" w:cstheme="majorBidi"/>
          <w:color w:val="000000" w:themeColor="text1"/>
          <w:sz w:val="24"/>
          <w:szCs w:val="24"/>
        </w:rPr>
      </w:pPr>
      <w:r w:rsidRPr="003D77AB">
        <w:rPr>
          <w:rFonts w:asciiTheme="majorBidi" w:hAnsiTheme="majorBidi" w:cstheme="majorBidi"/>
          <w:color w:val="000000" w:themeColor="text1"/>
          <w:sz w:val="24"/>
          <w:szCs w:val="24"/>
        </w:rPr>
        <w:t>E-mail addresses: huzhiying@zcmu.edu.cn (Z. Hu), fangmaro@zju.edu.cn (M. Fang).</w:t>
      </w:r>
    </w:p>
    <w:p w14:paraId="2EBD0411" w14:textId="77777777" w:rsidR="00236238" w:rsidRPr="003D77AB" w:rsidRDefault="00236238" w:rsidP="00ED59B3">
      <w:pPr>
        <w:jc w:val="both"/>
        <w:rPr>
          <w:rFonts w:asciiTheme="majorBidi" w:hAnsiTheme="majorBidi" w:cstheme="majorBidi"/>
          <w:b/>
          <w:bCs/>
          <w:sz w:val="24"/>
          <w:szCs w:val="24"/>
        </w:rPr>
      </w:pPr>
    </w:p>
    <w:p w14:paraId="722008E4" w14:textId="77777777" w:rsidR="00236238" w:rsidRPr="003D77AB" w:rsidRDefault="00236238" w:rsidP="00ED59B3">
      <w:pPr>
        <w:jc w:val="both"/>
        <w:rPr>
          <w:rFonts w:asciiTheme="majorBidi" w:hAnsiTheme="majorBidi" w:cstheme="majorBidi"/>
          <w:b/>
          <w:bCs/>
          <w:sz w:val="24"/>
          <w:szCs w:val="24"/>
        </w:rPr>
      </w:pPr>
    </w:p>
    <w:p w14:paraId="33451B61" w14:textId="77777777" w:rsidR="00236238" w:rsidRPr="003D77AB" w:rsidRDefault="00236238" w:rsidP="00ED59B3">
      <w:pPr>
        <w:jc w:val="both"/>
        <w:rPr>
          <w:rFonts w:asciiTheme="majorBidi" w:hAnsiTheme="majorBidi" w:cstheme="majorBidi"/>
          <w:b/>
          <w:bCs/>
          <w:sz w:val="24"/>
          <w:szCs w:val="24"/>
        </w:rPr>
      </w:pPr>
    </w:p>
    <w:p w14:paraId="6C28C600" w14:textId="77777777" w:rsidR="00236238" w:rsidRPr="003D77AB" w:rsidRDefault="00236238" w:rsidP="00ED59B3">
      <w:pPr>
        <w:jc w:val="both"/>
        <w:rPr>
          <w:rFonts w:asciiTheme="majorBidi" w:hAnsiTheme="majorBidi" w:cstheme="majorBidi"/>
          <w:b/>
          <w:bCs/>
          <w:sz w:val="24"/>
          <w:szCs w:val="24"/>
        </w:rPr>
      </w:pPr>
    </w:p>
    <w:p w14:paraId="1BA0626B" w14:textId="77777777" w:rsidR="00236238" w:rsidRPr="003D77AB" w:rsidRDefault="00236238" w:rsidP="00ED59B3">
      <w:pPr>
        <w:jc w:val="both"/>
        <w:rPr>
          <w:rFonts w:asciiTheme="majorBidi" w:hAnsiTheme="majorBidi" w:cstheme="majorBidi"/>
          <w:b/>
          <w:bCs/>
          <w:sz w:val="24"/>
          <w:szCs w:val="24"/>
        </w:rPr>
      </w:pPr>
    </w:p>
    <w:p w14:paraId="715193A3" w14:textId="77777777" w:rsidR="00236238" w:rsidRPr="003D77AB" w:rsidRDefault="00236238" w:rsidP="00ED59B3">
      <w:pPr>
        <w:jc w:val="both"/>
        <w:rPr>
          <w:rFonts w:asciiTheme="majorBidi" w:hAnsiTheme="majorBidi" w:cstheme="majorBidi"/>
          <w:b/>
          <w:bCs/>
          <w:sz w:val="24"/>
          <w:szCs w:val="24"/>
        </w:rPr>
      </w:pPr>
    </w:p>
    <w:p w14:paraId="6093475D" w14:textId="77777777" w:rsidR="006E5F96" w:rsidRPr="003D77AB" w:rsidRDefault="006E5F96" w:rsidP="00ED59B3">
      <w:pPr>
        <w:jc w:val="both"/>
        <w:rPr>
          <w:rFonts w:asciiTheme="majorBidi" w:hAnsiTheme="majorBidi" w:cstheme="majorBidi"/>
          <w:b/>
          <w:bCs/>
          <w:sz w:val="24"/>
          <w:szCs w:val="24"/>
        </w:rPr>
      </w:pPr>
    </w:p>
    <w:p w14:paraId="33131EC5" w14:textId="7C1BAD12" w:rsidR="00F56B3A" w:rsidRPr="003D77AB" w:rsidRDefault="00F56B3A" w:rsidP="00ED59B3">
      <w:pPr>
        <w:jc w:val="both"/>
        <w:rPr>
          <w:rFonts w:asciiTheme="majorBidi" w:hAnsiTheme="majorBidi" w:cstheme="majorBidi"/>
          <w:b/>
          <w:bCs/>
          <w:sz w:val="24"/>
          <w:szCs w:val="24"/>
        </w:rPr>
      </w:pPr>
      <w:r w:rsidRPr="003D77AB">
        <w:rPr>
          <w:rFonts w:asciiTheme="majorBidi" w:hAnsiTheme="majorBidi" w:cstheme="majorBidi"/>
          <w:b/>
          <w:bCs/>
          <w:sz w:val="24"/>
          <w:szCs w:val="24"/>
        </w:rPr>
        <w:t>Supplementary Data</w:t>
      </w:r>
    </w:p>
    <w:p w14:paraId="0B44D282" w14:textId="0AECDBC3" w:rsidR="00641174" w:rsidRDefault="00641174" w:rsidP="00ED59B3">
      <w:pPr>
        <w:autoSpaceDE w:val="0"/>
        <w:autoSpaceDN w:val="0"/>
        <w:adjustRightInd w:val="0"/>
        <w:jc w:val="both"/>
        <w:rPr>
          <w:rFonts w:asciiTheme="majorBidi" w:hAnsiTheme="majorBidi" w:cstheme="majorBidi"/>
          <w:b/>
          <w:bCs/>
          <w:sz w:val="24"/>
          <w:szCs w:val="24"/>
        </w:rPr>
      </w:pPr>
    </w:p>
    <w:p w14:paraId="0C4CDE35" w14:textId="77777777" w:rsidR="004B2ADE" w:rsidRPr="003C66C9" w:rsidRDefault="004B2ADE" w:rsidP="004B2ADE">
      <w:pPr>
        <w:spacing w:line="480" w:lineRule="auto"/>
        <w:jc w:val="both"/>
        <w:rPr>
          <w:rFonts w:asciiTheme="majorBidi" w:hAnsiTheme="majorBidi" w:cstheme="majorBidi"/>
          <w:szCs w:val="24"/>
        </w:rPr>
      </w:pPr>
      <w:r w:rsidRPr="003C66C9">
        <w:rPr>
          <w:rFonts w:asciiTheme="majorBidi" w:hAnsiTheme="majorBidi" w:cstheme="majorBidi"/>
          <w:noProof/>
          <w:color w:val="4472C4" w:themeColor="accent1"/>
          <w:szCs w:val="24"/>
          <w:lang w:eastAsia="zh-CN"/>
        </w:rPr>
        <w:drawing>
          <wp:inline distT="0" distB="0" distL="0" distR="0" wp14:anchorId="0F34B799" wp14:editId="74741204">
            <wp:extent cx="5707380" cy="3218328"/>
            <wp:effectExtent l="0" t="0" r="762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20498" cy="3225725"/>
                    </a:xfrm>
                    <a:prstGeom prst="rect">
                      <a:avLst/>
                    </a:prstGeom>
                    <a:noFill/>
                    <a:ln>
                      <a:noFill/>
                    </a:ln>
                  </pic:spPr>
                </pic:pic>
              </a:graphicData>
            </a:graphic>
          </wp:inline>
        </w:drawing>
      </w:r>
    </w:p>
    <w:p w14:paraId="7BF55E6F" w14:textId="23E40E74" w:rsidR="004B2ADE" w:rsidRPr="003D77AB" w:rsidRDefault="004B2ADE" w:rsidP="004B2ADE">
      <w:pPr>
        <w:autoSpaceDE w:val="0"/>
        <w:autoSpaceDN w:val="0"/>
        <w:adjustRightInd w:val="0"/>
        <w:spacing w:line="480" w:lineRule="auto"/>
        <w:jc w:val="both"/>
        <w:rPr>
          <w:rFonts w:asciiTheme="majorBidi" w:hAnsiTheme="majorBidi" w:cstheme="majorBidi"/>
          <w:sz w:val="24"/>
          <w:szCs w:val="24"/>
        </w:rPr>
      </w:pPr>
      <w:r w:rsidRPr="004B2ADE">
        <w:rPr>
          <w:rFonts w:asciiTheme="majorBidi" w:hAnsiTheme="majorBidi" w:cstheme="majorBidi"/>
          <w:b/>
          <w:bCs/>
          <w:sz w:val="24"/>
          <w:szCs w:val="24"/>
        </w:rPr>
        <w:t>Fig. I</w:t>
      </w:r>
      <w:r w:rsidRPr="004B2ADE">
        <w:rPr>
          <w:rFonts w:asciiTheme="majorBidi" w:hAnsiTheme="majorBidi" w:cstheme="majorBidi"/>
          <w:sz w:val="24"/>
          <w:szCs w:val="24"/>
        </w:rPr>
        <w:t xml:space="preserve"> (A) chemical structure of TQ and TP, (B) experiment design; TQ injected 5 days before model and continued for 7 days after while TP has been injected 24 h prior establishing the model and continued for 7 days after, behavioral tests were conducted at before treatment, before and after stroke.</w:t>
      </w:r>
    </w:p>
    <w:p w14:paraId="3BB79145" w14:textId="77777777" w:rsidR="004B2ADE" w:rsidRPr="003D77AB" w:rsidRDefault="004B2ADE" w:rsidP="00ED59B3">
      <w:pPr>
        <w:autoSpaceDE w:val="0"/>
        <w:autoSpaceDN w:val="0"/>
        <w:adjustRightInd w:val="0"/>
        <w:jc w:val="both"/>
        <w:rPr>
          <w:rFonts w:asciiTheme="majorBidi" w:hAnsiTheme="majorBidi" w:cstheme="majorBidi"/>
          <w:b/>
          <w:bCs/>
          <w:sz w:val="24"/>
          <w:szCs w:val="24"/>
        </w:rPr>
      </w:pPr>
    </w:p>
    <w:p w14:paraId="256365B3" w14:textId="0661E66C" w:rsidR="00EC66D2" w:rsidRDefault="004961E4" w:rsidP="008B6C13">
      <w:pPr>
        <w:autoSpaceDE w:val="0"/>
        <w:autoSpaceDN w:val="0"/>
        <w:adjustRightInd w:val="0"/>
        <w:jc w:val="both"/>
        <w:rPr>
          <w:rFonts w:asciiTheme="majorBidi" w:hAnsiTheme="majorBidi" w:cstheme="majorBidi"/>
          <w:b/>
          <w:bCs/>
          <w:sz w:val="24"/>
          <w:szCs w:val="24"/>
        </w:rPr>
      </w:pPr>
      <w:r w:rsidRPr="003D77AB">
        <w:rPr>
          <w:rFonts w:asciiTheme="majorBidi" w:hAnsiTheme="majorBidi" w:cstheme="majorBidi"/>
          <w:b/>
          <w:bCs/>
          <w:sz w:val="24"/>
          <w:szCs w:val="24"/>
        </w:rPr>
        <w:t>Materials and methods</w:t>
      </w:r>
    </w:p>
    <w:p w14:paraId="74D176ED" w14:textId="77777777" w:rsidR="008B6C13" w:rsidRPr="003D77AB" w:rsidRDefault="008B6C13" w:rsidP="008B6C13">
      <w:pPr>
        <w:autoSpaceDE w:val="0"/>
        <w:autoSpaceDN w:val="0"/>
        <w:adjustRightInd w:val="0"/>
        <w:jc w:val="both"/>
        <w:rPr>
          <w:rFonts w:asciiTheme="majorBidi" w:hAnsiTheme="majorBidi" w:cstheme="majorBidi"/>
          <w:b/>
          <w:bCs/>
          <w:sz w:val="24"/>
          <w:szCs w:val="24"/>
        </w:rPr>
      </w:pPr>
    </w:p>
    <w:p w14:paraId="24AAFCED" w14:textId="68132521" w:rsidR="00101035" w:rsidRPr="003D77AB" w:rsidRDefault="00101035" w:rsidP="00ED59B3">
      <w:pPr>
        <w:autoSpaceDE w:val="0"/>
        <w:autoSpaceDN w:val="0"/>
        <w:adjustRightInd w:val="0"/>
        <w:jc w:val="both"/>
        <w:rPr>
          <w:rFonts w:asciiTheme="majorBidi" w:hAnsiTheme="majorBidi" w:cstheme="majorBidi"/>
          <w:b/>
          <w:bCs/>
          <w:sz w:val="24"/>
          <w:szCs w:val="24"/>
        </w:rPr>
      </w:pPr>
      <w:bookmarkStart w:id="1" w:name="_Hlk51922033"/>
      <w:r w:rsidRPr="003D77AB">
        <w:rPr>
          <w:rFonts w:asciiTheme="majorBidi" w:hAnsiTheme="majorBidi" w:cstheme="majorBidi"/>
          <w:b/>
          <w:bCs/>
          <w:sz w:val="24"/>
          <w:szCs w:val="24"/>
        </w:rPr>
        <w:t xml:space="preserve">Section </w:t>
      </w:r>
      <w:r w:rsidR="008B6C13">
        <w:rPr>
          <w:rFonts w:asciiTheme="majorBidi" w:hAnsiTheme="majorBidi" w:cstheme="majorBidi"/>
          <w:b/>
          <w:bCs/>
          <w:sz w:val="24"/>
          <w:szCs w:val="24"/>
        </w:rPr>
        <w:t>1</w:t>
      </w:r>
      <w:r w:rsidRPr="003D77AB">
        <w:rPr>
          <w:rFonts w:asciiTheme="majorBidi" w:hAnsiTheme="majorBidi" w:cstheme="majorBidi"/>
          <w:b/>
          <w:bCs/>
          <w:sz w:val="24"/>
          <w:szCs w:val="24"/>
        </w:rPr>
        <w:t>: Successful establishment of the YFP mice</w:t>
      </w:r>
    </w:p>
    <w:bookmarkEnd w:id="1"/>
    <w:p w14:paraId="4EB5D987" w14:textId="42F4FEE5" w:rsidR="00101035" w:rsidRPr="003D77AB" w:rsidRDefault="00101035" w:rsidP="00ED59B3">
      <w:pPr>
        <w:autoSpaceDE w:val="0"/>
        <w:autoSpaceDN w:val="0"/>
        <w:adjustRightInd w:val="0"/>
        <w:spacing w:line="480" w:lineRule="auto"/>
        <w:jc w:val="both"/>
        <w:rPr>
          <w:rFonts w:asciiTheme="majorBidi" w:hAnsiTheme="majorBidi" w:cstheme="majorBidi"/>
          <w:sz w:val="24"/>
          <w:szCs w:val="24"/>
        </w:rPr>
      </w:pPr>
      <w:r w:rsidRPr="003D77AB">
        <w:rPr>
          <w:rFonts w:asciiTheme="majorBidi" w:hAnsiTheme="majorBidi" w:cstheme="majorBidi"/>
          <w:sz w:val="24"/>
          <w:szCs w:val="24"/>
        </w:rPr>
        <w:t>Sixty adult male C57BL/6J mice (average weight of 25 ± 2 g) obtained from the animal center of Zhejiang University Medical College and sixty adult male C57BL/6 transgenic mice (H-line) expressing YFP in a subset of layer 5 cortical neurons [</w:t>
      </w:r>
      <w:r w:rsidR="0063199E">
        <w:rPr>
          <w:rFonts w:asciiTheme="majorBidi" w:hAnsiTheme="majorBidi" w:cstheme="majorBidi"/>
          <w:sz w:val="24"/>
          <w:szCs w:val="24"/>
        </w:rPr>
        <w:t>1</w:t>
      </w:r>
      <w:r w:rsidRPr="003D77AB">
        <w:rPr>
          <w:rFonts w:asciiTheme="majorBidi" w:hAnsiTheme="majorBidi" w:cstheme="majorBidi"/>
          <w:sz w:val="24"/>
          <w:szCs w:val="24"/>
        </w:rPr>
        <w:t xml:space="preserve">] were used after </w:t>
      </w:r>
      <w:r w:rsidRPr="003D77AB">
        <w:rPr>
          <w:rFonts w:asciiTheme="majorBidi" w:hAnsiTheme="majorBidi" w:cstheme="majorBidi"/>
          <w:sz w:val="24"/>
          <w:szCs w:val="24"/>
        </w:rPr>
        <w:lastRenderedPageBreak/>
        <w:t>gene identification. The mice allowed to eat and drink freely at room temperature (24 ± 1 °C) under a relative humidity of 55% for 12 h light/12 h dark cycle. This study was performed following the Guide of Care and Use of Laboratory Animal Center of Zhejiang University. All animal treatments were approved by the Ethics Committee for Use of Experimental Animals at Zhejiang University.</w:t>
      </w:r>
    </w:p>
    <w:p w14:paraId="24C6DC14" w14:textId="397E0DCA" w:rsidR="00236238" w:rsidRPr="003D77AB" w:rsidRDefault="00236238" w:rsidP="00ED59B3">
      <w:pPr>
        <w:autoSpaceDE w:val="0"/>
        <w:autoSpaceDN w:val="0"/>
        <w:adjustRightInd w:val="0"/>
        <w:spacing w:line="480" w:lineRule="auto"/>
        <w:jc w:val="both"/>
        <w:rPr>
          <w:rFonts w:asciiTheme="majorBidi" w:hAnsiTheme="majorBidi" w:cstheme="majorBidi"/>
          <w:noProof/>
          <w:sz w:val="24"/>
          <w:szCs w:val="24"/>
          <w:lang w:eastAsia="zh-CN"/>
        </w:rPr>
      </w:pPr>
      <w:r w:rsidRPr="003D77AB">
        <w:rPr>
          <w:rFonts w:asciiTheme="majorBidi" w:hAnsiTheme="majorBidi" w:cstheme="majorBidi"/>
          <w:sz w:val="24"/>
          <w:szCs w:val="24"/>
        </w:rPr>
        <w:t xml:space="preserve">For exploring the changes in dendrite spines shape and density after stroke, five </w:t>
      </w:r>
      <w:proofErr w:type="gramStart"/>
      <w:r w:rsidRPr="003D77AB">
        <w:rPr>
          <w:rFonts w:asciiTheme="majorBidi" w:hAnsiTheme="majorBidi" w:cstheme="majorBidi"/>
          <w:sz w:val="24"/>
          <w:szCs w:val="24"/>
        </w:rPr>
        <w:t>adult</w:t>
      </w:r>
      <w:proofErr w:type="gramEnd"/>
      <w:r w:rsidRPr="003D77AB">
        <w:rPr>
          <w:rFonts w:asciiTheme="majorBidi" w:hAnsiTheme="majorBidi" w:cstheme="majorBidi"/>
          <w:sz w:val="24"/>
          <w:szCs w:val="24"/>
        </w:rPr>
        <w:t xml:space="preserve"> male YFP mice expressed YFP in 5 cortical neuron subsets were purchased from Jackson Laboratory (Bar Harbor, ME). For measuring the density of the neuronal dendritic spine, we allowed to mate with ten female </w:t>
      </w:r>
      <w:bookmarkStart w:id="2" w:name="_Hlk48562403"/>
      <w:r w:rsidRPr="003D77AB">
        <w:rPr>
          <w:rFonts w:asciiTheme="majorBidi" w:hAnsiTheme="majorBidi" w:cstheme="majorBidi"/>
          <w:sz w:val="24"/>
          <w:szCs w:val="24"/>
        </w:rPr>
        <w:t xml:space="preserve">C57BL/6J </w:t>
      </w:r>
      <w:bookmarkEnd w:id="2"/>
      <w:r w:rsidRPr="003D77AB">
        <w:rPr>
          <w:rFonts w:asciiTheme="majorBidi" w:hAnsiTheme="majorBidi" w:cstheme="majorBidi"/>
          <w:sz w:val="24"/>
          <w:szCs w:val="24"/>
        </w:rPr>
        <w:t>mice. Ten-weeks of old offspring were identified by PCR as shown in Fig</w:t>
      </w:r>
      <w:r w:rsidR="0063199E">
        <w:rPr>
          <w:rFonts w:asciiTheme="majorBidi" w:hAnsiTheme="majorBidi" w:cstheme="majorBidi"/>
          <w:sz w:val="24"/>
          <w:szCs w:val="24"/>
        </w:rPr>
        <w:t>.</w:t>
      </w:r>
      <w:r w:rsidRPr="003D77AB">
        <w:rPr>
          <w:rFonts w:asciiTheme="majorBidi" w:hAnsiTheme="majorBidi" w:cstheme="majorBidi"/>
          <w:sz w:val="24"/>
          <w:szCs w:val="24"/>
        </w:rPr>
        <w:t xml:space="preserve"> I.</w:t>
      </w:r>
      <w:r w:rsidRPr="003D77AB">
        <w:rPr>
          <w:rFonts w:asciiTheme="majorBidi" w:hAnsiTheme="majorBidi" w:cstheme="majorBidi"/>
          <w:noProof/>
          <w:sz w:val="24"/>
          <w:szCs w:val="24"/>
          <w:lang w:eastAsia="zh-CN"/>
        </w:rPr>
        <w:t xml:space="preserve"> </w:t>
      </w:r>
    </w:p>
    <w:p w14:paraId="7BF5A854" w14:textId="77777777" w:rsidR="00236238" w:rsidRPr="003D77AB" w:rsidRDefault="00236238" w:rsidP="00ED59B3">
      <w:pPr>
        <w:autoSpaceDE w:val="0"/>
        <w:autoSpaceDN w:val="0"/>
        <w:adjustRightInd w:val="0"/>
        <w:jc w:val="both"/>
        <w:rPr>
          <w:rFonts w:asciiTheme="majorBidi" w:hAnsiTheme="majorBidi" w:cstheme="majorBidi"/>
          <w:sz w:val="24"/>
          <w:szCs w:val="24"/>
        </w:rPr>
      </w:pPr>
      <w:r w:rsidRPr="003D77AB">
        <w:rPr>
          <w:rFonts w:asciiTheme="majorBidi" w:hAnsiTheme="majorBidi" w:cstheme="majorBidi"/>
          <w:noProof/>
          <w:sz w:val="24"/>
          <w:szCs w:val="24"/>
          <w:lang w:eastAsia="zh-CN"/>
        </w:rPr>
        <w:drawing>
          <wp:inline distT="0" distB="0" distL="0" distR="0" wp14:anchorId="48D76835" wp14:editId="0AC59F03">
            <wp:extent cx="5486400" cy="1228262"/>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8190"/>
                    <a:stretch/>
                  </pic:blipFill>
                  <pic:spPr bwMode="auto">
                    <a:xfrm>
                      <a:off x="0" y="0"/>
                      <a:ext cx="5486400" cy="1228262"/>
                    </a:xfrm>
                    <a:prstGeom prst="rect">
                      <a:avLst/>
                    </a:prstGeom>
                    <a:noFill/>
                    <a:ln>
                      <a:noFill/>
                    </a:ln>
                    <a:extLst>
                      <a:ext uri="{53640926-AAD7-44D8-BBD7-CCE9431645EC}">
                        <a14:shadowObscured xmlns:a14="http://schemas.microsoft.com/office/drawing/2010/main"/>
                      </a:ext>
                    </a:extLst>
                  </pic:spPr>
                </pic:pic>
              </a:graphicData>
            </a:graphic>
          </wp:inline>
        </w:drawing>
      </w:r>
    </w:p>
    <w:p w14:paraId="3A76A31F" w14:textId="0B710C2D" w:rsidR="00F56B3A" w:rsidRDefault="00236238" w:rsidP="00ED59B3">
      <w:pPr>
        <w:autoSpaceDE w:val="0"/>
        <w:autoSpaceDN w:val="0"/>
        <w:adjustRightInd w:val="0"/>
        <w:spacing w:line="480" w:lineRule="auto"/>
        <w:jc w:val="both"/>
        <w:rPr>
          <w:rFonts w:asciiTheme="majorBidi" w:hAnsiTheme="majorBidi" w:cstheme="majorBidi"/>
          <w:sz w:val="24"/>
          <w:szCs w:val="24"/>
        </w:rPr>
      </w:pPr>
      <w:r w:rsidRPr="003D77AB">
        <w:rPr>
          <w:rFonts w:asciiTheme="majorBidi" w:hAnsiTheme="majorBidi" w:cstheme="majorBidi"/>
          <w:b/>
          <w:bCs/>
          <w:sz w:val="24"/>
          <w:szCs w:val="24"/>
        </w:rPr>
        <w:t>Figure I</w:t>
      </w:r>
      <w:r w:rsidR="004B2ADE">
        <w:rPr>
          <w:rFonts w:asciiTheme="majorBidi" w:hAnsiTheme="majorBidi" w:cstheme="majorBidi"/>
          <w:b/>
          <w:bCs/>
          <w:sz w:val="24"/>
          <w:szCs w:val="24"/>
        </w:rPr>
        <w:t>I</w:t>
      </w:r>
      <w:r w:rsidRPr="003D77AB">
        <w:rPr>
          <w:rFonts w:asciiTheme="majorBidi" w:hAnsiTheme="majorBidi" w:cstheme="majorBidi"/>
          <w:b/>
          <w:bCs/>
          <w:sz w:val="24"/>
          <w:szCs w:val="24"/>
        </w:rPr>
        <w:t xml:space="preserve">. Gene identification of YFP gene. </w:t>
      </w:r>
      <w:r w:rsidRPr="003D77AB">
        <w:rPr>
          <w:rFonts w:asciiTheme="majorBidi" w:hAnsiTheme="majorBidi" w:cstheme="majorBidi"/>
          <w:sz w:val="24"/>
          <w:szCs w:val="24"/>
        </w:rPr>
        <w:t xml:space="preserve">YFP double-positive offspring evaluated by using PCR and gel electrophoresis machine. </w:t>
      </w:r>
    </w:p>
    <w:p w14:paraId="4472D968" w14:textId="6FDD09AF" w:rsidR="006E5F96" w:rsidRPr="003D77AB" w:rsidRDefault="006E5F96" w:rsidP="00ED59B3">
      <w:pPr>
        <w:autoSpaceDE w:val="0"/>
        <w:autoSpaceDN w:val="0"/>
        <w:adjustRightInd w:val="0"/>
        <w:spacing w:line="480" w:lineRule="auto"/>
        <w:jc w:val="both"/>
        <w:rPr>
          <w:rFonts w:asciiTheme="majorBidi" w:hAnsiTheme="majorBidi" w:cstheme="majorBidi"/>
          <w:b/>
          <w:bCs/>
          <w:color w:val="000000" w:themeColor="text1"/>
          <w:sz w:val="24"/>
          <w:szCs w:val="24"/>
        </w:rPr>
      </w:pPr>
      <w:r w:rsidRPr="003D77AB">
        <w:rPr>
          <w:rFonts w:asciiTheme="majorBidi" w:hAnsiTheme="majorBidi" w:cstheme="majorBidi"/>
          <w:b/>
          <w:bCs/>
          <w:sz w:val="24"/>
          <w:szCs w:val="24"/>
        </w:rPr>
        <w:t xml:space="preserve">Section </w:t>
      </w:r>
      <w:r w:rsidR="008B6C13">
        <w:rPr>
          <w:rFonts w:asciiTheme="majorBidi" w:hAnsiTheme="majorBidi" w:cstheme="majorBidi"/>
          <w:b/>
          <w:bCs/>
          <w:sz w:val="24"/>
          <w:szCs w:val="24"/>
        </w:rPr>
        <w:t>2</w:t>
      </w:r>
      <w:r w:rsidRPr="003D77AB">
        <w:rPr>
          <w:rFonts w:asciiTheme="majorBidi" w:hAnsiTheme="majorBidi" w:cstheme="majorBidi"/>
          <w:b/>
          <w:bCs/>
          <w:sz w:val="24"/>
          <w:szCs w:val="24"/>
        </w:rPr>
        <w:t xml:space="preserve">: </w:t>
      </w:r>
      <w:r w:rsidRPr="003D77AB">
        <w:rPr>
          <w:rFonts w:asciiTheme="majorBidi" w:hAnsiTheme="majorBidi" w:cstheme="majorBidi"/>
          <w:b/>
          <w:bCs/>
          <w:color w:val="000000" w:themeColor="text1"/>
          <w:sz w:val="24"/>
          <w:szCs w:val="24"/>
        </w:rPr>
        <w:t>Behavioral tests</w:t>
      </w:r>
    </w:p>
    <w:p w14:paraId="050B50B0" w14:textId="77777777" w:rsidR="006E5F96" w:rsidRPr="003D77AB" w:rsidRDefault="006E5F96" w:rsidP="00ED59B3">
      <w:pPr>
        <w:autoSpaceDE w:val="0"/>
        <w:autoSpaceDN w:val="0"/>
        <w:adjustRightInd w:val="0"/>
        <w:spacing w:line="480" w:lineRule="auto"/>
        <w:jc w:val="both"/>
        <w:rPr>
          <w:rFonts w:asciiTheme="majorBidi" w:hAnsiTheme="majorBidi" w:cstheme="majorBidi"/>
          <w:b/>
          <w:bCs/>
          <w:color w:val="000000" w:themeColor="text1"/>
          <w:sz w:val="24"/>
          <w:szCs w:val="24"/>
        </w:rPr>
      </w:pPr>
      <w:r w:rsidRPr="003D77AB">
        <w:rPr>
          <w:rFonts w:asciiTheme="majorBidi" w:hAnsiTheme="majorBidi" w:cstheme="majorBidi"/>
          <w:b/>
          <w:bCs/>
          <w:color w:val="000000" w:themeColor="text1"/>
          <w:sz w:val="24"/>
          <w:szCs w:val="24"/>
        </w:rPr>
        <w:t>Rotarod test</w:t>
      </w:r>
    </w:p>
    <w:p w14:paraId="3DAABFEA" w14:textId="3B8D22C4" w:rsidR="006E5F96" w:rsidRPr="003D77AB" w:rsidRDefault="006E5F96" w:rsidP="00ED59B3">
      <w:pPr>
        <w:autoSpaceDE w:val="0"/>
        <w:autoSpaceDN w:val="0"/>
        <w:adjustRightInd w:val="0"/>
        <w:spacing w:line="480" w:lineRule="auto"/>
        <w:jc w:val="both"/>
        <w:rPr>
          <w:rFonts w:asciiTheme="majorBidi" w:hAnsiTheme="majorBidi" w:cstheme="majorBidi"/>
          <w:color w:val="000000" w:themeColor="text1"/>
          <w:sz w:val="24"/>
          <w:szCs w:val="24"/>
        </w:rPr>
      </w:pPr>
      <w:r w:rsidRPr="003D77AB">
        <w:rPr>
          <w:rFonts w:asciiTheme="majorBidi" w:hAnsiTheme="majorBidi" w:cstheme="majorBidi"/>
          <w:color w:val="000000" w:themeColor="text1"/>
          <w:sz w:val="24"/>
          <w:szCs w:val="24"/>
        </w:rPr>
        <w:t xml:space="preserve">The speed of the rotarod machine was accelerated from 8 rpm to 40 rpm and the total program time was set to be 300 s. Each mouse was trained three times a day, resting for 10 min after each cycle. The mice that stayed on the rotating rod instrument for more than 150 </w:t>
      </w:r>
      <w:r w:rsidRPr="003D77AB">
        <w:rPr>
          <w:rFonts w:asciiTheme="majorBidi" w:hAnsiTheme="majorBidi" w:cstheme="majorBidi"/>
          <w:color w:val="000000" w:themeColor="text1"/>
          <w:sz w:val="24"/>
          <w:szCs w:val="24"/>
        </w:rPr>
        <w:lastRenderedPageBreak/>
        <w:t>s were used to build the stroke model. The time of each group of mice on the rotating rod was recorded two days before building the model and three days after stroke.</w:t>
      </w:r>
    </w:p>
    <w:p w14:paraId="307B8688" w14:textId="4CFF60C9" w:rsidR="006E5F96" w:rsidRPr="003D77AB" w:rsidRDefault="006E5F96" w:rsidP="00ED59B3">
      <w:pPr>
        <w:autoSpaceDE w:val="0"/>
        <w:autoSpaceDN w:val="0"/>
        <w:adjustRightInd w:val="0"/>
        <w:spacing w:line="480" w:lineRule="auto"/>
        <w:jc w:val="both"/>
        <w:rPr>
          <w:rFonts w:asciiTheme="majorBidi" w:hAnsiTheme="majorBidi" w:cstheme="majorBidi"/>
          <w:b/>
          <w:bCs/>
          <w:color w:val="000000" w:themeColor="text1"/>
          <w:sz w:val="24"/>
          <w:szCs w:val="24"/>
        </w:rPr>
      </w:pPr>
      <w:r w:rsidRPr="003D77AB">
        <w:rPr>
          <w:rFonts w:asciiTheme="majorBidi" w:hAnsiTheme="majorBidi" w:cstheme="majorBidi"/>
          <w:b/>
          <w:bCs/>
          <w:color w:val="000000" w:themeColor="text1"/>
          <w:sz w:val="24"/>
          <w:szCs w:val="24"/>
        </w:rPr>
        <w:t>Cylinder test (spontaneous forelimb use asymmetry test)</w:t>
      </w:r>
    </w:p>
    <w:p w14:paraId="0DDB511D" w14:textId="4008DC58" w:rsidR="006E5F96" w:rsidRPr="003D77AB" w:rsidRDefault="006E5F96" w:rsidP="00ED59B3">
      <w:pPr>
        <w:autoSpaceDE w:val="0"/>
        <w:autoSpaceDN w:val="0"/>
        <w:adjustRightInd w:val="0"/>
        <w:spacing w:line="480" w:lineRule="auto"/>
        <w:jc w:val="both"/>
        <w:rPr>
          <w:rFonts w:asciiTheme="majorBidi" w:hAnsiTheme="majorBidi" w:cstheme="majorBidi"/>
          <w:color w:val="000000" w:themeColor="text1"/>
          <w:sz w:val="24"/>
          <w:szCs w:val="24"/>
        </w:rPr>
      </w:pPr>
      <w:r w:rsidRPr="003D77AB">
        <w:rPr>
          <w:rFonts w:asciiTheme="majorBidi" w:hAnsiTheme="majorBidi" w:cstheme="majorBidi"/>
          <w:color w:val="000000" w:themeColor="text1"/>
          <w:sz w:val="24"/>
          <w:szCs w:val="24"/>
        </w:rPr>
        <w:t>In this test, the animal was placed inside a glass cylinder with a diameter of 9 to 10 cm and a height of 20 cm. The forelimb use was evaluated by recording the forelimb contact during the vertical exploration of the cylinder wall [</w:t>
      </w:r>
      <w:r w:rsidR="0063199E">
        <w:rPr>
          <w:rFonts w:asciiTheme="majorBidi" w:hAnsiTheme="majorBidi" w:cstheme="majorBidi"/>
          <w:color w:val="000000" w:themeColor="text1"/>
          <w:sz w:val="24"/>
          <w:szCs w:val="24"/>
        </w:rPr>
        <w:t>2</w:t>
      </w:r>
      <w:r w:rsidRPr="003D77AB">
        <w:rPr>
          <w:rFonts w:asciiTheme="majorBidi" w:hAnsiTheme="majorBidi" w:cstheme="majorBidi"/>
          <w:color w:val="000000" w:themeColor="text1"/>
          <w:sz w:val="24"/>
          <w:szCs w:val="24"/>
        </w:rPr>
        <w:t>]. A total of 20 vertical movements were recorded and subsequently analyzed by an observer under a slow motion. The asymmetry score was calculated as previously described [</w:t>
      </w:r>
      <w:r w:rsidR="0063199E">
        <w:rPr>
          <w:rFonts w:asciiTheme="majorBidi" w:hAnsiTheme="majorBidi" w:cstheme="majorBidi"/>
          <w:color w:val="000000" w:themeColor="text1"/>
          <w:sz w:val="24"/>
          <w:szCs w:val="24"/>
        </w:rPr>
        <w:t>3</w:t>
      </w:r>
      <w:r w:rsidRPr="003D77AB">
        <w:rPr>
          <w:rFonts w:asciiTheme="majorBidi" w:hAnsiTheme="majorBidi" w:cstheme="majorBidi"/>
          <w:color w:val="000000" w:themeColor="text1"/>
          <w:sz w:val="24"/>
          <w:szCs w:val="24"/>
        </w:rPr>
        <w:t xml:space="preserve">] as follow: </w:t>
      </w:r>
    </w:p>
    <w:p w14:paraId="2200A58A" w14:textId="31C37EEE" w:rsidR="006E5F96" w:rsidRPr="003D77AB" w:rsidRDefault="00624E9F" w:rsidP="00ED59B3">
      <w:pPr>
        <w:autoSpaceDE w:val="0"/>
        <w:autoSpaceDN w:val="0"/>
        <w:adjustRightInd w:val="0"/>
        <w:spacing w:line="480" w:lineRule="auto"/>
        <w:jc w:val="both"/>
        <w:rPr>
          <w:rFonts w:asciiTheme="majorBidi" w:hAnsiTheme="majorBidi" w:cstheme="majorBidi"/>
          <w:color w:val="000000" w:themeColor="text1"/>
          <w:sz w:val="24"/>
          <w:szCs w:val="24"/>
        </w:rPr>
      </w:pPr>
      <m:oMathPara>
        <m:oMath>
          <m:f>
            <m:fPr>
              <m:ctrlPr>
                <w:rPr>
                  <w:rFonts w:ascii="Cambria Math" w:hAnsi="Cambria Math" w:cstheme="majorBidi"/>
                  <w:color w:val="000000" w:themeColor="text1"/>
                  <w:sz w:val="24"/>
                  <w:szCs w:val="24"/>
                </w:rPr>
              </m:ctrlPr>
            </m:fPr>
            <m:num>
              <m:r>
                <m:rPr>
                  <m:sty m:val="p"/>
                </m:rPr>
                <w:rPr>
                  <w:rFonts w:ascii="Cambria Math" w:hAnsi="Cambria Math" w:cstheme="majorBidi"/>
                  <w:color w:val="000000" w:themeColor="text1"/>
                  <w:sz w:val="24"/>
                  <w:szCs w:val="24"/>
                </w:rPr>
                <m:t>nonimpaired forelimb contact-impaired forelimb contact</m:t>
              </m:r>
            </m:num>
            <m:den>
              <m:r>
                <m:rPr>
                  <m:sty m:val="p"/>
                </m:rPr>
                <w:rPr>
                  <w:rFonts w:ascii="Cambria Math" w:hAnsi="Cambria Math" w:cstheme="majorBidi"/>
                  <w:color w:val="000000" w:themeColor="text1"/>
                  <w:sz w:val="24"/>
                  <w:szCs w:val="24"/>
                </w:rPr>
                <m:t>nonimpaired forelimb contact+ impaired forelimb contact+both contacts</m:t>
              </m:r>
            </m:den>
          </m:f>
        </m:oMath>
      </m:oMathPara>
    </w:p>
    <w:p w14:paraId="2242206D" w14:textId="2D8AFA87" w:rsidR="006E5F96" w:rsidRPr="003D77AB" w:rsidRDefault="006E5F96" w:rsidP="00ED59B3">
      <w:pPr>
        <w:autoSpaceDE w:val="0"/>
        <w:autoSpaceDN w:val="0"/>
        <w:adjustRightInd w:val="0"/>
        <w:spacing w:line="480" w:lineRule="auto"/>
        <w:jc w:val="both"/>
        <w:rPr>
          <w:rFonts w:asciiTheme="majorBidi" w:hAnsiTheme="majorBidi" w:cstheme="majorBidi"/>
          <w:b/>
          <w:bCs/>
          <w:color w:val="000000" w:themeColor="text1"/>
          <w:sz w:val="24"/>
          <w:szCs w:val="24"/>
        </w:rPr>
      </w:pPr>
      <w:bookmarkStart w:id="3" w:name="_Hlk51765094"/>
      <w:r w:rsidRPr="003D77AB">
        <w:rPr>
          <w:rFonts w:asciiTheme="majorBidi" w:hAnsiTheme="majorBidi" w:cstheme="majorBidi"/>
          <w:b/>
          <w:bCs/>
          <w:color w:val="000000" w:themeColor="text1"/>
          <w:sz w:val="24"/>
          <w:szCs w:val="24"/>
        </w:rPr>
        <w:t>Sunflower test</w:t>
      </w:r>
      <w:bookmarkEnd w:id="3"/>
    </w:p>
    <w:p w14:paraId="77FF960F" w14:textId="4658A177" w:rsidR="006E5F96" w:rsidRPr="003D77AB" w:rsidRDefault="006E5F96" w:rsidP="00ED59B3">
      <w:pPr>
        <w:autoSpaceDE w:val="0"/>
        <w:autoSpaceDN w:val="0"/>
        <w:adjustRightInd w:val="0"/>
        <w:spacing w:line="480" w:lineRule="auto"/>
        <w:jc w:val="both"/>
        <w:rPr>
          <w:rFonts w:asciiTheme="majorBidi" w:hAnsiTheme="majorBidi" w:cstheme="majorBidi"/>
          <w:color w:val="000000" w:themeColor="text1"/>
          <w:sz w:val="24"/>
          <w:szCs w:val="24"/>
        </w:rPr>
      </w:pPr>
      <w:r w:rsidRPr="003D77AB">
        <w:rPr>
          <w:rFonts w:asciiTheme="majorBidi" w:hAnsiTheme="majorBidi" w:cstheme="majorBidi"/>
          <w:color w:val="000000" w:themeColor="text1"/>
          <w:sz w:val="24"/>
          <w:szCs w:val="24"/>
        </w:rPr>
        <w:t xml:space="preserve">Mice were given sunflower seeds in their home cage to familiarize them with shelling and consuming seeds throughout the week before establishing a stroke model. Food was obscured for 18–24 h before training and testing while maintaining free access to water. Mice were placed in a paper-lined box with 10 sunflower seeds. After 30 min, the number of wholes (uneaten) seeds and pieces of shells were recorded. </w:t>
      </w:r>
    </w:p>
    <w:p w14:paraId="7BE4AF26" w14:textId="59D6CACD" w:rsidR="00703D24" w:rsidRPr="003D77AB" w:rsidRDefault="00703D24" w:rsidP="00ED59B3">
      <w:pPr>
        <w:autoSpaceDE w:val="0"/>
        <w:autoSpaceDN w:val="0"/>
        <w:adjustRightInd w:val="0"/>
        <w:spacing w:line="480" w:lineRule="auto"/>
        <w:jc w:val="both"/>
        <w:rPr>
          <w:rFonts w:asciiTheme="majorBidi" w:hAnsiTheme="majorBidi" w:cstheme="majorBidi"/>
          <w:b/>
          <w:bCs/>
          <w:sz w:val="24"/>
          <w:szCs w:val="24"/>
        </w:rPr>
      </w:pPr>
      <w:r w:rsidRPr="003D77AB">
        <w:rPr>
          <w:rFonts w:asciiTheme="majorBidi" w:hAnsiTheme="majorBidi" w:cstheme="majorBidi"/>
          <w:b/>
          <w:bCs/>
          <w:sz w:val="24"/>
          <w:szCs w:val="24"/>
        </w:rPr>
        <w:t xml:space="preserve">Section </w:t>
      </w:r>
      <w:r w:rsidR="008B6C13">
        <w:rPr>
          <w:rFonts w:asciiTheme="majorBidi" w:hAnsiTheme="majorBidi" w:cstheme="majorBidi"/>
          <w:b/>
          <w:bCs/>
          <w:sz w:val="24"/>
          <w:szCs w:val="24"/>
        </w:rPr>
        <w:t>3</w:t>
      </w:r>
      <w:r w:rsidRPr="003D77AB">
        <w:rPr>
          <w:rFonts w:asciiTheme="majorBidi" w:hAnsiTheme="majorBidi" w:cstheme="majorBidi"/>
          <w:b/>
          <w:bCs/>
          <w:sz w:val="24"/>
          <w:szCs w:val="24"/>
        </w:rPr>
        <w:t>: Western blotting</w:t>
      </w:r>
    </w:p>
    <w:p w14:paraId="59F53AD3" w14:textId="5B8490FA" w:rsidR="00703D24" w:rsidRPr="003D77AB" w:rsidRDefault="00101035" w:rsidP="00ED59B3">
      <w:pPr>
        <w:autoSpaceDE w:val="0"/>
        <w:autoSpaceDN w:val="0"/>
        <w:adjustRightInd w:val="0"/>
        <w:spacing w:line="480" w:lineRule="auto"/>
        <w:jc w:val="both"/>
        <w:rPr>
          <w:rFonts w:asciiTheme="majorBidi" w:hAnsiTheme="majorBidi" w:cstheme="majorBidi"/>
          <w:sz w:val="24"/>
          <w:szCs w:val="24"/>
        </w:rPr>
      </w:pPr>
      <w:r w:rsidRPr="003D77AB">
        <w:rPr>
          <w:rFonts w:asciiTheme="majorBidi" w:hAnsiTheme="majorBidi" w:cstheme="majorBidi"/>
          <w:sz w:val="24"/>
          <w:szCs w:val="24"/>
        </w:rPr>
        <w:t xml:space="preserve">The protein (20 </w:t>
      </w:r>
      <w:proofErr w:type="spellStart"/>
      <w:r w:rsidRPr="003D77AB">
        <w:rPr>
          <w:rFonts w:asciiTheme="majorBidi" w:hAnsiTheme="majorBidi" w:cstheme="majorBidi"/>
          <w:sz w:val="24"/>
          <w:szCs w:val="24"/>
        </w:rPr>
        <w:t>μg</w:t>
      </w:r>
      <w:proofErr w:type="spellEnd"/>
      <w:r w:rsidRPr="003D77AB">
        <w:rPr>
          <w:rFonts w:asciiTheme="majorBidi" w:hAnsiTheme="majorBidi" w:cstheme="majorBidi"/>
          <w:sz w:val="24"/>
          <w:szCs w:val="24"/>
        </w:rPr>
        <w:t xml:space="preserve">) from each sample was subjected to electrophoresis on 15% SDS PAGE gel using a constant voltage (200 V) for 60 min. The proteins were transferred to a </w:t>
      </w:r>
      <w:bookmarkStart w:id="4" w:name="_Hlk48562589"/>
      <w:r w:rsidRPr="003D77AB">
        <w:rPr>
          <w:rFonts w:asciiTheme="majorBidi" w:hAnsiTheme="majorBidi" w:cstheme="majorBidi"/>
          <w:sz w:val="24"/>
          <w:szCs w:val="24"/>
        </w:rPr>
        <w:t>polyvinylidene difluoride (PVDF</w:t>
      </w:r>
      <w:bookmarkEnd w:id="4"/>
      <w:r w:rsidRPr="003D77AB">
        <w:rPr>
          <w:rFonts w:asciiTheme="majorBidi" w:hAnsiTheme="majorBidi" w:cstheme="majorBidi"/>
          <w:sz w:val="24"/>
          <w:szCs w:val="24"/>
        </w:rPr>
        <w:t xml:space="preserve">) membrane with the Bio-Rad Trans-Blot apparatus. Thereafter, membranes were blocked with TBST containing 5% non-fat milk for 2 h at room temperature. Membranes were incubated with primary antibody overnight at 4 °C. </w:t>
      </w:r>
      <w:r w:rsidR="00703D24" w:rsidRPr="003D77AB">
        <w:rPr>
          <w:rFonts w:asciiTheme="majorBidi" w:hAnsiTheme="majorBidi" w:cstheme="majorBidi"/>
          <w:sz w:val="24"/>
          <w:szCs w:val="24"/>
        </w:rPr>
        <w:lastRenderedPageBreak/>
        <w:t xml:space="preserve">The primary antibodies used were: rabbit polyclonal antibody against GAPDH (CST, 1:1000), ATG5/ATG12 (Abcam, 1:1000), </w:t>
      </w:r>
      <w:proofErr w:type="spellStart"/>
      <w:r w:rsidR="00703D24" w:rsidRPr="003D77AB">
        <w:rPr>
          <w:rFonts w:asciiTheme="majorBidi" w:hAnsiTheme="majorBidi" w:cstheme="majorBidi"/>
          <w:sz w:val="24"/>
          <w:szCs w:val="24"/>
        </w:rPr>
        <w:t>TrkB</w:t>
      </w:r>
      <w:proofErr w:type="spellEnd"/>
      <w:r w:rsidR="00703D24" w:rsidRPr="003D77AB">
        <w:rPr>
          <w:rFonts w:asciiTheme="majorBidi" w:hAnsiTheme="majorBidi" w:cstheme="majorBidi"/>
          <w:sz w:val="24"/>
          <w:szCs w:val="24"/>
        </w:rPr>
        <w:t xml:space="preserve"> (Abcam,1:1000), Beclin-1 (CST, 1:1000), LC-3II (CST, 1:1000), mTOR (Abcam, 1:1000), AKT (CST, 1:1000), P44/42-MAPK (ERK1/2) antibody (CST,1:1000), (</w:t>
      </w:r>
      <w:proofErr w:type="spellStart"/>
      <w:r w:rsidR="00703D24" w:rsidRPr="003D77AB">
        <w:rPr>
          <w:rFonts w:asciiTheme="majorBidi" w:hAnsiTheme="majorBidi" w:cstheme="majorBidi"/>
          <w:sz w:val="24"/>
          <w:szCs w:val="24"/>
        </w:rPr>
        <w:t>iNOS</w:t>
      </w:r>
      <w:proofErr w:type="spellEnd"/>
      <w:r w:rsidR="00703D24" w:rsidRPr="003D77AB">
        <w:rPr>
          <w:rFonts w:asciiTheme="majorBidi" w:hAnsiTheme="majorBidi" w:cstheme="majorBidi"/>
          <w:sz w:val="24"/>
          <w:szCs w:val="24"/>
        </w:rPr>
        <w:t>) (</w:t>
      </w:r>
      <w:proofErr w:type="spellStart"/>
      <w:r w:rsidR="00703D24" w:rsidRPr="003D77AB">
        <w:rPr>
          <w:rFonts w:asciiTheme="majorBidi" w:hAnsiTheme="majorBidi" w:cstheme="majorBidi"/>
          <w:sz w:val="24"/>
          <w:szCs w:val="24"/>
        </w:rPr>
        <w:t>Boster</w:t>
      </w:r>
      <w:proofErr w:type="spellEnd"/>
      <w:r w:rsidR="00703D24" w:rsidRPr="003D77AB">
        <w:rPr>
          <w:rFonts w:asciiTheme="majorBidi" w:hAnsiTheme="majorBidi" w:cstheme="majorBidi"/>
          <w:sz w:val="24"/>
          <w:szCs w:val="24"/>
        </w:rPr>
        <w:t>, 1:100), and nuclear factor kappa B (NF-</w:t>
      </w:r>
      <w:proofErr w:type="spellStart"/>
      <w:r w:rsidR="00703D24" w:rsidRPr="003D77AB">
        <w:rPr>
          <w:rFonts w:asciiTheme="majorBidi" w:hAnsiTheme="majorBidi" w:cstheme="majorBidi"/>
          <w:sz w:val="24"/>
          <w:szCs w:val="24"/>
        </w:rPr>
        <w:t>κB</w:t>
      </w:r>
      <w:proofErr w:type="spellEnd"/>
      <w:r w:rsidR="00703D24" w:rsidRPr="003D77AB">
        <w:rPr>
          <w:rFonts w:asciiTheme="majorBidi" w:hAnsiTheme="majorBidi" w:cstheme="majorBidi"/>
          <w:sz w:val="24"/>
          <w:szCs w:val="24"/>
        </w:rPr>
        <w:t>) (CST,1:1000), Bcl-2 (Abcam,1:1000), Bax (Abcam,1:1000), HO-1 (Abcam,1:1000), Nrf2 (OMNI:1:1000), IL-10 (Abcam,1:500),c-</w:t>
      </w:r>
      <w:proofErr w:type="spellStart"/>
      <w:r w:rsidR="00703D24" w:rsidRPr="003D77AB">
        <w:rPr>
          <w:rFonts w:asciiTheme="majorBidi" w:hAnsiTheme="majorBidi" w:cstheme="majorBidi"/>
          <w:sz w:val="24"/>
          <w:szCs w:val="24"/>
        </w:rPr>
        <w:t>myc</w:t>
      </w:r>
      <w:proofErr w:type="spellEnd"/>
      <w:r w:rsidR="00703D24" w:rsidRPr="003D77AB">
        <w:rPr>
          <w:rFonts w:asciiTheme="majorBidi" w:hAnsiTheme="majorBidi" w:cstheme="majorBidi"/>
          <w:sz w:val="24"/>
          <w:szCs w:val="24"/>
        </w:rPr>
        <w:t xml:space="preserve"> (CST,1:1000), PSD-95 (Abcam,1:1000).</w:t>
      </w:r>
      <w:r w:rsidR="00ED7A5F" w:rsidRPr="003D77AB">
        <w:rPr>
          <w:rFonts w:asciiTheme="majorBidi" w:hAnsiTheme="majorBidi" w:cstheme="majorBidi"/>
          <w:sz w:val="24"/>
          <w:szCs w:val="24"/>
        </w:rPr>
        <w:t xml:space="preserve"> On the following day, the membrane was washed with TBS containing 0.05% Tween 20 (TBST). After washing 3 times, with each wash lasting 5 min, membranes were incubated with goat anti-rabbit and anti-mouse IgG antibody (BOSTER, 1:5000) at room temperature for 2 h, and then washed with TBST 3 times (each wash lasting 5 min). Membranes were then exposed to hyper-film detection after incubating with the ECL system. The grayscale value of each band was analyzed using the Image Lab software. Each experiment was performed three times.</w:t>
      </w:r>
    </w:p>
    <w:p w14:paraId="0A3CB560" w14:textId="7C8134EB" w:rsidR="00703D24" w:rsidRPr="003D77AB" w:rsidRDefault="00A07F81" w:rsidP="00ED59B3">
      <w:pPr>
        <w:autoSpaceDE w:val="0"/>
        <w:autoSpaceDN w:val="0"/>
        <w:adjustRightInd w:val="0"/>
        <w:spacing w:line="480" w:lineRule="auto"/>
        <w:jc w:val="both"/>
        <w:rPr>
          <w:rFonts w:asciiTheme="majorBidi" w:hAnsiTheme="majorBidi" w:cstheme="majorBidi"/>
          <w:b/>
          <w:bCs/>
          <w:sz w:val="24"/>
          <w:szCs w:val="24"/>
        </w:rPr>
      </w:pPr>
      <w:r w:rsidRPr="003D77AB">
        <w:rPr>
          <w:rFonts w:asciiTheme="majorBidi" w:hAnsiTheme="majorBidi" w:cstheme="majorBidi"/>
          <w:b/>
          <w:bCs/>
          <w:sz w:val="24"/>
          <w:szCs w:val="24"/>
        </w:rPr>
        <w:t xml:space="preserve">Section </w:t>
      </w:r>
      <w:r w:rsidR="008B6C13">
        <w:rPr>
          <w:rFonts w:asciiTheme="majorBidi" w:hAnsiTheme="majorBidi" w:cstheme="majorBidi"/>
          <w:b/>
          <w:bCs/>
          <w:sz w:val="24"/>
          <w:szCs w:val="24"/>
        </w:rPr>
        <w:t>4</w:t>
      </w:r>
      <w:r w:rsidRPr="003D77AB">
        <w:rPr>
          <w:rFonts w:asciiTheme="majorBidi" w:hAnsiTheme="majorBidi" w:cstheme="majorBidi"/>
          <w:b/>
          <w:bCs/>
          <w:sz w:val="24"/>
          <w:szCs w:val="24"/>
        </w:rPr>
        <w:t>: Immunofluorescence</w:t>
      </w:r>
    </w:p>
    <w:p w14:paraId="2AFBBA7F" w14:textId="35CE0B9B" w:rsidR="00A07F81" w:rsidRPr="003D77AB" w:rsidRDefault="00ED59B3" w:rsidP="00ED59B3">
      <w:pPr>
        <w:autoSpaceDE w:val="0"/>
        <w:autoSpaceDN w:val="0"/>
        <w:adjustRightInd w:val="0"/>
        <w:spacing w:line="480" w:lineRule="auto"/>
        <w:jc w:val="both"/>
        <w:rPr>
          <w:rFonts w:asciiTheme="majorBidi" w:hAnsiTheme="majorBidi" w:cstheme="majorBidi"/>
          <w:sz w:val="24"/>
          <w:szCs w:val="24"/>
        </w:rPr>
      </w:pPr>
      <w:r w:rsidRPr="003D77AB">
        <w:rPr>
          <w:rFonts w:asciiTheme="majorBidi" w:hAnsiTheme="majorBidi" w:cstheme="majorBidi"/>
          <w:sz w:val="24"/>
          <w:szCs w:val="24"/>
        </w:rPr>
        <w:t>Brain tissues were obtained after perfusion and fixed with 4% paraformaldehyde.</w:t>
      </w:r>
      <w:r w:rsidRPr="003D77AB">
        <w:rPr>
          <w:rFonts w:asciiTheme="majorBidi" w:hAnsiTheme="majorBidi" w:cstheme="majorBidi"/>
          <w:color w:val="000000" w:themeColor="text1"/>
          <w:sz w:val="24"/>
          <w:szCs w:val="24"/>
        </w:rPr>
        <w:t xml:space="preserve"> </w:t>
      </w:r>
      <w:r w:rsidR="008872C8" w:rsidRPr="003D77AB">
        <w:rPr>
          <w:rFonts w:asciiTheme="majorBidi" w:hAnsiTheme="majorBidi" w:cstheme="majorBidi"/>
          <w:sz w:val="24"/>
          <w:szCs w:val="24"/>
        </w:rPr>
        <w:t xml:space="preserve">On the next day, tissues were transferred into a 30% sucrose solution. Embedding in OCT and frozen tissue sections were performed using a freezing microtome (Leica, </w:t>
      </w:r>
      <w:proofErr w:type="spellStart"/>
      <w:r w:rsidR="008872C8" w:rsidRPr="003D77AB">
        <w:rPr>
          <w:rFonts w:asciiTheme="majorBidi" w:hAnsiTheme="majorBidi" w:cstheme="majorBidi"/>
          <w:sz w:val="24"/>
          <w:szCs w:val="24"/>
        </w:rPr>
        <w:t>Wetzlar</w:t>
      </w:r>
      <w:proofErr w:type="spellEnd"/>
      <w:r w:rsidR="008872C8" w:rsidRPr="003D77AB">
        <w:rPr>
          <w:rFonts w:asciiTheme="majorBidi" w:hAnsiTheme="majorBidi" w:cstheme="majorBidi"/>
          <w:sz w:val="24"/>
          <w:szCs w:val="24"/>
        </w:rPr>
        <w:t>, Germany).</w:t>
      </w:r>
      <w:r w:rsidR="00A07F81" w:rsidRPr="003D77AB">
        <w:rPr>
          <w:rFonts w:asciiTheme="majorBidi" w:hAnsiTheme="majorBidi" w:cstheme="majorBidi"/>
          <w:sz w:val="24"/>
          <w:szCs w:val="24"/>
        </w:rPr>
        <w:t xml:space="preserve">Frozen sections of 18 um thickness were dried at 37 °C and then blocked with 5% normal goat serum at room temperature for 1 h. After, primary antibodies were added in the following concentrations at 4 °C overnight: </w:t>
      </w:r>
      <w:proofErr w:type="spellStart"/>
      <w:r w:rsidR="00A07F81" w:rsidRPr="003D77AB">
        <w:rPr>
          <w:rFonts w:asciiTheme="majorBidi" w:hAnsiTheme="majorBidi" w:cstheme="majorBidi"/>
          <w:sz w:val="24"/>
          <w:szCs w:val="24"/>
        </w:rPr>
        <w:t>NeuN</w:t>
      </w:r>
      <w:proofErr w:type="spellEnd"/>
      <w:r w:rsidR="00A07F81" w:rsidRPr="003D77AB">
        <w:rPr>
          <w:rFonts w:asciiTheme="majorBidi" w:hAnsiTheme="majorBidi" w:cstheme="majorBidi"/>
          <w:sz w:val="24"/>
          <w:szCs w:val="24"/>
        </w:rPr>
        <w:t xml:space="preserve"> (Abcam, 1:1000), LC-3II (CST, 1:200) and GFAP (CST, 1:200), HO-1(Abcam,1:200), Nrf2(OMNI,1:200) . Regarding the negative control sections, 0.01 M PBS was used to replace the primary antibody. On the following day, the sections were washed with 0.01 M PBST for 5 min three times, and then </w:t>
      </w:r>
      <w:r w:rsidR="00A07F81" w:rsidRPr="003D77AB">
        <w:rPr>
          <w:rFonts w:asciiTheme="majorBidi" w:hAnsiTheme="majorBidi" w:cstheme="majorBidi"/>
          <w:sz w:val="24"/>
          <w:szCs w:val="24"/>
        </w:rPr>
        <w:lastRenderedPageBreak/>
        <w:t xml:space="preserve">incubated with a secondary antibody containing FITC goat anti-rabbit IgG (1:100, </w:t>
      </w:r>
      <w:proofErr w:type="spellStart"/>
      <w:r w:rsidR="00A07F81" w:rsidRPr="003D77AB">
        <w:rPr>
          <w:rFonts w:asciiTheme="majorBidi" w:hAnsiTheme="majorBidi" w:cstheme="majorBidi"/>
          <w:sz w:val="24"/>
          <w:szCs w:val="24"/>
        </w:rPr>
        <w:t>Boster</w:t>
      </w:r>
      <w:proofErr w:type="spellEnd"/>
      <w:r w:rsidR="00A07F81" w:rsidRPr="003D77AB">
        <w:rPr>
          <w:rFonts w:asciiTheme="majorBidi" w:hAnsiTheme="majorBidi" w:cstheme="majorBidi"/>
          <w:sz w:val="24"/>
          <w:szCs w:val="24"/>
        </w:rPr>
        <w:t>, BA1105), Alexa Fluor anti-mouse 594, and Alexa Fluor® anti-rabbit 488 for 3 h at room temperature. The sections were then washed with 0.01 M PBS three times. A mounting medium containing DAPI (VECTASHIELD, USA) was added to the slides and covered with coverslips for observation. Slides were observed under a fluorescence microscope (Olympus BX51, NIKON, Japan) at excitation/emission wavelengths of 547/570 nm (Cy3, red), 494/520 nm (FITC, green), and 360/460 nm (DAPI, blue). Images were taken at 200× magnification.</w:t>
      </w:r>
    </w:p>
    <w:p w14:paraId="5F0E0370" w14:textId="1511034B" w:rsidR="00A07F81" w:rsidRPr="003D77AB" w:rsidRDefault="00A07F81" w:rsidP="00ED59B3">
      <w:pPr>
        <w:autoSpaceDE w:val="0"/>
        <w:autoSpaceDN w:val="0"/>
        <w:adjustRightInd w:val="0"/>
        <w:spacing w:line="480" w:lineRule="auto"/>
        <w:jc w:val="both"/>
        <w:rPr>
          <w:rFonts w:asciiTheme="majorBidi" w:hAnsiTheme="majorBidi" w:cstheme="majorBidi"/>
          <w:b/>
          <w:bCs/>
          <w:sz w:val="24"/>
          <w:szCs w:val="24"/>
        </w:rPr>
      </w:pPr>
      <w:r w:rsidRPr="003D77AB">
        <w:rPr>
          <w:rFonts w:asciiTheme="majorBidi" w:hAnsiTheme="majorBidi" w:cstheme="majorBidi"/>
          <w:b/>
          <w:bCs/>
          <w:sz w:val="24"/>
          <w:szCs w:val="24"/>
        </w:rPr>
        <w:t xml:space="preserve">Section </w:t>
      </w:r>
      <w:r w:rsidR="008B6C13">
        <w:rPr>
          <w:rFonts w:asciiTheme="majorBidi" w:hAnsiTheme="majorBidi" w:cstheme="majorBidi"/>
          <w:b/>
          <w:bCs/>
          <w:sz w:val="24"/>
          <w:szCs w:val="24"/>
        </w:rPr>
        <w:t>5</w:t>
      </w:r>
      <w:r w:rsidRPr="003D77AB">
        <w:rPr>
          <w:rFonts w:asciiTheme="majorBidi" w:hAnsiTheme="majorBidi" w:cstheme="majorBidi"/>
          <w:b/>
          <w:bCs/>
          <w:sz w:val="24"/>
          <w:szCs w:val="24"/>
        </w:rPr>
        <w:t>: Imaging and Dendritic spine analysis</w:t>
      </w:r>
    </w:p>
    <w:p w14:paraId="61801258" w14:textId="75FFED7D" w:rsidR="00703D24" w:rsidRPr="003D77AB" w:rsidRDefault="00A07F81" w:rsidP="00ED59B3">
      <w:pPr>
        <w:autoSpaceDE w:val="0"/>
        <w:autoSpaceDN w:val="0"/>
        <w:adjustRightInd w:val="0"/>
        <w:spacing w:line="480" w:lineRule="auto"/>
        <w:jc w:val="both"/>
        <w:rPr>
          <w:rFonts w:asciiTheme="majorBidi" w:hAnsiTheme="majorBidi" w:cstheme="majorBidi"/>
          <w:sz w:val="24"/>
          <w:szCs w:val="24"/>
        </w:rPr>
      </w:pPr>
      <w:r w:rsidRPr="003D77AB">
        <w:rPr>
          <w:rFonts w:asciiTheme="majorBidi" w:hAnsiTheme="majorBidi" w:cstheme="majorBidi"/>
          <w:sz w:val="24"/>
          <w:szCs w:val="24"/>
        </w:rPr>
        <w:t>The laser wavelength was set to 514 nm excitation. Images were collected at a resolution of 1024×1024 pixels and averaged over two lines. Where stacks of z sections were collected for gross cortex morphology, the final magnification was 63× and the scanning step size was 1.14 m. [</w:t>
      </w:r>
      <w:r w:rsidR="0063199E">
        <w:rPr>
          <w:rFonts w:asciiTheme="majorBidi" w:hAnsiTheme="majorBidi" w:cstheme="majorBidi"/>
          <w:sz w:val="24"/>
          <w:szCs w:val="24"/>
        </w:rPr>
        <w:t>4</w:t>
      </w:r>
      <w:r w:rsidRPr="003D77AB">
        <w:rPr>
          <w:rFonts w:asciiTheme="majorBidi" w:hAnsiTheme="majorBidi" w:cstheme="majorBidi"/>
          <w:sz w:val="24"/>
          <w:szCs w:val="24"/>
        </w:rPr>
        <w:t xml:space="preserve">]. Spine densities were calculated by quantifying the number of spines per 10 </w:t>
      </w:r>
      <w:proofErr w:type="spellStart"/>
      <w:r w:rsidRPr="003D77AB">
        <w:rPr>
          <w:rFonts w:asciiTheme="majorBidi" w:hAnsiTheme="majorBidi" w:cstheme="majorBidi"/>
          <w:sz w:val="24"/>
          <w:szCs w:val="24"/>
        </w:rPr>
        <w:t>μm</w:t>
      </w:r>
      <w:proofErr w:type="spellEnd"/>
      <w:r w:rsidRPr="003D77AB">
        <w:rPr>
          <w:rFonts w:asciiTheme="majorBidi" w:hAnsiTheme="majorBidi" w:cstheme="majorBidi"/>
          <w:sz w:val="24"/>
          <w:szCs w:val="24"/>
        </w:rPr>
        <w:t xml:space="preserve"> of dendritic length. The spine numbers were counted manually in 3 dimensions using Z stacks and the dendritic length was estimated by NIH Image J software. Spine type analyses were performed using the </w:t>
      </w:r>
      <w:proofErr w:type="spellStart"/>
      <w:r w:rsidRPr="003D77AB">
        <w:rPr>
          <w:rFonts w:asciiTheme="majorBidi" w:hAnsiTheme="majorBidi" w:cstheme="majorBidi"/>
          <w:sz w:val="24"/>
          <w:szCs w:val="24"/>
        </w:rPr>
        <w:t>Neurolucida</w:t>
      </w:r>
      <w:proofErr w:type="spellEnd"/>
      <w:r w:rsidRPr="003D77AB">
        <w:rPr>
          <w:rFonts w:asciiTheme="majorBidi" w:hAnsiTheme="majorBidi" w:cstheme="majorBidi"/>
          <w:sz w:val="24"/>
          <w:szCs w:val="24"/>
        </w:rPr>
        <w:t xml:space="preserve"> 360 software (</w:t>
      </w:r>
      <w:hyperlink r:id="rId7" w:history="1">
        <w:r w:rsidRPr="003D77AB">
          <w:rPr>
            <w:rFonts w:asciiTheme="majorBidi" w:hAnsiTheme="majorBidi" w:cstheme="majorBidi"/>
            <w:sz w:val="24"/>
            <w:szCs w:val="24"/>
          </w:rPr>
          <w:t>http://research.mssm.edu/cnic/tools-ns.html</w:t>
        </w:r>
      </w:hyperlink>
      <w:r w:rsidRPr="003D77AB">
        <w:rPr>
          <w:rFonts w:asciiTheme="majorBidi" w:hAnsiTheme="majorBidi" w:cstheme="majorBidi"/>
          <w:sz w:val="24"/>
          <w:szCs w:val="24"/>
        </w:rPr>
        <w:t>) [</w:t>
      </w:r>
      <w:r w:rsidR="0063199E">
        <w:rPr>
          <w:rFonts w:asciiTheme="majorBidi" w:hAnsiTheme="majorBidi" w:cstheme="majorBidi"/>
          <w:sz w:val="24"/>
          <w:szCs w:val="24"/>
        </w:rPr>
        <w:t>4</w:t>
      </w:r>
      <w:r w:rsidRPr="003D77AB">
        <w:rPr>
          <w:rFonts w:asciiTheme="majorBidi" w:hAnsiTheme="majorBidi" w:cstheme="majorBidi"/>
          <w:sz w:val="24"/>
          <w:szCs w:val="24"/>
        </w:rPr>
        <w:t xml:space="preserve">]. This method </w:t>
      </w:r>
      <w:r w:rsidR="00107C7A" w:rsidRPr="003D77AB">
        <w:rPr>
          <w:rFonts w:asciiTheme="majorBidi" w:hAnsiTheme="majorBidi" w:cstheme="majorBidi"/>
          <w:sz w:val="24"/>
          <w:szCs w:val="24"/>
        </w:rPr>
        <w:t>agrees</w:t>
      </w:r>
      <w:r w:rsidRPr="003D77AB">
        <w:rPr>
          <w:rFonts w:asciiTheme="majorBidi" w:hAnsiTheme="majorBidi" w:cstheme="majorBidi"/>
          <w:sz w:val="24"/>
          <w:szCs w:val="24"/>
        </w:rPr>
        <w:t xml:space="preserve"> with well-accepted methods for spine type classification [</w:t>
      </w:r>
      <w:r w:rsidR="0063199E">
        <w:rPr>
          <w:rFonts w:asciiTheme="majorBidi" w:hAnsiTheme="majorBidi" w:cstheme="majorBidi"/>
          <w:sz w:val="24"/>
          <w:szCs w:val="24"/>
        </w:rPr>
        <w:t>4</w:t>
      </w:r>
      <w:r w:rsidR="00107C7A" w:rsidRPr="003D77AB">
        <w:rPr>
          <w:rFonts w:asciiTheme="majorBidi" w:hAnsiTheme="majorBidi" w:cstheme="majorBidi"/>
          <w:sz w:val="24"/>
          <w:szCs w:val="24"/>
        </w:rPr>
        <w:t>-</w:t>
      </w:r>
      <w:r w:rsidR="0063199E">
        <w:rPr>
          <w:rFonts w:asciiTheme="majorBidi" w:hAnsiTheme="majorBidi" w:cstheme="majorBidi"/>
          <w:sz w:val="24"/>
          <w:szCs w:val="24"/>
        </w:rPr>
        <w:t>6</w:t>
      </w:r>
      <w:r w:rsidRPr="003D77AB">
        <w:rPr>
          <w:rFonts w:asciiTheme="majorBidi" w:hAnsiTheme="majorBidi" w:cstheme="majorBidi"/>
          <w:sz w:val="24"/>
          <w:szCs w:val="24"/>
        </w:rPr>
        <w:t>].</w:t>
      </w:r>
    </w:p>
    <w:p w14:paraId="72DF5346" w14:textId="572134F9" w:rsidR="009E3E47" w:rsidRPr="003D77AB" w:rsidRDefault="009E3E47" w:rsidP="00ED59B3">
      <w:pPr>
        <w:autoSpaceDE w:val="0"/>
        <w:autoSpaceDN w:val="0"/>
        <w:adjustRightInd w:val="0"/>
        <w:spacing w:line="480" w:lineRule="auto"/>
        <w:jc w:val="both"/>
        <w:rPr>
          <w:rFonts w:asciiTheme="majorBidi" w:hAnsiTheme="majorBidi" w:cstheme="majorBidi"/>
          <w:b/>
          <w:bCs/>
          <w:sz w:val="24"/>
          <w:szCs w:val="24"/>
        </w:rPr>
      </w:pPr>
      <w:r w:rsidRPr="003D77AB">
        <w:rPr>
          <w:rFonts w:asciiTheme="majorBidi" w:hAnsiTheme="majorBidi" w:cstheme="majorBidi"/>
          <w:b/>
          <w:bCs/>
          <w:sz w:val="24"/>
          <w:szCs w:val="24"/>
        </w:rPr>
        <w:t>Section</w:t>
      </w:r>
      <w:r w:rsidR="00EC66D2" w:rsidRPr="003D77AB">
        <w:rPr>
          <w:rFonts w:asciiTheme="majorBidi" w:hAnsiTheme="majorBidi" w:cstheme="majorBidi"/>
          <w:b/>
          <w:bCs/>
          <w:sz w:val="24"/>
          <w:szCs w:val="24"/>
        </w:rPr>
        <w:t xml:space="preserve"> </w:t>
      </w:r>
      <w:r w:rsidR="008B6C13">
        <w:rPr>
          <w:rFonts w:asciiTheme="majorBidi" w:hAnsiTheme="majorBidi" w:cstheme="majorBidi"/>
          <w:b/>
          <w:bCs/>
          <w:sz w:val="24"/>
          <w:szCs w:val="24"/>
        </w:rPr>
        <w:t>6</w:t>
      </w:r>
      <w:r w:rsidRPr="003D77AB">
        <w:rPr>
          <w:rFonts w:asciiTheme="majorBidi" w:hAnsiTheme="majorBidi" w:cstheme="majorBidi"/>
          <w:b/>
          <w:bCs/>
          <w:sz w:val="24"/>
          <w:szCs w:val="24"/>
        </w:rPr>
        <w:t xml:space="preserve">: </w:t>
      </w:r>
      <w:r w:rsidR="00666646" w:rsidRPr="003D77AB">
        <w:rPr>
          <w:rFonts w:asciiTheme="majorBidi" w:hAnsiTheme="majorBidi" w:cstheme="majorBidi"/>
          <w:b/>
          <w:bCs/>
          <w:sz w:val="24"/>
          <w:szCs w:val="24"/>
        </w:rPr>
        <w:t xml:space="preserve">TTC staining and </w:t>
      </w:r>
      <w:r w:rsidRPr="003D77AB">
        <w:rPr>
          <w:rFonts w:asciiTheme="majorBidi" w:hAnsiTheme="majorBidi" w:cstheme="majorBidi"/>
          <w:b/>
          <w:bCs/>
          <w:sz w:val="24"/>
          <w:szCs w:val="24"/>
        </w:rPr>
        <w:t>Calculation of infarct volume</w:t>
      </w:r>
    </w:p>
    <w:p w14:paraId="15061890" w14:textId="160CA026" w:rsidR="009E3E47" w:rsidRPr="003D77AB" w:rsidRDefault="00666646" w:rsidP="00107C7A">
      <w:pPr>
        <w:autoSpaceDE w:val="0"/>
        <w:autoSpaceDN w:val="0"/>
        <w:adjustRightInd w:val="0"/>
        <w:spacing w:line="480" w:lineRule="auto"/>
        <w:jc w:val="both"/>
        <w:rPr>
          <w:rFonts w:asciiTheme="majorBidi" w:hAnsiTheme="majorBidi" w:cstheme="majorBidi"/>
          <w:sz w:val="24"/>
          <w:szCs w:val="24"/>
        </w:rPr>
      </w:pPr>
      <w:r w:rsidRPr="003D77AB">
        <w:rPr>
          <w:rFonts w:asciiTheme="majorBidi" w:hAnsiTheme="majorBidi" w:cstheme="majorBidi"/>
          <w:sz w:val="24"/>
          <w:szCs w:val="24"/>
        </w:rPr>
        <w:t xml:space="preserve">The animals were anesthetized with isoflurane and the brains were removed rapidly and frozen at −20 °C for 5 min. 1–2 mm coronal slices were cut, then slices were immersed in 2% TTC (Sigma-Aldrich, MO) at 37 °C for 20 min. Afterward, the sections were fixed by </w:t>
      </w:r>
      <w:r w:rsidRPr="003D77AB">
        <w:rPr>
          <w:rFonts w:asciiTheme="majorBidi" w:hAnsiTheme="majorBidi" w:cstheme="majorBidi"/>
          <w:sz w:val="24"/>
          <w:szCs w:val="24"/>
        </w:rPr>
        <w:lastRenderedPageBreak/>
        <w:t xml:space="preserve">10% paraformaldehyde overnight. The occurrence of infarction was estimated by the area stained negatively with TTC. </w:t>
      </w:r>
      <w:r w:rsidR="009E3E47" w:rsidRPr="003D77AB">
        <w:rPr>
          <w:rFonts w:asciiTheme="majorBidi" w:hAnsiTheme="majorBidi" w:cstheme="majorBidi"/>
          <w:sz w:val="24"/>
          <w:szCs w:val="24"/>
        </w:rPr>
        <w:t>The volume of damage was calculated based on four slices approximately 2 mm apart, ranging from 3.7 to -6.3 mm relative to bregma. Volumes were calculated for each hemisphere, total brain size, ventricles, damaged tissue, and healthy tissue (remaining ipsilateral tissue). To evaluate the difference in hemisphere size resulting from edema and atrophy, the total ischemic damage was calculated according to the proportion of contralateral hemisphere using this formula [</w:t>
      </w:r>
      <w:r w:rsidR="0063199E">
        <w:rPr>
          <w:rFonts w:asciiTheme="majorBidi" w:hAnsiTheme="majorBidi" w:cstheme="majorBidi"/>
          <w:sz w:val="24"/>
          <w:szCs w:val="24"/>
        </w:rPr>
        <w:t>7</w:t>
      </w:r>
      <w:r w:rsidR="009E3E47" w:rsidRPr="003D77AB">
        <w:rPr>
          <w:rFonts w:asciiTheme="majorBidi" w:hAnsiTheme="majorBidi" w:cstheme="majorBidi"/>
          <w:sz w:val="24"/>
          <w:szCs w:val="24"/>
        </w:rPr>
        <w:t>].</w:t>
      </w:r>
    </w:p>
    <w:p w14:paraId="2074421F" w14:textId="747FDCC1" w:rsidR="00703D24" w:rsidRPr="003D77AB" w:rsidRDefault="00624E9F" w:rsidP="00ED59B3">
      <w:pPr>
        <w:autoSpaceDE w:val="0"/>
        <w:autoSpaceDN w:val="0"/>
        <w:adjustRightInd w:val="0"/>
        <w:spacing w:line="480" w:lineRule="auto"/>
        <w:jc w:val="both"/>
        <w:rPr>
          <w:rFonts w:ascii="Cambria Math" w:hAnsi="Cambria Math" w:cstheme="majorBidi"/>
          <w:sz w:val="24"/>
          <w:szCs w:val="24"/>
          <w:oMath/>
        </w:rPr>
      </w:pPr>
      <m:oMathPara>
        <m:oMath>
          <m:f>
            <m:fPr>
              <m:ctrlPr>
                <w:rPr>
                  <w:rFonts w:ascii="Cambria Math" w:hAnsi="Cambria Math" w:cstheme="majorBidi"/>
                  <w:sz w:val="24"/>
                  <w:szCs w:val="24"/>
                </w:rPr>
              </m:ctrlPr>
            </m:fPr>
            <m:num>
              <m:r>
                <m:rPr>
                  <m:sty m:val="p"/>
                </m:rPr>
                <w:rPr>
                  <w:rFonts w:ascii="Cambria Math" w:hAnsi="Cambria Math" w:cstheme="majorBidi"/>
                  <w:sz w:val="24"/>
                  <w:szCs w:val="24"/>
                </w:rPr>
                <m:t>contralateral area- remaining ipsilateral area.</m:t>
              </m:r>
            </m:num>
            <m:den>
              <m:r>
                <m:rPr>
                  <m:sty m:val="p"/>
                </m:rPr>
                <w:rPr>
                  <w:rFonts w:ascii="Cambria Math" w:hAnsi="Cambria Math" w:cstheme="majorBidi"/>
                  <w:sz w:val="24"/>
                  <w:szCs w:val="24"/>
                </w:rPr>
                <m:t>contralateral area</m:t>
              </m:r>
            </m:den>
          </m:f>
        </m:oMath>
      </m:oMathPara>
    </w:p>
    <w:p w14:paraId="66B43B9E" w14:textId="285F1BA2" w:rsidR="00540183" w:rsidRPr="003D77AB" w:rsidRDefault="00540183" w:rsidP="00ED59B3">
      <w:pPr>
        <w:pStyle w:val="Default"/>
        <w:spacing w:line="480" w:lineRule="auto"/>
        <w:jc w:val="both"/>
        <w:rPr>
          <w:rFonts w:asciiTheme="majorBidi" w:hAnsiTheme="majorBidi" w:cstheme="majorBidi"/>
          <w:b/>
          <w:bCs/>
          <w:color w:val="000000" w:themeColor="text1"/>
        </w:rPr>
      </w:pPr>
      <w:r w:rsidRPr="003D77AB">
        <w:rPr>
          <w:rFonts w:asciiTheme="majorBidi" w:hAnsiTheme="majorBidi" w:cstheme="majorBidi"/>
          <w:b/>
          <w:bCs/>
        </w:rPr>
        <w:t xml:space="preserve">Section </w:t>
      </w:r>
      <w:r w:rsidR="008B6C13">
        <w:rPr>
          <w:rFonts w:asciiTheme="majorBidi" w:hAnsiTheme="majorBidi" w:cstheme="majorBidi"/>
          <w:b/>
          <w:bCs/>
        </w:rPr>
        <w:t>7</w:t>
      </w:r>
      <w:r w:rsidRPr="003D77AB">
        <w:rPr>
          <w:rFonts w:asciiTheme="majorBidi" w:hAnsiTheme="majorBidi" w:cstheme="majorBidi"/>
          <w:b/>
          <w:bCs/>
        </w:rPr>
        <w:t xml:space="preserve">: </w:t>
      </w:r>
      <w:r w:rsidRPr="003D77AB">
        <w:rPr>
          <w:rFonts w:asciiTheme="majorBidi" w:hAnsiTheme="majorBidi" w:cstheme="majorBidi"/>
          <w:b/>
          <w:bCs/>
          <w:color w:val="000000" w:themeColor="text1"/>
        </w:rPr>
        <w:t xml:space="preserve">Hematoxylin-eosin (HE) and Nissl staining </w:t>
      </w:r>
    </w:p>
    <w:p w14:paraId="72656BAE" w14:textId="346902D1" w:rsidR="00540183" w:rsidRPr="003D77AB" w:rsidRDefault="00566EAC" w:rsidP="00ED59B3">
      <w:pPr>
        <w:pStyle w:val="Default"/>
        <w:spacing w:line="480" w:lineRule="auto"/>
        <w:jc w:val="both"/>
        <w:rPr>
          <w:rFonts w:asciiTheme="majorBidi" w:hAnsiTheme="majorBidi" w:cstheme="majorBidi"/>
          <w:color w:val="000000" w:themeColor="text1"/>
        </w:rPr>
      </w:pPr>
      <w:r w:rsidRPr="003D77AB">
        <w:rPr>
          <w:rFonts w:asciiTheme="majorBidi" w:hAnsiTheme="majorBidi" w:cstheme="majorBidi"/>
          <w:color w:val="000000" w:themeColor="text1"/>
        </w:rPr>
        <w:t xml:space="preserve">In a typical procedure, after de-paraffinization and re-hydration, transverse sections of 7 </w:t>
      </w:r>
      <w:proofErr w:type="spellStart"/>
      <w:r w:rsidRPr="003D77AB">
        <w:rPr>
          <w:rFonts w:asciiTheme="majorBidi" w:hAnsiTheme="majorBidi" w:cstheme="majorBidi"/>
          <w:color w:val="000000" w:themeColor="text1"/>
        </w:rPr>
        <w:t>μm</w:t>
      </w:r>
      <w:proofErr w:type="spellEnd"/>
      <w:r w:rsidRPr="003D77AB">
        <w:rPr>
          <w:rFonts w:asciiTheme="majorBidi" w:hAnsiTheme="majorBidi" w:cstheme="majorBidi"/>
          <w:color w:val="000000" w:themeColor="text1"/>
        </w:rPr>
        <w:t xml:space="preserve"> thick were stained with hematoxylin solution for 6 min and then dipped into acidic ethanol (1% HCl in 70% ethanol) for several seconds and rinsed in distilled water for 10 min. After that, the sections were stained with eosin solution for 5 min and followed by dehydration with a graded alcohol series and clearing in xylene. The slides were sealed with neutral balsam and inspected by a microscope. Nissl staining was also conducted as the following de-paraffinization and re-hydration, transverse sections of 7 </w:t>
      </w:r>
      <w:proofErr w:type="spellStart"/>
      <w:r w:rsidRPr="003D77AB">
        <w:rPr>
          <w:rFonts w:asciiTheme="majorBidi" w:hAnsiTheme="majorBidi" w:cstheme="majorBidi"/>
          <w:color w:val="000000" w:themeColor="text1"/>
        </w:rPr>
        <w:t>μm</w:t>
      </w:r>
      <w:proofErr w:type="spellEnd"/>
      <w:r w:rsidRPr="003D77AB">
        <w:rPr>
          <w:rFonts w:asciiTheme="majorBidi" w:hAnsiTheme="majorBidi" w:cstheme="majorBidi"/>
          <w:color w:val="000000" w:themeColor="text1"/>
        </w:rPr>
        <w:t xml:space="preserve"> thick were stained in 0.1% </w:t>
      </w:r>
      <w:proofErr w:type="spellStart"/>
      <w:r w:rsidRPr="003D77AB">
        <w:rPr>
          <w:rFonts w:asciiTheme="majorBidi" w:hAnsiTheme="majorBidi" w:cstheme="majorBidi"/>
          <w:color w:val="000000" w:themeColor="text1"/>
        </w:rPr>
        <w:t>cresyl</w:t>
      </w:r>
      <w:proofErr w:type="spellEnd"/>
      <w:r w:rsidRPr="003D77AB">
        <w:rPr>
          <w:rFonts w:asciiTheme="majorBidi" w:hAnsiTheme="majorBidi" w:cstheme="majorBidi"/>
          <w:color w:val="000000" w:themeColor="text1"/>
        </w:rPr>
        <w:t xml:space="preserve"> violet solution at 37°C for 5 min. The sections were washed with distilled water, immersed in 95% ethanol for the 30s, and soaked in anhydrous ethanol as well as xylene for 5 min each. The sections were sealed with neutral balsam and observed with a microscope. </w:t>
      </w:r>
    </w:p>
    <w:p w14:paraId="15DD7C6A" w14:textId="21B1F05A" w:rsidR="00703D24" w:rsidRPr="003D77AB" w:rsidRDefault="009E3E47" w:rsidP="00ED59B3">
      <w:pPr>
        <w:autoSpaceDE w:val="0"/>
        <w:autoSpaceDN w:val="0"/>
        <w:adjustRightInd w:val="0"/>
        <w:spacing w:line="480" w:lineRule="auto"/>
        <w:jc w:val="both"/>
        <w:rPr>
          <w:rFonts w:asciiTheme="majorBidi" w:hAnsiTheme="majorBidi" w:cstheme="majorBidi"/>
          <w:b/>
          <w:bCs/>
          <w:sz w:val="24"/>
          <w:szCs w:val="24"/>
        </w:rPr>
      </w:pPr>
      <w:r w:rsidRPr="003D77AB">
        <w:rPr>
          <w:rFonts w:asciiTheme="majorBidi" w:hAnsiTheme="majorBidi" w:cstheme="majorBidi"/>
          <w:b/>
          <w:bCs/>
          <w:sz w:val="24"/>
          <w:szCs w:val="24"/>
        </w:rPr>
        <w:t xml:space="preserve">Section </w:t>
      </w:r>
      <w:r w:rsidR="008B6C13">
        <w:rPr>
          <w:rFonts w:asciiTheme="majorBidi" w:hAnsiTheme="majorBidi" w:cstheme="majorBidi"/>
          <w:b/>
          <w:bCs/>
          <w:sz w:val="24"/>
          <w:szCs w:val="24"/>
        </w:rPr>
        <w:t>8</w:t>
      </w:r>
      <w:r w:rsidRPr="003D77AB">
        <w:rPr>
          <w:rFonts w:asciiTheme="majorBidi" w:hAnsiTheme="majorBidi" w:cstheme="majorBidi"/>
          <w:b/>
          <w:bCs/>
          <w:sz w:val="24"/>
          <w:szCs w:val="24"/>
        </w:rPr>
        <w:t>: Cell cultures:</w:t>
      </w:r>
    </w:p>
    <w:p w14:paraId="01BD7D90" w14:textId="25F9F1D7" w:rsidR="009E3E47" w:rsidRPr="003D77AB" w:rsidRDefault="00ED59B3" w:rsidP="00ED59B3">
      <w:pPr>
        <w:autoSpaceDE w:val="0"/>
        <w:autoSpaceDN w:val="0"/>
        <w:adjustRightInd w:val="0"/>
        <w:spacing w:line="480" w:lineRule="auto"/>
        <w:jc w:val="both"/>
        <w:rPr>
          <w:rFonts w:asciiTheme="majorBidi" w:eastAsia="宋体" w:hAnsiTheme="majorBidi" w:cstheme="majorBidi"/>
          <w:kern w:val="2"/>
          <w:sz w:val="24"/>
          <w:szCs w:val="24"/>
        </w:rPr>
      </w:pPr>
      <w:r w:rsidRPr="003D77AB">
        <w:rPr>
          <w:rFonts w:asciiTheme="majorBidi" w:eastAsia="宋体" w:hAnsiTheme="majorBidi" w:cstheme="majorBidi"/>
          <w:kern w:val="2"/>
          <w:sz w:val="24"/>
          <w:szCs w:val="24"/>
        </w:rPr>
        <w:lastRenderedPageBreak/>
        <w:t>Previous results indicated the advantageous role of PC12 cells in exocytosis and neurite outgrowth studies because of their large capacity for unlimited proliferation with a minimized effort [</w:t>
      </w:r>
      <w:r w:rsidR="0063199E">
        <w:rPr>
          <w:rFonts w:asciiTheme="majorBidi" w:eastAsia="宋体" w:hAnsiTheme="majorBidi" w:cstheme="majorBidi"/>
          <w:kern w:val="2"/>
          <w:sz w:val="24"/>
          <w:szCs w:val="24"/>
        </w:rPr>
        <w:t>8</w:t>
      </w:r>
      <w:r w:rsidR="00107C7A" w:rsidRPr="003D77AB">
        <w:rPr>
          <w:rFonts w:asciiTheme="majorBidi" w:eastAsia="宋体" w:hAnsiTheme="majorBidi" w:cstheme="majorBidi"/>
          <w:kern w:val="2"/>
          <w:sz w:val="24"/>
          <w:szCs w:val="24"/>
        </w:rPr>
        <w:t>-</w:t>
      </w:r>
      <w:r w:rsidR="0063199E">
        <w:rPr>
          <w:rFonts w:asciiTheme="majorBidi" w:eastAsia="宋体" w:hAnsiTheme="majorBidi" w:cstheme="majorBidi"/>
          <w:kern w:val="2"/>
          <w:sz w:val="24"/>
          <w:szCs w:val="24"/>
        </w:rPr>
        <w:t>10</w:t>
      </w:r>
      <w:r w:rsidRPr="003D77AB">
        <w:rPr>
          <w:rFonts w:asciiTheme="majorBidi" w:eastAsia="宋体" w:hAnsiTheme="majorBidi" w:cstheme="majorBidi"/>
          <w:kern w:val="2"/>
          <w:sz w:val="24"/>
          <w:szCs w:val="24"/>
        </w:rPr>
        <w:t xml:space="preserve">].  </w:t>
      </w:r>
      <w:r w:rsidR="009E3E47" w:rsidRPr="003D77AB">
        <w:rPr>
          <w:rFonts w:asciiTheme="majorBidi" w:hAnsiTheme="majorBidi" w:cstheme="majorBidi"/>
          <w:color w:val="000000" w:themeColor="text1"/>
          <w:sz w:val="24"/>
          <w:szCs w:val="24"/>
        </w:rPr>
        <w:t>Briefly</w:t>
      </w:r>
      <w:r w:rsidR="009E3E47" w:rsidRPr="003D77AB">
        <w:rPr>
          <w:rFonts w:asciiTheme="majorBidi" w:hAnsiTheme="majorBidi" w:cstheme="majorBidi"/>
          <w:sz w:val="24"/>
          <w:szCs w:val="24"/>
        </w:rPr>
        <w:t>, PC12 cells (ATCC Mouse Cell) were cultured in RPMI 1640 medium (Gibco) containing 10% fetal bovine serum (FBS) (Vistech) and penicillin-streptomycin mixture (1:1000 dilution, Gibco) at 37°C/5% CO2. The medium was changed daily; Cells were washed twice in 0.01 M phosphate buffer saline (PBS) (</w:t>
      </w:r>
      <w:proofErr w:type="spellStart"/>
      <w:r w:rsidR="009E3E47" w:rsidRPr="003D77AB">
        <w:rPr>
          <w:rFonts w:asciiTheme="majorBidi" w:hAnsiTheme="majorBidi" w:cstheme="majorBidi"/>
          <w:sz w:val="24"/>
          <w:szCs w:val="24"/>
        </w:rPr>
        <w:t>HyClone</w:t>
      </w:r>
      <w:proofErr w:type="spellEnd"/>
      <w:r w:rsidR="009E3E47" w:rsidRPr="003D77AB">
        <w:rPr>
          <w:rFonts w:asciiTheme="majorBidi" w:hAnsiTheme="majorBidi" w:cstheme="majorBidi"/>
          <w:sz w:val="24"/>
          <w:szCs w:val="24"/>
        </w:rPr>
        <w:t>) and passaged by using 0.25% trypsin (Gibco) when the cell density was more than 80%.</w:t>
      </w:r>
    </w:p>
    <w:p w14:paraId="4C7B649B" w14:textId="3E595315" w:rsidR="00DB5715" w:rsidRPr="003D77AB" w:rsidRDefault="00DB5715" w:rsidP="00ED59B3">
      <w:pPr>
        <w:pStyle w:val="CommentText"/>
        <w:spacing w:line="480" w:lineRule="auto"/>
        <w:jc w:val="both"/>
        <w:rPr>
          <w:rFonts w:asciiTheme="majorBidi" w:hAnsiTheme="majorBidi" w:cstheme="majorBidi"/>
          <w:szCs w:val="24"/>
        </w:rPr>
      </w:pPr>
      <w:r w:rsidRPr="003D77AB">
        <w:rPr>
          <w:rFonts w:asciiTheme="majorBidi" w:hAnsiTheme="majorBidi" w:cstheme="majorBidi"/>
          <w:b/>
          <w:bCs/>
          <w:szCs w:val="24"/>
        </w:rPr>
        <w:t xml:space="preserve">Section </w:t>
      </w:r>
      <w:r w:rsidR="008B6C13">
        <w:rPr>
          <w:rFonts w:asciiTheme="majorBidi" w:hAnsiTheme="majorBidi" w:cstheme="majorBidi"/>
          <w:b/>
          <w:bCs/>
          <w:szCs w:val="24"/>
        </w:rPr>
        <w:t>9</w:t>
      </w:r>
      <w:r w:rsidRPr="003D77AB">
        <w:rPr>
          <w:rFonts w:asciiTheme="majorBidi" w:hAnsiTheme="majorBidi" w:cstheme="majorBidi"/>
          <w:b/>
          <w:bCs/>
          <w:szCs w:val="24"/>
        </w:rPr>
        <w:t xml:space="preserve">: </w:t>
      </w:r>
      <w:r w:rsidR="00AB3D45" w:rsidRPr="003D77AB">
        <w:rPr>
          <w:rFonts w:asciiTheme="majorBidi" w:hAnsiTheme="majorBidi" w:cstheme="majorBidi"/>
          <w:b/>
          <w:bCs/>
          <w:szCs w:val="24"/>
        </w:rPr>
        <w:t xml:space="preserve">Cell groups and </w:t>
      </w:r>
      <w:r w:rsidRPr="003D77AB">
        <w:rPr>
          <w:rFonts w:asciiTheme="majorBidi" w:hAnsiTheme="majorBidi" w:cstheme="majorBidi"/>
          <w:b/>
          <w:bCs/>
          <w:color w:val="000000" w:themeColor="text1"/>
          <w:kern w:val="0"/>
          <w:szCs w:val="24"/>
        </w:rPr>
        <w:t>Establishment of OGD/R model</w:t>
      </w:r>
    </w:p>
    <w:p w14:paraId="61300D18" w14:textId="2D8A09E2" w:rsidR="00DB5715" w:rsidRPr="003D77AB" w:rsidRDefault="00DB5715" w:rsidP="00ED59B3">
      <w:pPr>
        <w:autoSpaceDE w:val="0"/>
        <w:autoSpaceDN w:val="0"/>
        <w:adjustRightInd w:val="0"/>
        <w:spacing w:line="480" w:lineRule="auto"/>
        <w:jc w:val="both"/>
        <w:rPr>
          <w:rFonts w:asciiTheme="majorBidi" w:eastAsia="宋体" w:hAnsiTheme="majorBidi" w:cstheme="majorBidi"/>
          <w:kern w:val="2"/>
          <w:sz w:val="24"/>
          <w:szCs w:val="24"/>
        </w:rPr>
      </w:pPr>
      <w:r w:rsidRPr="003D77AB">
        <w:rPr>
          <w:rFonts w:asciiTheme="majorBidi" w:eastAsia="宋体" w:hAnsiTheme="majorBidi" w:cstheme="majorBidi"/>
          <w:kern w:val="2"/>
          <w:sz w:val="24"/>
          <w:szCs w:val="24"/>
        </w:rPr>
        <w:t>Cells at a density of 3 × 104 cells per well were cultured in a pre-heated RPMI-1640 glucose-free medium (Gibco). The plate was put into an anaerobic culture bag (MGC) which included an anaerobic gas-producing bag (MGC) and anaerobic indicator (MGC). With no change in the indicator, the anaerobic culture bags containing 6-well plates were put into a CO2 incubator for 4 hours. After deprivation of glucose and hypoxia, the anaerobic devices were removed, and the cells were cultured in a full culture medium at 37°C/5% CO2 for 24 hours.</w:t>
      </w:r>
    </w:p>
    <w:p w14:paraId="23A9F048" w14:textId="34466BDC" w:rsidR="00AB3D45" w:rsidRPr="003D77AB" w:rsidRDefault="00AB3D45" w:rsidP="00ED59B3">
      <w:pPr>
        <w:autoSpaceDE w:val="0"/>
        <w:autoSpaceDN w:val="0"/>
        <w:adjustRightInd w:val="0"/>
        <w:spacing w:line="480" w:lineRule="auto"/>
        <w:jc w:val="both"/>
        <w:rPr>
          <w:rFonts w:asciiTheme="majorBidi" w:eastAsia="宋体" w:hAnsiTheme="majorBidi" w:cstheme="majorBidi"/>
          <w:kern w:val="2"/>
          <w:sz w:val="24"/>
          <w:szCs w:val="24"/>
        </w:rPr>
      </w:pPr>
      <w:r w:rsidRPr="003D77AB">
        <w:rPr>
          <w:rFonts w:asciiTheme="majorBidi" w:eastAsia="宋体" w:hAnsiTheme="majorBidi" w:cstheme="majorBidi"/>
          <w:kern w:val="2"/>
          <w:sz w:val="24"/>
          <w:szCs w:val="24"/>
        </w:rPr>
        <w:t xml:space="preserve">Normal group (without any treatment), OGD group (cells exposed to the OGD model).TQ and TQ+OGD groups (cells treated with TQ 10 </w:t>
      </w:r>
      <w:proofErr w:type="spellStart"/>
      <w:r w:rsidRPr="003D77AB">
        <w:rPr>
          <w:rFonts w:asciiTheme="majorBidi" w:eastAsia="宋体" w:hAnsiTheme="majorBidi" w:cstheme="majorBidi"/>
          <w:kern w:val="2"/>
          <w:sz w:val="24"/>
          <w:szCs w:val="24"/>
        </w:rPr>
        <w:t>μg</w:t>
      </w:r>
      <w:proofErr w:type="spellEnd"/>
      <w:r w:rsidRPr="003D77AB">
        <w:rPr>
          <w:rFonts w:asciiTheme="majorBidi" w:eastAsia="宋体" w:hAnsiTheme="majorBidi" w:cstheme="majorBidi"/>
          <w:kern w:val="2"/>
          <w:sz w:val="24"/>
          <w:szCs w:val="24"/>
        </w:rPr>
        <w:t xml:space="preserve">/ml for 24 hr.), TP and TP+OGD groups (cells treated with TP 50 </w:t>
      </w:r>
      <w:proofErr w:type="spellStart"/>
      <w:r w:rsidRPr="003D77AB">
        <w:rPr>
          <w:rFonts w:asciiTheme="majorBidi" w:eastAsia="宋体" w:hAnsiTheme="majorBidi" w:cstheme="majorBidi"/>
          <w:kern w:val="2"/>
          <w:sz w:val="24"/>
          <w:szCs w:val="24"/>
        </w:rPr>
        <w:t>nM</w:t>
      </w:r>
      <w:proofErr w:type="spellEnd"/>
      <w:r w:rsidRPr="003D77AB">
        <w:rPr>
          <w:rFonts w:asciiTheme="majorBidi" w:eastAsia="宋体" w:hAnsiTheme="majorBidi" w:cstheme="majorBidi"/>
          <w:kern w:val="2"/>
          <w:sz w:val="24"/>
          <w:szCs w:val="24"/>
        </w:rPr>
        <w:t>/ml for 24 hr.), A stock solution of TQ or TP were prepared in DMSO solvent and then suitable working solutions achieved by using a complete medium. The concentrations were chosen according to the literature [</w:t>
      </w:r>
      <w:r w:rsidR="0063199E">
        <w:rPr>
          <w:rFonts w:asciiTheme="majorBidi" w:eastAsia="宋体" w:hAnsiTheme="majorBidi" w:cstheme="majorBidi"/>
          <w:kern w:val="2"/>
          <w:sz w:val="24"/>
          <w:szCs w:val="24"/>
        </w:rPr>
        <w:t>11</w:t>
      </w:r>
      <w:r w:rsidR="00107C7A" w:rsidRPr="003D77AB">
        <w:rPr>
          <w:rFonts w:asciiTheme="majorBidi" w:eastAsia="宋体" w:hAnsiTheme="majorBidi" w:cstheme="majorBidi"/>
          <w:kern w:val="2"/>
          <w:sz w:val="24"/>
          <w:szCs w:val="24"/>
        </w:rPr>
        <w:t>-</w:t>
      </w:r>
      <w:r w:rsidR="0063199E">
        <w:rPr>
          <w:rFonts w:asciiTheme="majorBidi" w:eastAsia="宋体" w:hAnsiTheme="majorBidi" w:cstheme="majorBidi"/>
          <w:kern w:val="2"/>
          <w:sz w:val="24"/>
          <w:szCs w:val="24"/>
        </w:rPr>
        <w:t>1</w:t>
      </w:r>
      <w:r w:rsidR="00107C7A" w:rsidRPr="003D77AB">
        <w:rPr>
          <w:rFonts w:asciiTheme="majorBidi" w:eastAsia="宋体" w:hAnsiTheme="majorBidi" w:cstheme="majorBidi"/>
          <w:kern w:val="2"/>
          <w:sz w:val="24"/>
          <w:szCs w:val="24"/>
        </w:rPr>
        <w:t>2</w:t>
      </w:r>
      <w:r w:rsidRPr="003D77AB">
        <w:rPr>
          <w:rFonts w:asciiTheme="majorBidi" w:eastAsia="宋体" w:hAnsiTheme="majorBidi" w:cstheme="majorBidi"/>
          <w:kern w:val="2"/>
          <w:sz w:val="24"/>
          <w:szCs w:val="24"/>
        </w:rPr>
        <w:t>]. Further information about establishment of OGD/R model</w:t>
      </w:r>
    </w:p>
    <w:p w14:paraId="0A0049C7" w14:textId="70B58C55" w:rsidR="000764D0" w:rsidRPr="003D77AB" w:rsidRDefault="000764D0" w:rsidP="00ED59B3">
      <w:pPr>
        <w:autoSpaceDE w:val="0"/>
        <w:autoSpaceDN w:val="0"/>
        <w:adjustRightInd w:val="0"/>
        <w:spacing w:line="480" w:lineRule="auto"/>
        <w:jc w:val="both"/>
        <w:rPr>
          <w:rFonts w:asciiTheme="majorBidi" w:hAnsiTheme="majorBidi" w:cstheme="majorBidi"/>
          <w:b/>
          <w:bCs/>
          <w:sz w:val="24"/>
          <w:szCs w:val="24"/>
        </w:rPr>
      </w:pPr>
      <w:r w:rsidRPr="003D77AB">
        <w:rPr>
          <w:rFonts w:asciiTheme="majorBidi" w:hAnsiTheme="majorBidi" w:cstheme="majorBidi"/>
          <w:b/>
          <w:bCs/>
          <w:sz w:val="24"/>
          <w:szCs w:val="24"/>
        </w:rPr>
        <w:t xml:space="preserve">Section </w:t>
      </w:r>
      <w:r w:rsidR="008B6C13">
        <w:rPr>
          <w:rFonts w:asciiTheme="majorBidi" w:hAnsiTheme="majorBidi" w:cstheme="majorBidi"/>
          <w:b/>
          <w:bCs/>
          <w:sz w:val="24"/>
          <w:szCs w:val="24"/>
        </w:rPr>
        <w:t>10</w:t>
      </w:r>
      <w:r w:rsidRPr="003D77AB">
        <w:rPr>
          <w:rFonts w:asciiTheme="majorBidi" w:hAnsiTheme="majorBidi" w:cstheme="majorBidi"/>
          <w:b/>
          <w:bCs/>
          <w:sz w:val="24"/>
          <w:szCs w:val="24"/>
        </w:rPr>
        <w:t>: In vitro immunofluorescence staining</w:t>
      </w:r>
    </w:p>
    <w:p w14:paraId="0E7C736B" w14:textId="40B841AB" w:rsidR="000764D0" w:rsidRPr="003D77AB" w:rsidRDefault="000764D0" w:rsidP="00ED59B3">
      <w:pPr>
        <w:autoSpaceDE w:val="0"/>
        <w:autoSpaceDN w:val="0"/>
        <w:adjustRightInd w:val="0"/>
        <w:spacing w:line="480" w:lineRule="auto"/>
        <w:jc w:val="both"/>
        <w:rPr>
          <w:rFonts w:asciiTheme="majorBidi" w:hAnsiTheme="majorBidi" w:cstheme="majorBidi"/>
          <w:sz w:val="24"/>
          <w:szCs w:val="24"/>
        </w:rPr>
      </w:pPr>
      <w:r w:rsidRPr="003D77AB">
        <w:rPr>
          <w:rFonts w:asciiTheme="majorBidi" w:hAnsiTheme="majorBidi" w:cstheme="majorBidi"/>
          <w:sz w:val="24"/>
          <w:szCs w:val="24"/>
        </w:rPr>
        <w:lastRenderedPageBreak/>
        <w:t>Cells were incubated with</w:t>
      </w:r>
      <w:r w:rsidRPr="003D77AB">
        <w:rPr>
          <w:rFonts w:asciiTheme="majorBidi" w:hAnsiTheme="majorBidi" w:cstheme="majorBidi"/>
          <w:color w:val="FF0000"/>
          <w:sz w:val="24"/>
          <w:szCs w:val="24"/>
        </w:rPr>
        <w:t xml:space="preserve"> </w:t>
      </w:r>
      <w:r w:rsidRPr="003D77AB">
        <w:rPr>
          <w:rFonts w:asciiTheme="majorBidi" w:hAnsiTheme="majorBidi" w:cstheme="majorBidi"/>
          <w:sz w:val="24"/>
          <w:szCs w:val="24"/>
        </w:rPr>
        <w:t>rabbit anti-HO-1 primary antibody (1:100 dilution, Abcam), rabbit anti-Nrf2 primary antibody (1:200 dilution, OMNI) and rabbit anti-NF-kB primary antibody (1:100, CST) in PBST at 4°C overnight. The next day the cells were washed 5 min 3 times with PBST and incubated with antirabbit Alexa Fluor488 and Alexa Fluor 594 secondary antibody (1:500, EARTHOX, USA) in 0.01 M PBST at room temperature for 1.5 hours. Finally, a mounting medium containing DAPI (VECTASHIELD, USA) was added to the slides and then covered with coverslips for observation. Slides were observed under fluorescence microscopy (Olympus BX53, Japan). Images were taken at 400x and 800x magnification. For negative controls, cells on the coverslips were incubated with secondary antibody only.</w:t>
      </w:r>
    </w:p>
    <w:p w14:paraId="34CC65EE" w14:textId="587D9AFF" w:rsidR="009E3E47" w:rsidRPr="003D77AB" w:rsidRDefault="004961E4" w:rsidP="00ED59B3">
      <w:pPr>
        <w:pStyle w:val="CommentText"/>
        <w:spacing w:line="480" w:lineRule="auto"/>
        <w:jc w:val="both"/>
        <w:rPr>
          <w:rFonts w:asciiTheme="majorBidi" w:hAnsiTheme="majorBidi" w:cstheme="majorBidi"/>
          <w:b/>
          <w:bCs/>
          <w:szCs w:val="24"/>
        </w:rPr>
      </w:pPr>
      <w:r w:rsidRPr="003D77AB">
        <w:rPr>
          <w:rFonts w:asciiTheme="majorBidi" w:hAnsiTheme="majorBidi" w:cstheme="majorBidi"/>
          <w:b/>
          <w:bCs/>
          <w:szCs w:val="24"/>
        </w:rPr>
        <w:t>Results:</w:t>
      </w:r>
    </w:p>
    <w:p w14:paraId="1F935075" w14:textId="28847269" w:rsidR="00526FD2" w:rsidRPr="003D77AB" w:rsidRDefault="00526FD2" w:rsidP="00ED59B3">
      <w:pPr>
        <w:autoSpaceDE w:val="0"/>
        <w:autoSpaceDN w:val="0"/>
        <w:adjustRightInd w:val="0"/>
        <w:spacing w:line="480" w:lineRule="auto"/>
        <w:jc w:val="both"/>
        <w:rPr>
          <w:rFonts w:asciiTheme="majorBidi" w:hAnsiTheme="majorBidi" w:cstheme="majorBidi"/>
          <w:b/>
          <w:bCs/>
          <w:sz w:val="24"/>
          <w:szCs w:val="24"/>
        </w:rPr>
      </w:pPr>
      <w:r w:rsidRPr="003D77AB">
        <w:rPr>
          <w:rFonts w:asciiTheme="majorBidi" w:hAnsiTheme="majorBidi" w:cstheme="majorBidi"/>
          <w:b/>
          <w:bCs/>
          <w:sz w:val="24"/>
          <w:szCs w:val="24"/>
        </w:rPr>
        <w:t>1. Effect of TQ drug on mice weight and Survival rate:</w:t>
      </w:r>
    </w:p>
    <w:p w14:paraId="3FEA62C7" w14:textId="66514161" w:rsidR="005C6867" w:rsidRPr="003D77AB" w:rsidRDefault="005C6867" w:rsidP="00ED59B3">
      <w:pPr>
        <w:autoSpaceDE w:val="0"/>
        <w:autoSpaceDN w:val="0"/>
        <w:adjustRightInd w:val="0"/>
        <w:spacing w:line="480" w:lineRule="auto"/>
        <w:jc w:val="both"/>
        <w:rPr>
          <w:rFonts w:asciiTheme="majorBidi" w:hAnsiTheme="majorBidi" w:cstheme="majorBidi"/>
          <w:sz w:val="24"/>
          <w:szCs w:val="24"/>
        </w:rPr>
      </w:pPr>
      <w:r w:rsidRPr="003D77AB">
        <w:rPr>
          <w:rFonts w:asciiTheme="majorBidi" w:hAnsiTheme="majorBidi" w:cstheme="majorBidi"/>
          <w:sz w:val="24"/>
          <w:szCs w:val="24"/>
        </w:rPr>
        <w:t>The mice's weight before establishing the stroke model was approximately equal in all groups (25±2 g) (Fig</w:t>
      </w:r>
      <w:r w:rsidR="002825B9">
        <w:rPr>
          <w:rFonts w:asciiTheme="majorBidi" w:hAnsiTheme="majorBidi" w:cstheme="majorBidi"/>
          <w:sz w:val="24"/>
          <w:szCs w:val="24"/>
        </w:rPr>
        <w:t>.</w:t>
      </w:r>
      <w:r w:rsidRPr="003D77AB">
        <w:rPr>
          <w:rFonts w:asciiTheme="majorBidi" w:hAnsiTheme="majorBidi" w:cstheme="majorBidi"/>
          <w:sz w:val="24"/>
          <w:szCs w:val="24"/>
        </w:rPr>
        <w:t xml:space="preserve"> I</w:t>
      </w:r>
      <w:r w:rsidR="00CA2221">
        <w:rPr>
          <w:rFonts w:asciiTheme="majorBidi" w:hAnsiTheme="majorBidi" w:cstheme="majorBidi"/>
          <w:sz w:val="24"/>
          <w:szCs w:val="24"/>
        </w:rPr>
        <w:t>I</w:t>
      </w:r>
      <w:r w:rsidRPr="003D77AB">
        <w:rPr>
          <w:rFonts w:asciiTheme="majorBidi" w:hAnsiTheme="majorBidi" w:cstheme="majorBidi"/>
          <w:sz w:val="24"/>
          <w:szCs w:val="24"/>
        </w:rPr>
        <w:t xml:space="preserve">I(A)). After the model, Stroke and TP+ Stroke groups show a significant decrease in their body weight (P&lt;0.001) (P&lt;0.05), respectively. While TQ+ Stroke mice display a non-significant change in their weight compared with pre-stroke mice. Besides, </w:t>
      </w:r>
      <w:bookmarkStart w:id="5" w:name="_Hlk52017429"/>
      <w:r w:rsidRPr="003D77AB">
        <w:rPr>
          <w:rFonts w:asciiTheme="majorBidi" w:hAnsiTheme="majorBidi" w:cstheme="majorBidi"/>
          <w:sz w:val="24"/>
          <w:szCs w:val="24"/>
        </w:rPr>
        <w:t>the observation of the survival rate of all groups for 7 days shows a noticeable increase with TQ administration for 5 days before stroke as shown in (Fig</w:t>
      </w:r>
      <w:r w:rsidR="002825B9">
        <w:rPr>
          <w:rFonts w:asciiTheme="majorBidi" w:hAnsiTheme="majorBidi" w:cstheme="majorBidi"/>
          <w:sz w:val="24"/>
          <w:szCs w:val="24"/>
        </w:rPr>
        <w:t xml:space="preserve">. </w:t>
      </w:r>
      <w:r w:rsidRPr="003D77AB">
        <w:rPr>
          <w:rFonts w:asciiTheme="majorBidi" w:hAnsiTheme="majorBidi" w:cstheme="majorBidi"/>
          <w:sz w:val="24"/>
          <w:szCs w:val="24"/>
        </w:rPr>
        <w:t>I</w:t>
      </w:r>
      <w:r w:rsidR="00CA2221">
        <w:rPr>
          <w:rFonts w:asciiTheme="majorBidi" w:hAnsiTheme="majorBidi" w:cstheme="majorBidi"/>
          <w:sz w:val="24"/>
          <w:szCs w:val="24"/>
        </w:rPr>
        <w:t>I</w:t>
      </w:r>
      <w:r w:rsidRPr="003D77AB">
        <w:rPr>
          <w:rFonts w:asciiTheme="majorBidi" w:hAnsiTheme="majorBidi" w:cstheme="majorBidi"/>
          <w:sz w:val="24"/>
          <w:szCs w:val="24"/>
        </w:rPr>
        <w:t xml:space="preserve">I(B)).  </w:t>
      </w:r>
      <w:bookmarkEnd w:id="5"/>
    </w:p>
    <w:p w14:paraId="65B00253" w14:textId="77777777" w:rsidR="004961E4" w:rsidRPr="003D77AB" w:rsidRDefault="004961E4" w:rsidP="00ED59B3">
      <w:pPr>
        <w:pStyle w:val="CommentText"/>
        <w:spacing w:line="480" w:lineRule="auto"/>
        <w:jc w:val="both"/>
        <w:rPr>
          <w:rFonts w:asciiTheme="majorBidi" w:hAnsiTheme="majorBidi" w:cstheme="majorBidi"/>
          <w:b/>
          <w:bCs/>
          <w:szCs w:val="24"/>
        </w:rPr>
      </w:pPr>
    </w:p>
    <w:p w14:paraId="59D71C5D" w14:textId="2C561441" w:rsidR="004961E4" w:rsidRPr="003D77AB" w:rsidRDefault="004961E4" w:rsidP="00ED59B3">
      <w:pPr>
        <w:autoSpaceDE w:val="0"/>
        <w:autoSpaceDN w:val="0"/>
        <w:adjustRightInd w:val="0"/>
        <w:jc w:val="both"/>
        <w:rPr>
          <w:rFonts w:asciiTheme="majorBidi" w:hAnsiTheme="majorBidi" w:cstheme="majorBidi"/>
          <w:color w:val="4472C4" w:themeColor="accent1"/>
          <w:sz w:val="24"/>
          <w:szCs w:val="24"/>
          <w:lang w:bidi="ar-EG"/>
        </w:rPr>
      </w:pPr>
      <w:r w:rsidRPr="003D77AB">
        <w:rPr>
          <w:rFonts w:asciiTheme="majorBidi" w:hAnsiTheme="majorBidi" w:cstheme="majorBidi"/>
          <w:noProof/>
          <w:color w:val="4472C4" w:themeColor="accent1"/>
          <w:sz w:val="24"/>
          <w:szCs w:val="24"/>
          <w:lang w:eastAsia="zh-CN"/>
        </w:rPr>
        <w:lastRenderedPageBreak/>
        <w:drawing>
          <wp:inline distT="0" distB="0" distL="0" distR="0" wp14:anchorId="2DB3B0DD" wp14:editId="6194DFE1">
            <wp:extent cx="5727065" cy="2156460"/>
            <wp:effectExtent l="0" t="0" r="698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065" cy="2156460"/>
                    </a:xfrm>
                    <a:prstGeom prst="rect">
                      <a:avLst/>
                    </a:prstGeom>
                    <a:noFill/>
                    <a:ln>
                      <a:noFill/>
                    </a:ln>
                  </pic:spPr>
                </pic:pic>
              </a:graphicData>
            </a:graphic>
          </wp:inline>
        </w:drawing>
      </w:r>
    </w:p>
    <w:p w14:paraId="7D53BCE1" w14:textId="77777777" w:rsidR="004961E4" w:rsidRPr="003D77AB" w:rsidRDefault="004961E4" w:rsidP="00ED59B3">
      <w:pPr>
        <w:autoSpaceDE w:val="0"/>
        <w:autoSpaceDN w:val="0"/>
        <w:adjustRightInd w:val="0"/>
        <w:jc w:val="both"/>
        <w:rPr>
          <w:rFonts w:asciiTheme="majorBidi" w:hAnsiTheme="majorBidi" w:cstheme="majorBidi"/>
          <w:color w:val="4472C4" w:themeColor="accent1"/>
          <w:sz w:val="24"/>
          <w:szCs w:val="24"/>
          <w:lang w:bidi="ar-EG"/>
        </w:rPr>
      </w:pPr>
    </w:p>
    <w:p w14:paraId="1382242D" w14:textId="7F0B3A4C" w:rsidR="006D4625" w:rsidRPr="00872E0C" w:rsidRDefault="00554A96" w:rsidP="00872E0C">
      <w:pPr>
        <w:autoSpaceDE w:val="0"/>
        <w:autoSpaceDN w:val="0"/>
        <w:adjustRightInd w:val="0"/>
        <w:spacing w:line="480" w:lineRule="auto"/>
        <w:jc w:val="both"/>
        <w:rPr>
          <w:rFonts w:asciiTheme="majorBidi" w:hAnsiTheme="majorBidi" w:cstheme="majorBidi"/>
          <w:color w:val="000000" w:themeColor="text1"/>
        </w:rPr>
      </w:pPr>
      <w:r w:rsidRPr="003D77AB">
        <w:rPr>
          <w:rFonts w:asciiTheme="majorBidi" w:hAnsiTheme="majorBidi" w:cstheme="majorBidi"/>
          <w:b/>
          <w:bCs/>
          <w:sz w:val="24"/>
          <w:szCs w:val="24"/>
        </w:rPr>
        <w:t>Fig</w:t>
      </w:r>
      <w:r w:rsidR="002825B9">
        <w:rPr>
          <w:rFonts w:asciiTheme="majorBidi" w:hAnsiTheme="majorBidi" w:cstheme="majorBidi"/>
          <w:b/>
          <w:bCs/>
          <w:sz w:val="24"/>
          <w:szCs w:val="24"/>
        </w:rPr>
        <w:t>.</w:t>
      </w:r>
      <w:r w:rsidRPr="003D77AB">
        <w:rPr>
          <w:rFonts w:asciiTheme="majorBidi" w:hAnsiTheme="majorBidi" w:cstheme="majorBidi"/>
          <w:b/>
          <w:bCs/>
          <w:sz w:val="24"/>
          <w:szCs w:val="24"/>
        </w:rPr>
        <w:t xml:space="preserve"> II</w:t>
      </w:r>
      <w:r w:rsidR="004B2ADE">
        <w:rPr>
          <w:rFonts w:asciiTheme="majorBidi" w:hAnsiTheme="majorBidi" w:cstheme="majorBidi"/>
          <w:b/>
          <w:bCs/>
          <w:sz w:val="24"/>
          <w:szCs w:val="24"/>
        </w:rPr>
        <w:t>I</w:t>
      </w:r>
      <w:r w:rsidR="004961E4" w:rsidRPr="003D77AB">
        <w:rPr>
          <w:rFonts w:asciiTheme="majorBidi" w:hAnsiTheme="majorBidi" w:cstheme="majorBidi"/>
          <w:b/>
          <w:bCs/>
          <w:sz w:val="24"/>
          <w:szCs w:val="24"/>
        </w:rPr>
        <w:t xml:space="preserve"> TQ increases the survival rate after stroke without loss in body weight</w:t>
      </w:r>
      <w:r w:rsidR="004961E4" w:rsidRPr="003D77AB">
        <w:rPr>
          <w:rFonts w:asciiTheme="majorBidi" w:hAnsiTheme="majorBidi" w:cstheme="majorBidi"/>
          <w:sz w:val="24"/>
          <w:szCs w:val="24"/>
        </w:rPr>
        <w:t xml:space="preserve">. </w:t>
      </w:r>
      <w:r w:rsidR="004961E4" w:rsidRPr="00872E0C">
        <w:rPr>
          <w:rFonts w:asciiTheme="majorBidi" w:hAnsiTheme="majorBidi" w:cstheme="majorBidi"/>
          <w:b/>
          <w:bCs/>
          <w:sz w:val="24"/>
          <w:szCs w:val="24"/>
        </w:rPr>
        <w:t>A</w:t>
      </w:r>
      <w:r w:rsidR="00872E0C">
        <w:rPr>
          <w:rFonts w:asciiTheme="majorBidi" w:hAnsiTheme="majorBidi" w:cstheme="majorBidi"/>
          <w:sz w:val="24"/>
          <w:szCs w:val="24"/>
        </w:rPr>
        <w:t xml:space="preserve">, </w:t>
      </w:r>
      <w:r w:rsidR="004961E4" w:rsidRPr="003D77AB">
        <w:rPr>
          <w:rFonts w:asciiTheme="majorBidi" w:hAnsiTheme="majorBidi" w:cstheme="majorBidi"/>
          <w:sz w:val="24"/>
          <w:szCs w:val="24"/>
        </w:rPr>
        <w:t xml:space="preserve">Weight, Stroke Vs. pre-stroke ***P&lt;0.001, TP+ stroke Vs. pre-stroke *P&lt;0.05, TQ+ stroke Vs. pre-stroke P=ns. </w:t>
      </w:r>
      <w:r w:rsidR="004961E4" w:rsidRPr="00872E0C">
        <w:rPr>
          <w:rFonts w:asciiTheme="majorBidi" w:hAnsiTheme="majorBidi" w:cstheme="majorBidi"/>
          <w:b/>
          <w:bCs/>
          <w:sz w:val="24"/>
          <w:szCs w:val="24"/>
        </w:rPr>
        <w:t>B</w:t>
      </w:r>
      <w:r w:rsidR="00872E0C">
        <w:rPr>
          <w:rFonts w:asciiTheme="majorBidi" w:hAnsiTheme="majorBidi" w:cstheme="majorBidi"/>
          <w:sz w:val="24"/>
          <w:szCs w:val="24"/>
        </w:rPr>
        <w:t>,</w:t>
      </w:r>
      <w:r w:rsidR="004961E4" w:rsidRPr="003D77AB">
        <w:rPr>
          <w:rFonts w:asciiTheme="majorBidi" w:hAnsiTheme="majorBidi" w:cstheme="majorBidi"/>
          <w:sz w:val="24"/>
          <w:szCs w:val="24"/>
        </w:rPr>
        <w:t xml:space="preserve"> Survival rate. TQ survival rate on the last day before sacrificed = 70%.</w:t>
      </w:r>
      <w:r w:rsidR="00872E0C" w:rsidRPr="00872E0C">
        <w:rPr>
          <w:rFonts w:asciiTheme="majorBidi" w:hAnsiTheme="majorBidi" w:cstheme="majorBidi"/>
          <w:color w:val="000000" w:themeColor="text1"/>
        </w:rPr>
        <w:t xml:space="preserve"> </w:t>
      </w:r>
      <w:r w:rsidR="00872E0C" w:rsidRPr="00EA1C80">
        <w:rPr>
          <w:rFonts w:asciiTheme="majorBidi" w:hAnsiTheme="majorBidi" w:cstheme="majorBidi"/>
          <w:color w:val="000000" w:themeColor="text1"/>
        </w:rPr>
        <w:t>All values are expressed as mean ± SEM</w:t>
      </w:r>
      <w:r w:rsidR="00872E0C">
        <w:rPr>
          <w:rFonts w:asciiTheme="majorBidi" w:hAnsiTheme="majorBidi" w:cstheme="majorBidi"/>
          <w:color w:val="000000" w:themeColor="text1"/>
        </w:rPr>
        <w:t>, n=10</w:t>
      </w:r>
      <w:r w:rsidR="00872E0C" w:rsidRPr="00EA1C80">
        <w:rPr>
          <w:rFonts w:asciiTheme="majorBidi" w:hAnsiTheme="majorBidi" w:cstheme="majorBidi"/>
          <w:color w:val="000000" w:themeColor="text1"/>
        </w:rPr>
        <w:t xml:space="preserve">. </w:t>
      </w:r>
    </w:p>
    <w:p w14:paraId="0D5DC430" w14:textId="621D0161" w:rsidR="00526FD2" w:rsidRPr="003D77AB" w:rsidRDefault="00526FD2" w:rsidP="00ED59B3">
      <w:pPr>
        <w:spacing w:line="480" w:lineRule="auto"/>
        <w:jc w:val="both"/>
        <w:rPr>
          <w:rFonts w:asciiTheme="majorBidi" w:eastAsia="Times New Roman" w:hAnsiTheme="majorBidi" w:cstheme="majorBidi"/>
          <w:b/>
          <w:bCs/>
          <w:sz w:val="24"/>
          <w:szCs w:val="24"/>
        </w:rPr>
      </w:pPr>
      <w:r w:rsidRPr="003D77AB">
        <w:rPr>
          <w:rFonts w:asciiTheme="majorBidi" w:eastAsia="Times New Roman" w:hAnsiTheme="majorBidi" w:cstheme="majorBidi"/>
          <w:b/>
          <w:bCs/>
          <w:sz w:val="24"/>
          <w:szCs w:val="24"/>
        </w:rPr>
        <w:t>3.TQ administration have no toxicity on liver tissue</w:t>
      </w:r>
    </w:p>
    <w:p w14:paraId="0DCAE399" w14:textId="59AB4C56" w:rsidR="007F3747" w:rsidRPr="003D77AB" w:rsidRDefault="007F3747" w:rsidP="00ED59B3">
      <w:pPr>
        <w:spacing w:line="480" w:lineRule="auto"/>
        <w:jc w:val="both"/>
        <w:rPr>
          <w:rFonts w:asciiTheme="majorBidi" w:hAnsiTheme="majorBidi" w:cstheme="majorBidi"/>
          <w:sz w:val="24"/>
          <w:szCs w:val="24"/>
        </w:rPr>
      </w:pPr>
      <w:r w:rsidRPr="003D77AB">
        <w:rPr>
          <w:rFonts w:asciiTheme="majorBidi" w:hAnsiTheme="majorBidi" w:cstheme="majorBidi"/>
          <w:sz w:val="24"/>
          <w:szCs w:val="24"/>
        </w:rPr>
        <w:t>TQ shows an insignificant change in liver morphology, meanwhile, TP administration exhibits fibrosis, focal necrosis, and congestion of hepatoportal blood vessel, which is covered by inflammatory cell infiltration (black arrows)</w:t>
      </w:r>
      <w:r w:rsidR="00E35D04" w:rsidRPr="003D77AB">
        <w:rPr>
          <w:rFonts w:asciiTheme="majorBidi" w:hAnsiTheme="majorBidi" w:cstheme="majorBidi"/>
          <w:sz w:val="24"/>
          <w:szCs w:val="24"/>
        </w:rPr>
        <w:t xml:space="preserve"> as shown in Fig</w:t>
      </w:r>
      <w:r w:rsidR="002825B9">
        <w:rPr>
          <w:rFonts w:asciiTheme="majorBidi" w:hAnsiTheme="majorBidi" w:cstheme="majorBidi"/>
          <w:sz w:val="24"/>
          <w:szCs w:val="24"/>
        </w:rPr>
        <w:t>. I</w:t>
      </w:r>
      <w:r w:rsidR="00CA2221">
        <w:rPr>
          <w:rFonts w:asciiTheme="majorBidi" w:hAnsiTheme="majorBidi" w:cstheme="majorBidi"/>
          <w:sz w:val="24"/>
          <w:szCs w:val="24"/>
        </w:rPr>
        <w:t>V</w:t>
      </w:r>
      <w:r w:rsidRPr="003D77AB">
        <w:rPr>
          <w:rFonts w:asciiTheme="majorBidi" w:hAnsiTheme="majorBidi" w:cstheme="majorBidi"/>
          <w:sz w:val="24"/>
          <w:szCs w:val="24"/>
        </w:rPr>
        <w:t>.</w:t>
      </w:r>
    </w:p>
    <w:p w14:paraId="405A6811" w14:textId="2DDC287E" w:rsidR="006D4625" w:rsidRPr="003D77AB" w:rsidRDefault="004961E4" w:rsidP="002825B9">
      <w:pPr>
        <w:jc w:val="center"/>
        <w:rPr>
          <w:rFonts w:asciiTheme="majorBidi" w:eastAsia="Times New Roman" w:hAnsiTheme="majorBidi" w:cstheme="majorBidi"/>
          <w:b/>
          <w:bCs/>
          <w:sz w:val="24"/>
          <w:szCs w:val="24"/>
        </w:rPr>
      </w:pPr>
      <w:r w:rsidRPr="003D77AB">
        <w:rPr>
          <w:rFonts w:asciiTheme="majorBidi" w:eastAsia="Times New Roman" w:hAnsiTheme="majorBidi" w:cstheme="majorBidi"/>
          <w:b/>
          <w:bCs/>
          <w:noProof/>
          <w:sz w:val="24"/>
          <w:szCs w:val="24"/>
          <w:lang w:eastAsia="zh-CN"/>
        </w:rPr>
        <w:lastRenderedPageBreak/>
        <w:drawing>
          <wp:inline distT="0" distB="0" distL="0" distR="0" wp14:anchorId="318C1429" wp14:editId="65EE4654">
            <wp:extent cx="5158854" cy="302638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69740" cy="3032770"/>
                    </a:xfrm>
                    <a:prstGeom prst="rect">
                      <a:avLst/>
                    </a:prstGeom>
                    <a:noFill/>
                    <a:ln>
                      <a:noFill/>
                    </a:ln>
                  </pic:spPr>
                </pic:pic>
              </a:graphicData>
            </a:graphic>
          </wp:inline>
        </w:drawing>
      </w:r>
    </w:p>
    <w:p w14:paraId="402ED697" w14:textId="490FC15F" w:rsidR="007F3747" w:rsidRDefault="004961E4" w:rsidP="00ED59B3">
      <w:pPr>
        <w:spacing w:line="480" w:lineRule="auto"/>
        <w:jc w:val="both"/>
        <w:rPr>
          <w:rFonts w:asciiTheme="majorBidi" w:hAnsiTheme="majorBidi" w:cstheme="majorBidi"/>
          <w:sz w:val="24"/>
          <w:szCs w:val="24"/>
        </w:rPr>
      </w:pPr>
      <w:r w:rsidRPr="003D77AB">
        <w:rPr>
          <w:rFonts w:asciiTheme="majorBidi" w:eastAsia="Times New Roman" w:hAnsiTheme="majorBidi" w:cstheme="majorBidi"/>
          <w:b/>
          <w:bCs/>
          <w:sz w:val="24"/>
          <w:szCs w:val="24"/>
        </w:rPr>
        <w:t>Fig</w:t>
      </w:r>
      <w:r w:rsidR="002825B9">
        <w:rPr>
          <w:rFonts w:asciiTheme="majorBidi" w:eastAsia="Times New Roman" w:hAnsiTheme="majorBidi" w:cstheme="majorBidi"/>
          <w:b/>
          <w:bCs/>
          <w:sz w:val="24"/>
          <w:szCs w:val="24"/>
        </w:rPr>
        <w:t>.</w:t>
      </w:r>
      <w:r w:rsidRPr="003D77AB">
        <w:rPr>
          <w:rFonts w:asciiTheme="majorBidi" w:eastAsia="Times New Roman" w:hAnsiTheme="majorBidi" w:cstheme="majorBidi"/>
          <w:b/>
          <w:bCs/>
          <w:sz w:val="24"/>
          <w:szCs w:val="24"/>
        </w:rPr>
        <w:t xml:space="preserve"> </w:t>
      </w:r>
      <w:r w:rsidR="004B2ADE">
        <w:rPr>
          <w:rFonts w:asciiTheme="majorBidi" w:eastAsia="Times New Roman" w:hAnsiTheme="majorBidi" w:cstheme="majorBidi"/>
          <w:b/>
          <w:bCs/>
          <w:sz w:val="24"/>
          <w:szCs w:val="24"/>
        </w:rPr>
        <w:t xml:space="preserve">IV. </w:t>
      </w:r>
      <w:r w:rsidRPr="003D77AB">
        <w:rPr>
          <w:rFonts w:asciiTheme="majorBidi" w:eastAsia="Times New Roman" w:hAnsiTheme="majorBidi" w:cstheme="majorBidi"/>
          <w:b/>
          <w:bCs/>
          <w:sz w:val="24"/>
          <w:szCs w:val="24"/>
        </w:rPr>
        <w:t>TQ has no side effects on liver tissues compared to TP.</w:t>
      </w:r>
      <w:r w:rsidRPr="003D77AB">
        <w:rPr>
          <w:rFonts w:asciiTheme="majorBidi" w:eastAsia="Times New Roman" w:hAnsiTheme="majorBidi" w:cstheme="majorBidi"/>
          <w:sz w:val="24"/>
          <w:szCs w:val="24"/>
        </w:rPr>
        <w:t xml:space="preserve"> (CV) central vein, </w:t>
      </w:r>
      <w:r w:rsidRPr="003D77AB">
        <w:rPr>
          <w:rFonts w:asciiTheme="majorBidi" w:hAnsiTheme="majorBidi" w:cstheme="majorBidi"/>
          <w:sz w:val="24"/>
          <w:szCs w:val="24"/>
        </w:rPr>
        <w:t>TP administration exhibits fibrosis, focal necrosis, and congestion of hepatoportal blood vessel, which is covered by inflammatory cell infiltration (black arrows).</w:t>
      </w:r>
      <w:r w:rsidR="00872E0C">
        <w:rPr>
          <w:rFonts w:asciiTheme="majorBidi" w:hAnsiTheme="majorBidi" w:cstheme="majorBidi"/>
          <w:sz w:val="24"/>
          <w:szCs w:val="24"/>
        </w:rPr>
        <w:t xml:space="preserve"> </w:t>
      </w:r>
    </w:p>
    <w:p w14:paraId="7C7A2689" w14:textId="2EA3A06B" w:rsidR="008D0B4B" w:rsidRPr="008D0B4B" w:rsidRDefault="008D0B4B" w:rsidP="008D0B4B">
      <w:pPr>
        <w:spacing w:line="480" w:lineRule="auto"/>
        <w:jc w:val="both"/>
        <w:rPr>
          <w:rFonts w:asciiTheme="majorBidi" w:eastAsia="Times New Roman" w:hAnsiTheme="majorBidi" w:cstheme="majorBidi"/>
          <w:b/>
          <w:bCs/>
          <w:sz w:val="24"/>
          <w:szCs w:val="24"/>
        </w:rPr>
      </w:pPr>
      <w:r>
        <w:rPr>
          <w:rFonts w:asciiTheme="majorBidi" w:eastAsia="Times New Roman" w:hAnsiTheme="majorBidi" w:cstheme="majorBidi"/>
          <w:b/>
          <w:bCs/>
          <w:sz w:val="24"/>
          <w:szCs w:val="24"/>
        </w:rPr>
        <w:t>4.</w:t>
      </w:r>
      <w:r w:rsidRPr="008D0B4B">
        <w:rPr>
          <w:rFonts w:asciiTheme="majorBidi" w:eastAsia="Times New Roman" w:hAnsiTheme="majorBidi" w:cstheme="majorBidi"/>
          <w:b/>
          <w:bCs/>
          <w:sz w:val="24"/>
          <w:szCs w:val="24"/>
        </w:rPr>
        <w:t xml:space="preserve"> The effect of TQ on the expression of proliferation and apoptosis-related proteins </w:t>
      </w:r>
    </w:p>
    <w:p w14:paraId="130E0CA4" w14:textId="0FDE77A1" w:rsidR="008D0B4B" w:rsidRPr="008D0B4B" w:rsidRDefault="008D0B4B" w:rsidP="008D0B4B">
      <w:pPr>
        <w:spacing w:line="480" w:lineRule="auto"/>
        <w:jc w:val="both"/>
        <w:rPr>
          <w:rFonts w:asciiTheme="majorBidi" w:hAnsiTheme="majorBidi" w:cstheme="majorBidi"/>
          <w:sz w:val="24"/>
          <w:szCs w:val="24"/>
        </w:rPr>
      </w:pPr>
      <w:r w:rsidRPr="008D0B4B">
        <w:rPr>
          <w:rFonts w:asciiTheme="majorBidi" w:hAnsiTheme="majorBidi" w:cstheme="majorBidi"/>
          <w:sz w:val="24"/>
          <w:szCs w:val="24"/>
        </w:rPr>
        <w:t xml:space="preserve">The </w:t>
      </w:r>
      <w:proofErr w:type="spellStart"/>
      <w:r w:rsidRPr="008D0B4B">
        <w:rPr>
          <w:rFonts w:asciiTheme="majorBidi" w:hAnsiTheme="majorBidi" w:cstheme="majorBidi"/>
          <w:sz w:val="24"/>
          <w:szCs w:val="24"/>
        </w:rPr>
        <w:t>TrkB</w:t>
      </w:r>
      <w:proofErr w:type="spellEnd"/>
      <w:r w:rsidRPr="008D0B4B">
        <w:rPr>
          <w:rFonts w:asciiTheme="majorBidi" w:hAnsiTheme="majorBidi" w:cstheme="majorBidi"/>
          <w:sz w:val="24"/>
          <w:szCs w:val="24"/>
        </w:rPr>
        <w:t xml:space="preserve">/AKT/mTOR and MAP2 after stroke are significantly decreased (P&lt;0.01, P&lt;0.05, P&lt;0.01, and P&lt;0.01), respectively (Fig. </w:t>
      </w:r>
      <w:r w:rsidR="00CA2221">
        <w:rPr>
          <w:rFonts w:asciiTheme="majorBidi" w:hAnsiTheme="majorBidi" w:cstheme="majorBidi"/>
          <w:sz w:val="24"/>
          <w:szCs w:val="24"/>
        </w:rPr>
        <w:t>V</w:t>
      </w:r>
      <w:r w:rsidRPr="008D0B4B">
        <w:rPr>
          <w:rFonts w:asciiTheme="majorBidi" w:hAnsiTheme="majorBidi" w:cstheme="majorBidi"/>
          <w:sz w:val="24"/>
          <w:szCs w:val="24"/>
        </w:rPr>
        <w:t xml:space="preserve"> B, C, F, G). Besides, Erk1/2, p-Erk1/2, c-MYC, and PSD-95 proteins are significantly increased following stroke (P&lt; 0.01, P&lt;0.001, P&lt;0.001 and P&lt;0.001), respectively (Fig. </w:t>
      </w:r>
      <w:r w:rsidR="00CA2221">
        <w:rPr>
          <w:rFonts w:asciiTheme="majorBidi" w:hAnsiTheme="majorBidi" w:cstheme="majorBidi"/>
          <w:sz w:val="24"/>
          <w:szCs w:val="24"/>
        </w:rPr>
        <w:t>V</w:t>
      </w:r>
      <w:r w:rsidRPr="008D0B4B">
        <w:rPr>
          <w:rFonts w:asciiTheme="majorBidi" w:hAnsiTheme="majorBidi" w:cstheme="majorBidi"/>
          <w:sz w:val="24"/>
          <w:szCs w:val="24"/>
        </w:rPr>
        <w:t xml:space="preserve"> D, E) &amp; (Fig. </w:t>
      </w:r>
      <w:r w:rsidR="00CA2221">
        <w:rPr>
          <w:rFonts w:asciiTheme="majorBidi" w:hAnsiTheme="majorBidi" w:cstheme="majorBidi"/>
          <w:sz w:val="24"/>
          <w:szCs w:val="24"/>
        </w:rPr>
        <w:t>VI</w:t>
      </w:r>
      <w:r w:rsidRPr="008D0B4B">
        <w:rPr>
          <w:rFonts w:asciiTheme="majorBidi" w:hAnsiTheme="majorBidi" w:cstheme="majorBidi"/>
          <w:sz w:val="24"/>
          <w:szCs w:val="24"/>
        </w:rPr>
        <w:t xml:space="preserve"> B, C). The levels of these proteins are extremely reversed after TQ therapy as shown in Fig.9 &amp; Fig.10. Moreover, levels of c-FOS and 5HT gene expression upregulate after stroke and downregulate in TQ+Stroke mice (P&lt;0.01, Fig. </w:t>
      </w:r>
      <w:r w:rsidR="00CA2221">
        <w:rPr>
          <w:rFonts w:asciiTheme="majorBidi" w:hAnsiTheme="majorBidi" w:cstheme="majorBidi"/>
          <w:sz w:val="24"/>
          <w:szCs w:val="24"/>
        </w:rPr>
        <w:t>VI</w:t>
      </w:r>
      <w:r w:rsidRPr="008D0B4B">
        <w:rPr>
          <w:rFonts w:asciiTheme="majorBidi" w:hAnsiTheme="majorBidi" w:cstheme="majorBidi"/>
          <w:sz w:val="24"/>
          <w:szCs w:val="24"/>
        </w:rPr>
        <w:t xml:space="preserve"> E&amp; F). Additionally, analysis of c-MYC gene expression matches well with the western blot results (Fig.</w:t>
      </w:r>
      <w:r w:rsidR="00CA2221">
        <w:rPr>
          <w:rFonts w:asciiTheme="majorBidi" w:hAnsiTheme="majorBidi" w:cstheme="majorBidi"/>
          <w:sz w:val="24"/>
          <w:szCs w:val="24"/>
        </w:rPr>
        <w:t>VI</w:t>
      </w:r>
      <w:r w:rsidRPr="008D0B4B">
        <w:rPr>
          <w:rFonts w:asciiTheme="majorBidi" w:hAnsiTheme="majorBidi" w:cstheme="majorBidi"/>
          <w:sz w:val="24"/>
          <w:szCs w:val="24"/>
        </w:rPr>
        <w:t xml:space="preserve"> D)</w:t>
      </w:r>
    </w:p>
    <w:p w14:paraId="0DA521CA" w14:textId="77777777" w:rsidR="008D0B4B" w:rsidRDefault="008D0B4B" w:rsidP="00ED59B3">
      <w:pPr>
        <w:spacing w:line="480" w:lineRule="auto"/>
        <w:jc w:val="both"/>
        <w:rPr>
          <w:rFonts w:asciiTheme="majorBidi" w:hAnsiTheme="majorBidi" w:cstheme="majorBidi"/>
          <w:sz w:val="24"/>
          <w:szCs w:val="24"/>
        </w:rPr>
      </w:pPr>
    </w:p>
    <w:p w14:paraId="0B089CC0" w14:textId="77777777" w:rsidR="008D0B4B" w:rsidRPr="003C66C9" w:rsidRDefault="008D0B4B" w:rsidP="008D0B4B">
      <w:pPr>
        <w:autoSpaceDE w:val="0"/>
        <w:autoSpaceDN w:val="0"/>
        <w:adjustRightInd w:val="0"/>
        <w:spacing w:line="480" w:lineRule="auto"/>
        <w:jc w:val="center"/>
        <w:rPr>
          <w:rFonts w:asciiTheme="majorBidi" w:hAnsiTheme="majorBidi" w:cstheme="majorBidi"/>
          <w:szCs w:val="24"/>
        </w:rPr>
      </w:pPr>
      <w:r w:rsidRPr="003C66C9">
        <w:rPr>
          <w:rFonts w:asciiTheme="majorBidi" w:hAnsiTheme="majorBidi" w:cstheme="majorBidi"/>
          <w:noProof/>
          <w:szCs w:val="24"/>
        </w:rPr>
        <w:lastRenderedPageBreak/>
        <w:drawing>
          <wp:inline distT="0" distB="0" distL="0" distR="0" wp14:anchorId="1B6AC83D" wp14:editId="6A909AD5">
            <wp:extent cx="4838340" cy="6962775"/>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843111" cy="6969641"/>
                    </a:xfrm>
                    <a:prstGeom prst="rect">
                      <a:avLst/>
                    </a:prstGeom>
                    <a:noFill/>
                    <a:ln>
                      <a:noFill/>
                    </a:ln>
                  </pic:spPr>
                </pic:pic>
              </a:graphicData>
            </a:graphic>
          </wp:inline>
        </w:drawing>
      </w:r>
    </w:p>
    <w:p w14:paraId="6472291F" w14:textId="741BC771" w:rsidR="008D0B4B" w:rsidRPr="003C66C9" w:rsidRDefault="008D0B4B" w:rsidP="008D0B4B">
      <w:pPr>
        <w:autoSpaceDE w:val="0"/>
        <w:autoSpaceDN w:val="0"/>
        <w:adjustRightInd w:val="0"/>
        <w:spacing w:line="480" w:lineRule="auto"/>
        <w:jc w:val="both"/>
        <w:rPr>
          <w:rFonts w:asciiTheme="majorBidi" w:hAnsiTheme="majorBidi" w:cstheme="majorBidi"/>
          <w:color w:val="000000" w:themeColor="text1"/>
          <w:szCs w:val="24"/>
        </w:rPr>
      </w:pPr>
      <w:r w:rsidRPr="008D0B4B">
        <w:rPr>
          <w:rFonts w:asciiTheme="majorBidi" w:eastAsia="Times New Roman" w:hAnsiTheme="majorBidi" w:cstheme="majorBidi"/>
          <w:b/>
          <w:bCs/>
          <w:sz w:val="24"/>
          <w:szCs w:val="24"/>
        </w:rPr>
        <w:t>Fig.</w:t>
      </w:r>
      <w:r w:rsidR="009F34A7">
        <w:rPr>
          <w:rFonts w:asciiTheme="majorBidi" w:eastAsia="Times New Roman" w:hAnsiTheme="majorBidi" w:cstheme="majorBidi"/>
          <w:b/>
          <w:bCs/>
          <w:sz w:val="24"/>
          <w:szCs w:val="24"/>
        </w:rPr>
        <w:t xml:space="preserve"> </w:t>
      </w:r>
      <w:r>
        <w:rPr>
          <w:rFonts w:asciiTheme="majorBidi" w:eastAsia="Times New Roman" w:hAnsiTheme="majorBidi" w:cstheme="majorBidi"/>
          <w:b/>
          <w:bCs/>
          <w:sz w:val="24"/>
          <w:szCs w:val="24"/>
        </w:rPr>
        <w:t>V</w:t>
      </w:r>
      <w:r w:rsidRPr="008D0B4B">
        <w:rPr>
          <w:rFonts w:asciiTheme="majorBidi" w:eastAsia="Times New Roman" w:hAnsiTheme="majorBidi" w:cstheme="majorBidi"/>
          <w:b/>
          <w:bCs/>
          <w:sz w:val="24"/>
          <w:szCs w:val="24"/>
        </w:rPr>
        <w:t>. TQ drug possesses a modulating effect on proliferating proteins.</w:t>
      </w:r>
      <w:r w:rsidRPr="003C66C9">
        <w:rPr>
          <w:rFonts w:asciiTheme="majorBidi" w:hAnsiTheme="majorBidi" w:cstheme="majorBidi"/>
          <w:b/>
          <w:bCs/>
          <w:szCs w:val="24"/>
        </w:rPr>
        <w:t xml:space="preserve"> </w:t>
      </w:r>
      <w:r w:rsidRPr="008D0B4B">
        <w:rPr>
          <w:rFonts w:asciiTheme="majorBidi" w:hAnsiTheme="majorBidi" w:cstheme="majorBidi"/>
          <w:sz w:val="24"/>
          <w:szCs w:val="24"/>
        </w:rPr>
        <w:t xml:space="preserve">(A) Western blot results. Quantification analysis of (B) </w:t>
      </w:r>
      <w:proofErr w:type="spellStart"/>
      <w:r w:rsidRPr="008D0B4B">
        <w:rPr>
          <w:rFonts w:asciiTheme="majorBidi" w:hAnsiTheme="majorBidi" w:cstheme="majorBidi"/>
          <w:sz w:val="24"/>
          <w:szCs w:val="24"/>
        </w:rPr>
        <w:t>TrkB</w:t>
      </w:r>
      <w:proofErr w:type="spellEnd"/>
      <w:r w:rsidRPr="008D0B4B">
        <w:rPr>
          <w:rFonts w:asciiTheme="majorBidi" w:hAnsiTheme="majorBidi" w:cstheme="majorBidi"/>
          <w:sz w:val="24"/>
          <w:szCs w:val="24"/>
        </w:rPr>
        <w:t xml:space="preserve"> (C) AKT (D) Erk1/2 (E) p-ErK1/2 (F) mTOR (G) MAP2. All values are expressed as mean ± SEM, n=5. Stroke Vs. Normal: </w:t>
      </w:r>
      <w:r w:rsidRPr="008D0B4B">
        <w:rPr>
          <w:rFonts w:asciiTheme="majorBidi" w:hAnsiTheme="majorBidi" w:cstheme="majorBidi"/>
          <w:sz w:val="24"/>
          <w:szCs w:val="24"/>
        </w:rPr>
        <w:lastRenderedPageBreak/>
        <w:t xml:space="preserve">AKT *P&lt;0.05, p-Erk1/2 ***P&lt;0.001, </w:t>
      </w:r>
      <w:proofErr w:type="spellStart"/>
      <w:r w:rsidRPr="008D0B4B">
        <w:rPr>
          <w:rFonts w:asciiTheme="majorBidi" w:hAnsiTheme="majorBidi" w:cstheme="majorBidi"/>
          <w:sz w:val="24"/>
          <w:szCs w:val="24"/>
        </w:rPr>
        <w:t>TrkB</w:t>
      </w:r>
      <w:proofErr w:type="spellEnd"/>
      <w:r w:rsidRPr="008D0B4B">
        <w:rPr>
          <w:rFonts w:asciiTheme="majorBidi" w:hAnsiTheme="majorBidi" w:cstheme="majorBidi"/>
          <w:sz w:val="24"/>
          <w:szCs w:val="24"/>
        </w:rPr>
        <w:t xml:space="preserve">, mTOR, Erk1/2,  MAP2.TQ+ Stroke Vs. Stroke: AKT, p-Erk1/2, </w:t>
      </w:r>
      <w:proofErr w:type="spellStart"/>
      <w:r w:rsidRPr="008D0B4B">
        <w:rPr>
          <w:rFonts w:asciiTheme="majorBidi" w:hAnsiTheme="majorBidi" w:cstheme="majorBidi"/>
          <w:sz w:val="24"/>
          <w:szCs w:val="24"/>
        </w:rPr>
        <w:t>TrkB</w:t>
      </w:r>
      <w:proofErr w:type="spellEnd"/>
      <w:r w:rsidRPr="008D0B4B">
        <w:rPr>
          <w:rFonts w:asciiTheme="majorBidi" w:hAnsiTheme="majorBidi" w:cstheme="majorBidi"/>
          <w:sz w:val="24"/>
          <w:szCs w:val="24"/>
        </w:rPr>
        <w:t xml:space="preserve">, mTOR and MAP2***P&lt;0.001, Erk1/2. TP+ Stroke Vs. Stroke: AKT, </w:t>
      </w:r>
      <w:proofErr w:type="spellStart"/>
      <w:r w:rsidRPr="008D0B4B">
        <w:rPr>
          <w:rFonts w:asciiTheme="majorBidi" w:hAnsiTheme="majorBidi" w:cstheme="majorBidi"/>
          <w:sz w:val="24"/>
          <w:szCs w:val="24"/>
        </w:rPr>
        <w:t>TrkB</w:t>
      </w:r>
      <w:proofErr w:type="spellEnd"/>
      <w:r w:rsidRPr="008D0B4B">
        <w:rPr>
          <w:rFonts w:asciiTheme="majorBidi" w:hAnsiTheme="majorBidi" w:cstheme="majorBidi"/>
          <w:sz w:val="24"/>
          <w:szCs w:val="24"/>
        </w:rPr>
        <w:t>, and MAP2*P&lt;0.05, mTOR and Erk1/2 P=ns, p-Erk1/2 ***P&lt;0.001.</w:t>
      </w:r>
    </w:p>
    <w:p w14:paraId="0AA06D05" w14:textId="77777777" w:rsidR="008D0B4B" w:rsidRPr="003C66C9" w:rsidRDefault="008D0B4B" w:rsidP="008D0B4B">
      <w:pPr>
        <w:autoSpaceDE w:val="0"/>
        <w:autoSpaceDN w:val="0"/>
        <w:adjustRightInd w:val="0"/>
        <w:spacing w:line="480" w:lineRule="auto"/>
        <w:jc w:val="center"/>
        <w:rPr>
          <w:rFonts w:asciiTheme="majorBidi" w:hAnsiTheme="majorBidi" w:cstheme="majorBidi"/>
          <w:szCs w:val="24"/>
        </w:rPr>
      </w:pPr>
      <w:r w:rsidRPr="003C66C9">
        <w:rPr>
          <w:rFonts w:asciiTheme="majorBidi" w:hAnsiTheme="majorBidi" w:cstheme="majorBidi"/>
          <w:noProof/>
          <w:szCs w:val="24"/>
        </w:rPr>
        <w:t xml:space="preserve"> </w:t>
      </w:r>
      <w:r w:rsidRPr="003C66C9">
        <w:rPr>
          <w:rFonts w:asciiTheme="majorBidi" w:hAnsiTheme="majorBidi" w:cstheme="majorBidi"/>
          <w:noProof/>
          <w:szCs w:val="24"/>
        </w:rPr>
        <w:drawing>
          <wp:inline distT="0" distB="0" distL="0" distR="0" wp14:anchorId="4890D2F1" wp14:editId="76F94129">
            <wp:extent cx="4215707" cy="412242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244906" cy="4150973"/>
                    </a:xfrm>
                    <a:prstGeom prst="rect">
                      <a:avLst/>
                    </a:prstGeom>
                    <a:noFill/>
                    <a:ln>
                      <a:noFill/>
                    </a:ln>
                  </pic:spPr>
                </pic:pic>
              </a:graphicData>
            </a:graphic>
          </wp:inline>
        </w:drawing>
      </w:r>
    </w:p>
    <w:p w14:paraId="47831BBA" w14:textId="77777777" w:rsidR="008D0B4B" w:rsidRPr="003C66C9" w:rsidRDefault="008D0B4B" w:rsidP="008D0B4B">
      <w:pPr>
        <w:spacing w:line="480" w:lineRule="auto"/>
        <w:jc w:val="both"/>
        <w:rPr>
          <w:rFonts w:asciiTheme="majorBidi" w:eastAsia="Times New Roman" w:hAnsiTheme="majorBidi" w:cstheme="majorBidi"/>
          <w:szCs w:val="24"/>
        </w:rPr>
      </w:pPr>
    </w:p>
    <w:p w14:paraId="0BCB9048" w14:textId="1B3C51D3" w:rsidR="008D0B4B" w:rsidRPr="003C66C9" w:rsidRDefault="008D0B4B" w:rsidP="008D0B4B">
      <w:pPr>
        <w:autoSpaceDE w:val="0"/>
        <w:autoSpaceDN w:val="0"/>
        <w:adjustRightInd w:val="0"/>
        <w:spacing w:line="480" w:lineRule="auto"/>
        <w:jc w:val="both"/>
        <w:rPr>
          <w:rFonts w:asciiTheme="majorBidi" w:hAnsiTheme="majorBidi" w:cstheme="majorBidi"/>
          <w:szCs w:val="24"/>
        </w:rPr>
      </w:pPr>
      <w:r w:rsidRPr="008D0B4B">
        <w:rPr>
          <w:rFonts w:asciiTheme="majorBidi" w:eastAsia="Times New Roman" w:hAnsiTheme="majorBidi" w:cstheme="majorBidi"/>
          <w:b/>
          <w:bCs/>
          <w:sz w:val="24"/>
          <w:szCs w:val="24"/>
        </w:rPr>
        <w:t>Fig.</w:t>
      </w:r>
      <w:r>
        <w:rPr>
          <w:rFonts w:asciiTheme="majorBidi" w:eastAsia="Times New Roman" w:hAnsiTheme="majorBidi" w:cstheme="majorBidi"/>
          <w:b/>
          <w:bCs/>
          <w:sz w:val="24"/>
          <w:szCs w:val="24"/>
        </w:rPr>
        <w:t>VI</w:t>
      </w:r>
      <w:r w:rsidRPr="008D0B4B">
        <w:rPr>
          <w:rFonts w:asciiTheme="majorBidi" w:eastAsia="Times New Roman" w:hAnsiTheme="majorBidi" w:cstheme="majorBidi"/>
          <w:b/>
          <w:bCs/>
          <w:sz w:val="24"/>
          <w:szCs w:val="24"/>
        </w:rPr>
        <w:t>.</w:t>
      </w:r>
      <w:r w:rsidR="009F34A7">
        <w:rPr>
          <w:rFonts w:asciiTheme="majorBidi" w:eastAsia="Times New Roman" w:hAnsiTheme="majorBidi" w:cstheme="majorBidi"/>
          <w:b/>
          <w:bCs/>
          <w:sz w:val="24"/>
          <w:szCs w:val="24"/>
        </w:rPr>
        <w:t xml:space="preserve"> </w:t>
      </w:r>
      <w:r w:rsidRPr="008D0B4B">
        <w:rPr>
          <w:rFonts w:asciiTheme="majorBidi" w:eastAsia="Times New Roman" w:hAnsiTheme="majorBidi" w:cstheme="majorBidi"/>
          <w:b/>
          <w:bCs/>
          <w:sz w:val="24"/>
          <w:szCs w:val="24"/>
        </w:rPr>
        <w:t>TQ drug possesses a modulating effect on proliferating proteins.</w:t>
      </w:r>
      <w:r w:rsidRPr="003C66C9">
        <w:rPr>
          <w:rFonts w:asciiTheme="majorBidi" w:hAnsiTheme="majorBidi" w:cstheme="majorBidi"/>
          <w:b/>
          <w:bCs/>
          <w:szCs w:val="24"/>
        </w:rPr>
        <w:t xml:space="preserve"> </w:t>
      </w:r>
      <w:r w:rsidRPr="008D0B4B">
        <w:rPr>
          <w:rFonts w:asciiTheme="majorBidi" w:hAnsiTheme="majorBidi" w:cstheme="majorBidi"/>
          <w:sz w:val="24"/>
          <w:szCs w:val="24"/>
        </w:rPr>
        <w:t>(A) Western blot results. Quantification analysis of (B) PSD-95 (C)C-</w:t>
      </w:r>
      <w:proofErr w:type="spellStart"/>
      <w:r w:rsidRPr="008D0B4B">
        <w:rPr>
          <w:rFonts w:asciiTheme="majorBidi" w:hAnsiTheme="majorBidi" w:cstheme="majorBidi"/>
          <w:sz w:val="24"/>
          <w:szCs w:val="24"/>
        </w:rPr>
        <w:t>myc</w:t>
      </w:r>
      <w:proofErr w:type="spellEnd"/>
      <w:r w:rsidRPr="008D0B4B">
        <w:rPr>
          <w:rFonts w:asciiTheme="majorBidi" w:hAnsiTheme="majorBidi" w:cstheme="majorBidi"/>
          <w:sz w:val="24"/>
          <w:szCs w:val="24"/>
        </w:rPr>
        <w:t xml:space="preserve"> (D) c-MYC gene analysis, (E) c-FOS gene analysis, (F) 5 -HT gene analysis. All values are expressed as mean ± SEM, n=5. Stroke Vs. Normal: PSD-95; ***P&lt;0.001, c-MYC, c-FOS and 5HT **P&lt;0.01.TQ+ Stroke Vs. Stroke: PSD-95; ***P&lt;0.001, c-FOS and 5HT **P&lt;0.01. TP+ Stroke Vs. Stroke: c-MYC, 5HT and *P&lt;0.05, PSD-95&amp; p-Erk1/2 ***P&lt;0.001.</w:t>
      </w:r>
    </w:p>
    <w:p w14:paraId="267C5654" w14:textId="77777777" w:rsidR="008D0B4B" w:rsidRPr="003D77AB" w:rsidRDefault="008D0B4B" w:rsidP="00ED59B3">
      <w:pPr>
        <w:spacing w:line="480" w:lineRule="auto"/>
        <w:jc w:val="both"/>
        <w:rPr>
          <w:rFonts w:asciiTheme="majorBidi" w:hAnsiTheme="majorBidi" w:cstheme="majorBidi"/>
          <w:sz w:val="24"/>
          <w:szCs w:val="24"/>
        </w:rPr>
      </w:pPr>
    </w:p>
    <w:p w14:paraId="0721DAD5" w14:textId="34896C7D" w:rsidR="00526FD2" w:rsidRPr="003D77AB" w:rsidRDefault="008D0B4B" w:rsidP="00ED59B3">
      <w:pPr>
        <w:spacing w:line="480" w:lineRule="auto"/>
        <w:jc w:val="both"/>
        <w:rPr>
          <w:rFonts w:asciiTheme="majorBidi" w:hAnsiTheme="majorBidi" w:cstheme="majorBidi"/>
          <w:b/>
          <w:bCs/>
          <w:sz w:val="24"/>
          <w:szCs w:val="24"/>
        </w:rPr>
      </w:pPr>
      <w:r>
        <w:rPr>
          <w:rFonts w:asciiTheme="majorBidi" w:hAnsiTheme="majorBidi" w:cstheme="majorBidi"/>
          <w:b/>
          <w:bCs/>
          <w:sz w:val="24"/>
          <w:szCs w:val="24"/>
        </w:rPr>
        <w:t>5</w:t>
      </w:r>
      <w:r w:rsidR="00CE1C31" w:rsidRPr="003D77AB">
        <w:rPr>
          <w:rFonts w:asciiTheme="majorBidi" w:hAnsiTheme="majorBidi" w:cstheme="majorBidi"/>
          <w:b/>
          <w:bCs/>
          <w:sz w:val="24"/>
          <w:szCs w:val="24"/>
        </w:rPr>
        <w:t>. Pre-treatment by TQ assisted cells number and shape recovery after OGD/R</w:t>
      </w:r>
    </w:p>
    <w:p w14:paraId="399D4DF9" w14:textId="1EAE1A32" w:rsidR="004961E4" w:rsidRPr="003D77AB" w:rsidRDefault="00526FD2" w:rsidP="00ED59B3">
      <w:pPr>
        <w:pStyle w:val="CommentText"/>
        <w:spacing w:line="480" w:lineRule="auto"/>
        <w:jc w:val="both"/>
        <w:rPr>
          <w:rFonts w:asciiTheme="majorBidi" w:hAnsiTheme="majorBidi" w:cstheme="majorBidi"/>
          <w:noProof/>
          <w:color w:val="FF0000"/>
          <w:szCs w:val="24"/>
        </w:rPr>
      </w:pPr>
      <w:r w:rsidRPr="003D77AB">
        <w:rPr>
          <w:rFonts w:asciiTheme="majorBidi" w:hAnsiTheme="majorBidi" w:cstheme="majorBidi"/>
          <w:noProof/>
          <w:szCs w:val="24"/>
          <w:lang w:eastAsia="zh-CN"/>
        </w:rPr>
        <w:drawing>
          <wp:inline distT="0" distB="0" distL="0" distR="0" wp14:anchorId="182FAC09" wp14:editId="16F0FCCA">
            <wp:extent cx="5486400" cy="2724332"/>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86400" cy="2724332"/>
                    </a:xfrm>
                    <a:prstGeom prst="rect">
                      <a:avLst/>
                    </a:prstGeom>
                    <a:noFill/>
                    <a:ln>
                      <a:noFill/>
                    </a:ln>
                  </pic:spPr>
                </pic:pic>
              </a:graphicData>
            </a:graphic>
          </wp:inline>
        </w:drawing>
      </w:r>
    </w:p>
    <w:p w14:paraId="669CDF62" w14:textId="6EC250BF" w:rsidR="00526FD2" w:rsidRPr="0055727C" w:rsidRDefault="00526FD2" w:rsidP="0055727C">
      <w:pPr>
        <w:autoSpaceDE w:val="0"/>
        <w:autoSpaceDN w:val="0"/>
        <w:adjustRightInd w:val="0"/>
        <w:spacing w:line="480" w:lineRule="auto"/>
        <w:jc w:val="both"/>
        <w:rPr>
          <w:rFonts w:asciiTheme="majorBidi" w:hAnsiTheme="majorBidi" w:cstheme="majorBidi"/>
          <w:color w:val="000000" w:themeColor="text1"/>
        </w:rPr>
      </w:pPr>
      <w:r w:rsidRPr="003D77AB">
        <w:rPr>
          <w:rFonts w:asciiTheme="majorBidi" w:eastAsia="Times New Roman" w:hAnsiTheme="majorBidi" w:cstheme="majorBidi"/>
          <w:b/>
          <w:bCs/>
          <w:sz w:val="24"/>
          <w:szCs w:val="24"/>
        </w:rPr>
        <w:t>Fig</w:t>
      </w:r>
      <w:r w:rsidR="002825B9">
        <w:rPr>
          <w:rFonts w:asciiTheme="majorBidi" w:eastAsia="Times New Roman" w:hAnsiTheme="majorBidi" w:cstheme="majorBidi"/>
          <w:b/>
          <w:bCs/>
          <w:sz w:val="24"/>
          <w:szCs w:val="24"/>
        </w:rPr>
        <w:t xml:space="preserve">. </w:t>
      </w:r>
      <w:r w:rsidR="004B2ADE">
        <w:rPr>
          <w:rFonts w:asciiTheme="majorBidi" w:eastAsia="Times New Roman" w:hAnsiTheme="majorBidi" w:cstheme="majorBidi"/>
          <w:b/>
          <w:bCs/>
          <w:sz w:val="24"/>
          <w:szCs w:val="24"/>
        </w:rPr>
        <w:t>V</w:t>
      </w:r>
      <w:r w:rsidR="008D0B4B">
        <w:rPr>
          <w:rFonts w:asciiTheme="majorBidi" w:eastAsia="Times New Roman" w:hAnsiTheme="majorBidi" w:cstheme="majorBidi"/>
          <w:b/>
          <w:bCs/>
          <w:sz w:val="24"/>
          <w:szCs w:val="24"/>
        </w:rPr>
        <w:t>II</w:t>
      </w:r>
      <w:r w:rsidR="00CE1C31" w:rsidRPr="003D77AB">
        <w:rPr>
          <w:rFonts w:asciiTheme="majorBidi" w:eastAsia="Times New Roman" w:hAnsiTheme="majorBidi" w:cstheme="majorBidi"/>
          <w:b/>
          <w:bCs/>
          <w:sz w:val="24"/>
          <w:szCs w:val="24"/>
        </w:rPr>
        <w:t>.</w:t>
      </w:r>
      <w:r w:rsidRPr="003D77AB">
        <w:rPr>
          <w:rFonts w:asciiTheme="majorBidi" w:eastAsia="Times New Roman" w:hAnsiTheme="majorBidi" w:cstheme="majorBidi"/>
          <w:sz w:val="24"/>
          <w:szCs w:val="24"/>
        </w:rPr>
        <w:t xml:space="preserve"> </w:t>
      </w:r>
      <w:r w:rsidRPr="003D77AB">
        <w:rPr>
          <w:rFonts w:asciiTheme="majorBidi" w:eastAsia="Times New Roman" w:hAnsiTheme="majorBidi" w:cstheme="majorBidi"/>
          <w:b/>
          <w:bCs/>
          <w:sz w:val="24"/>
          <w:szCs w:val="24"/>
        </w:rPr>
        <w:t>pre-treatment of cells by TQ improves cell numbers after OGD/R.</w:t>
      </w:r>
      <w:r w:rsidRPr="003D77AB">
        <w:rPr>
          <w:rFonts w:asciiTheme="majorBidi" w:eastAsia="Times New Roman" w:hAnsiTheme="majorBidi" w:cstheme="majorBidi"/>
          <w:sz w:val="24"/>
          <w:szCs w:val="24"/>
        </w:rPr>
        <w:t xml:space="preserve"> </w:t>
      </w:r>
      <w:r w:rsidRPr="003A59B2">
        <w:rPr>
          <w:rFonts w:asciiTheme="majorBidi" w:eastAsia="Times New Roman" w:hAnsiTheme="majorBidi" w:cstheme="majorBidi"/>
          <w:b/>
          <w:bCs/>
          <w:sz w:val="24"/>
          <w:szCs w:val="24"/>
        </w:rPr>
        <w:t>A</w:t>
      </w:r>
      <w:r w:rsidR="003A59B2">
        <w:rPr>
          <w:rFonts w:asciiTheme="majorBidi" w:eastAsia="Times New Roman" w:hAnsiTheme="majorBidi" w:cstheme="majorBidi"/>
          <w:sz w:val="24"/>
          <w:szCs w:val="24"/>
        </w:rPr>
        <w:t>,</w:t>
      </w:r>
      <w:r w:rsidRPr="003D77AB">
        <w:rPr>
          <w:rFonts w:asciiTheme="majorBidi" w:eastAsia="Times New Roman" w:hAnsiTheme="majorBidi" w:cstheme="majorBidi"/>
          <w:sz w:val="24"/>
          <w:szCs w:val="24"/>
        </w:rPr>
        <w:t xml:space="preserve"> Phase-contrast </w:t>
      </w:r>
      <w:r w:rsidR="003A59B2" w:rsidRPr="003D77AB">
        <w:rPr>
          <w:rFonts w:asciiTheme="majorBidi" w:eastAsia="Times New Roman" w:hAnsiTheme="majorBidi" w:cstheme="majorBidi"/>
          <w:sz w:val="24"/>
          <w:szCs w:val="24"/>
        </w:rPr>
        <w:t>microscope.</w:t>
      </w:r>
      <w:r w:rsidR="003A59B2">
        <w:rPr>
          <w:rFonts w:asciiTheme="majorBidi" w:eastAsia="Times New Roman" w:hAnsiTheme="majorBidi" w:cstheme="majorBidi"/>
          <w:sz w:val="24"/>
          <w:szCs w:val="24"/>
        </w:rPr>
        <w:t xml:space="preserve"> </w:t>
      </w:r>
      <w:r w:rsidRPr="003A59B2">
        <w:rPr>
          <w:rFonts w:asciiTheme="majorBidi" w:eastAsia="Times New Roman" w:hAnsiTheme="majorBidi" w:cstheme="majorBidi"/>
          <w:b/>
          <w:bCs/>
          <w:sz w:val="24"/>
          <w:szCs w:val="24"/>
        </w:rPr>
        <w:t>B</w:t>
      </w:r>
      <w:r w:rsidR="003A59B2">
        <w:rPr>
          <w:rFonts w:asciiTheme="majorBidi" w:eastAsia="Times New Roman" w:hAnsiTheme="majorBidi" w:cstheme="majorBidi"/>
          <w:sz w:val="24"/>
          <w:szCs w:val="24"/>
        </w:rPr>
        <w:t xml:space="preserve">, </w:t>
      </w:r>
      <w:r w:rsidRPr="003D77AB">
        <w:rPr>
          <w:rFonts w:asciiTheme="majorBidi" w:eastAsia="Times New Roman" w:hAnsiTheme="majorBidi" w:cstheme="majorBidi"/>
          <w:sz w:val="24"/>
          <w:szCs w:val="24"/>
        </w:rPr>
        <w:t>Number of PC12 cells; OGD Vs. Normal ***P&lt;0.001, TQ+ OGD Vs. OGD *P&lt;0.05 and TP+ OGD Vs. OGD **P&lt;0.01. The spindle shape of PC12 cells and their interfacial connection after the OGD model are lost and can be recovered under TQ or TP treatment.</w:t>
      </w:r>
      <w:r w:rsidR="0055727C" w:rsidRPr="0055727C">
        <w:rPr>
          <w:rFonts w:asciiTheme="majorBidi" w:hAnsiTheme="majorBidi" w:cstheme="majorBidi"/>
          <w:color w:val="000000" w:themeColor="text1"/>
        </w:rPr>
        <w:t xml:space="preserve"> </w:t>
      </w:r>
      <w:r w:rsidR="0055727C" w:rsidRPr="0055727C">
        <w:rPr>
          <w:rFonts w:asciiTheme="majorBidi" w:hAnsiTheme="majorBidi" w:cstheme="majorBidi"/>
          <w:color w:val="000000" w:themeColor="text1"/>
          <w:sz w:val="24"/>
          <w:szCs w:val="24"/>
        </w:rPr>
        <w:t>All values are expressed as mean ± SEM, n=3.</w:t>
      </w:r>
      <w:r w:rsidR="0055727C" w:rsidRPr="00EA1C80">
        <w:rPr>
          <w:rFonts w:asciiTheme="majorBidi" w:hAnsiTheme="majorBidi" w:cstheme="majorBidi"/>
          <w:color w:val="000000" w:themeColor="text1"/>
        </w:rPr>
        <w:t xml:space="preserve"> </w:t>
      </w:r>
    </w:p>
    <w:p w14:paraId="28C82BEA" w14:textId="7A44BB0F" w:rsidR="008476F6" w:rsidRPr="003D77AB" w:rsidRDefault="008476F6" w:rsidP="00ED59B3">
      <w:pPr>
        <w:pStyle w:val="HTMLPreformatted"/>
        <w:spacing w:line="480" w:lineRule="auto"/>
        <w:jc w:val="both"/>
        <w:rPr>
          <w:rFonts w:asciiTheme="majorBidi" w:eastAsia="宋体" w:hAnsiTheme="majorBidi" w:cstheme="majorBidi"/>
          <w:sz w:val="24"/>
          <w:szCs w:val="24"/>
        </w:rPr>
      </w:pPr>
    </w:p>
    <w:p w14:paraId="77B5CD49" w14:textId="77777777" w:rsidR="002825B9" w:rsidRPr="002825B9" w:rsidRDefault="002825B9" w:rsidP="002825B9">
      <w:pPr>
        <w:spacing w:line="480" w:lineRule="auto"/>
        <w:jc w:val="both"/>
        <w:rPr>
          <w:rFonts w:asciiTheme="majorBidi" w:eastAsia="Times New Roman" w:hAnsiTheme="majorBidi" w:cstheme="majorBidi"/>
          <w:sz w:val="24"/>
          <w:szCs w:val="24"/>
        </w:rPr>
      </w:pPr>
    </w:p>
    <w:p w14:paraId="4AD6D37D" w14:textId="56B953DB" w:rsidR="009F0577" w:rsidRPr="003D77AB" w:rsidRDefault="00B11F37" w:rsidP="00ED59B3">
      <w:pPr>
        <w:jc w:val="both"/>
        <w:rPr>
          <w:rFonts w:asciiTheme="majorBidi" w:hAnsiTheme="majorBidi" w:cstheme="majorBidi"/>
          <w:sz w:val="24"/>
          <w:szCs w:val="24"/>
        </w:rPr>
      </w:pPr>
      <w:r w:rsidRPr="003D77AB">
        <w:rPr>
          <w:rFonts w:asciiTheme="majorBidi" w:hAnsiTheme="majorBidi" w:cstheme="majorBidi"/>
          <w:b/>
          <w:bCs/>
          <w:noProof/>
          <w:sz w:val="24"/>
          <w:szCs w:val="24"/>
          <w:u w:val="single"/>
          <w:lang w:eastAsia="zh-CN"/>
        </w:rPr>
        <w:lastRenderedPageBreak/>
        <w:drawing>
          <wp:inline distT="0" distB="0" distL="0" distR="0" wp14:anchorId="4BA84AD7" wp14:editId="74395686">
            <wp:extent cx="5448300" cy="404622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b="15311"/>
                    <a:stretch/>
                  </pic:blipFill>
                  <pic:spPr bwMode="auto">
                    <a:xfrm>
                      <a:off x="0" y="0"/>
                      <a:ext cx="5448300" cy="4046220"/>
                    </a:xfrm>
                    <a:prstGeom prst="rect">
                      <a:avLst/>
                    </a:prstGeom>
                    <a:noFill/>
                    <a:ln>
                      <a:noFill/>
                    </a:ln>
                    <a:extLst>
                      <a:ext uri="{53640926-AAD7-44D8-BBD7-CCE9431645EC}">
                        <a14:shadowObscured xmlns:a14="http://schemas.microsoft.com/office/drawing/2010/main"/>
                      </a:ext>
                    </a:extLst>
                  </pic:spPr>
                </pic:pic>
              </a:graphicData>
            </a:graphic>
          </wp:inline>
        </w:drawing>
      </w:r>
    </w:p>
    <w:p w14:paraId="59EF2223" w14:textId="40B6DA09" w:rsidR="00F47A91" w:rsidRDefault="009F0577" w:rsidP="00017859">
      <w:pPr>
        <w:spacing w:line="480" w:lineRule="auto"/>
        <w:jc w:val="both"/>
        <w:rPr>
          <w:rFonts w:asciiTheme="majorBidi" w:hAnsiTheme="majorBidi" w:cstheme="majorBidi"/>
          <w:sz w:val="24"/>
          <w:szCs w:val="24"/>
        </w:rPr>
      </w:pPr>
      <w:r w:rsidRPr="003D77AB">
        <w:rPr>
          <w:rFonts w:asciiTheme="majorBidi" w:hAnsiTheme="majorBidi" w:cstheme="majorBidi"/>
          <w:b/>
          <w:bCs/>
          <w:sz w:val="24"/>
          <w:szCs w:val="24"/>
        </w:rPr>
        <w:t>Fig</w:t>
      </w:r>
      <w:r w:rsidR="002825B9">
        <w:rPr>
          <w:rFonts w:asciiTheme="majorBidi" w:hAnsiTheme="majorBidi" w:cstheme="majorBidi"/>
          <w:b/>
          <w:bCs/>
          <w:sz w:val="24"/>
          <w:szCs w:val="24"/>
        </w:rPr>
        <w:t xml:space="preserve">. </w:t>
      </w:r>
      <w:r w:rsidR="004B2ADE">
        <w:rPr>
          <w:rFonts w:asciiTheme="majorBidi" w:hAnsiTheme="majorBidi" w:cstheme="majorBidi"/>
          <w:b/>
          <w:bCs/>
          <w:sz w:val="24"/>
          <w:szCs w:val="24"/>
        </w:rPr>
        <w:t>VI</w:t>
      </w:r>
      <w:r w:rsidR="008D0B4B">
        <w:rPr>
          <w:rFonts w:asciiTheme="majorBidi" w:hAnsiTheme="majorBidi" w:cstheme="majorBidi"/>
          <w:b/>
          <w:bCs/>
          <w:sz w:val="24"/>
          <w:szCs w:val="24"/>
        </w:rPr>
        <w:t>II</w:t>
      </w:r>
      <w:r w:rsidRPr="003D77AB">
        <w:rPr>
          <w:rFonts w:asciiTheme="majorBidi" w:hAnsiTheme="majorBidi" w:cstheme="majorBidi"/>
          <w:b/>
          <w:bCs/>
          <w:sz w:val="24"/>
          <w:szCs w:val="24"/>
        </w:rPr>
        <w:t xml:space="preserve"> Suggested pathway of TQ therapy on ischemic brain damage:</w:t>
      </w:r>
      <w:r w:rsidRPr="003D77AB">
        <w:rPr>
          <w:rFonts w:asciiTheme="majorBidi" w:hAnsiTheme="majorBidi" w:cstheme="majorBidi"/>
          <w:sz w:val="24"/>
          <w:szCs w:val="24"/>
        </w:rPr>
        <w:t xml:space="preserve"> TQ therapy can alleviate the ischemia brain damage through activating Nrf2, which in turn activates HO-1 to be released into the cytoplasm. Thus, apoptosis, inflammation, and autophagy processes are suppressed. Additionally, TQ administration exhibits a pivotal role in mTOR activity and subsequently impacts the autophagy process. Results confirm that neuronal cell death can be diminished after TQ treatment by controlling the apoptosis-related proteins such as Bax, Caspase-3, Bcl2, c-</w:t>
      </w:r>
      <w:proofErr w:type="spellStart"/>
      <w:r w:rsidRPr="003D77AB">
        <w:rPr>
          <w:rFonts w:asciiTheme="majorBidi" w:hAnsiTheme="majorBidi" w:cstheme="majorBidi"/>
          <w:sz w:val="24"/>
          <w:szCs w:val="24"/>
        </w:rPr>
        <w:t>myc</w:t>
      </w:r>
      <w:proofErr w:type="spellEnd"/>
      <w:r w:rsidRPr="003D77AB">
        <w:rPr>
          <w:rFonts w:asciiTheme="majorBidi" w:hAnsiTheme="majorBidi" w:cstheme="majorBidi"/>
          <w:sz w:val="24"/>
          <w:szCs w:val="24"/>
        </w:rPr>
        <w:t>, and c-</w:t>
      </w:r>
      <w:proofErr w:type="spellStart"/>
      <w:r w:rsidRPr="003D77AB">
        <w:rPr>
          <w:rFonts w:asciiTheme="majorBidi" w:hAnsiTheme="majorBidi" w:cstheme="majorBidi"/>
          <w:sz w:val="24"/>
          <w:szCs w:val="24"/>
        </w:rPr>
        <w:t>fos</w:t>
      </w:r>
      <w:proofErr w:type="spellEnd"/>
      <w:r w:rsidRPr="003D77AB">
        <w:rPr>
          <w:rFonts w:asciiTheme="majorBidi" w:hAnsiTheme="majorBidi" w:cstheme="majorBidi"/>
          <w:sz w:val="24"/>
          <w:szCs w:val="24"/>
        </w:rPr>
        <w:t xml:space="preserve">. Besides, TQ can modulate the activity of the astrocytes by decreasing GFAP expression.     </w:t>
      </w:r>
    </w:p>
    <w:p w14:paraId="28CF4183" w14:textId="77777777" w:rsidR="004B2ADE" w:rsidRPr="003D77AB" w:rsidRDefault="004B2ADE" w:rsidP="004B2ADE">
      <w:pPr>
        <w:autoSpaceDE w:val="0"/>
        <w:autoSpaceDN w:val="0"/>
        <w:adjustRightInd w:val="0"/>
        <w:jc w:val="both"/>
        <w:rPr>
          <w:rFonts w:asciiTheme="majorBidi" w:hAnsiTheme="majorBidi" w:cstheme="majorBidi"/>
          <w:szCs w:val="24"/>
        </w:rPr>
      </w:pPr>
      <w:r w:rsidRPr="003D77AB">
        <w:rPr>
          <w:rFonts w:asciiTheme="majorBidi" w:hAnsiTheme="majorBidi" w:cstheme="majorBidi"/>
          <w:noProof/>
          <w:szCs w:val="24"/>
          <w:lang w:eastAsia="zh-CN"/>
        </w:rPr>
        <w:lastRenderedPageBreak/>
        <w:drawing>
          <wp:inline distT="0" distB="0" distL="0" distR="0" wp14:anchorId="50E3B3AC" wp14:editId="4A70B02A">
            <wp:extent cx="5486400" cy="3609349"/>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404" t="1909" r="3872" b="6352"/>
                    <a:stretch/>
                  </pic:blipFill>
                  <pic:spPr bwMode="auto">
                    <a:xfrm>
                      <a:off x="0" y="0"/>
                      <a:ext cx="5486400" cy="3609349"/>
                    </a:xfrm>
                    <a:prstGeom prst="rect">
                      <a:avLst/>
                    </a:prstGeom>
                    <a:noFill/>
                    <a:ln>
                      <a:noFill/>
                    </a:ln>
                    <a:extLst>
                      <a:ext uri="{53640926-AAD7-44D8-BBD7-CCE9431645EC}">
                        <a14:shadowObscured xmlns:a14="http://schemas.microsoft.com/office/drawing/2010/main"/>
                      </a:ext>
                    </a:extLst>
                  </pic:spPr>
                </pic:pic>
              </a:graphicData>
            </a:graphic>
          </wp:inline>
        </w:drawing>
      </w:r>
    </w:p>
    <w:p w14:paraId="7C60FB35" w14:textId="70CD57D4" w:rsidR="008D0B4B" w:rsidRDefault="004B2ADE" w:rsidP="00B04910">
      <w:pPr>
        <w:jc w:val="both"/>
        <w:rPr>
          <w:rFonts w:asciiTheme="majorBidi" w:hAnsiTheme="majorBidi" w:cstheme="majorBidi"/>
          <w:szCs w:val="24"/>
        </w:rPr>
      </w:pPr>
      <w:r w:rsidRPr="003D77AB">
        <w:rPr>
          <w:rFonts w:asciiTheme="majorBidi" w:hAnsiTheme="majorBidi" w:cstheme="majorBidi"/>
          <w:b/>
          <w:bCs/>
          <w:szCs w:val="24"/>
        </w:rPr>
        <w:t>Fig</w:t>
      </w:r>
      <w:r>
        <w:rPr>
          <w:rFonts w:asciiTheme="majorBidi" w:hAnsiTheme="majorBidi" w:cstheme="majorBidi"/>
          <w:b/>
          <w:bCs/>
          <w:szCs w:val="24"/>
        </w:rPr>
        <w:t>.</w:t>
      </w:r>
      <w:r w:rsidRPr="003D77AB">
        <w:rPr>
          <w:rFonts w:asciiTheme="majorBidi" w:hAnsiTheme="majorBidi" w:cstheme="majorBidi"/>
          <w:b/>
          <w:bCs/>
          <w:szCs w:val="24"/>
        </w:rPr>
        <w:t xml:space="preserve"> </w:t>
      </w:r>
      <w:r w:rsidR="008D0B4B">
        <w:rPr>
          <w:rFonts w:asciiTheme="majorBidi" w:hAnsiTheme="majorBidi" w:cstheme="majorBidi"/>
          <w:b/>
          <w:bCs/>
          <w:szCs w:val="24"/>
        </w:rPr>
        <w:t>IX</w:t>
      </w:r>
      <w:r>
        <w:rPr>
          <w:rFonts w:asciiTheme="majorBidi" w:hAnsiTheme="majorBidi" w:cstheme="majorBidi"/>
          <w:b/>
          <w:bCs/>
          <w:szCs w:val="24"/>
        </w:rPr>
        <w:t>.</w:t>
      </w:r>
      <w:r w:rsidRPr="003D77AB">
        <w:rPr>
          <w:rFonts w:asciiTheme="majorBidi" w:hAnsiTheme="majorBidi" w:cstheme="majorBidi"/>
          <w:b/>
          <w:bCs/>
          <w:szCs w:val="24"/>
        </w:rPr>
        <w:t xml:space="preserve"> Heat map of proteins expression</w:t>
      </w:r>
      <w:r>
        <w:rPr>
          <w:rFonts w:asciiTheme="majorBidi" w:hAnsiTheme="majorBidi" w:cstheme="majorBidi"/>
          <w:b/>
          <w:bCs/>
          <w:szCs w:val="24"/>
        </w:rPr>
        <w:t xml:space="preserve"> in the experimental groups</w:t>
      </w:r>
      <w:r w:rsidRPr="003D77AB">
        <w:rPr>
          <w:rFonts w:asciiTheme="majorBidi" w:hAnsiTheme="majorBidi" w:cstheme="majorBidi"/>
          <w:b/>
          <w:bCs/>
          <w:szCs w:val="24"/>
        </w:rPr>
        <w:t xml:space="preserve">. </w:t>
      </w:r>
      <w:r w:rsidRPr="003D77AB">
        <w:rPr>
          <w:rFonts w:asciiTheme="majorBidi" w:hAnsiTheme="majorBidi" w:cstheme="majorBidi"/>
          <w:szCs w:val="24"/>
        </w:rPr>
        <w:t xml:space="preserve">(Green) high expression. (Red) low expression. </w:t>
      </w:r>
    </w:p>
    <w:p w14:paraId="6A25FA2E" w14:textId="77777777" w:rsidR="00B04910" w:rsidRPr="00B04910" w:rsidRDefault="00B04910" w:rsidP="00B04910">
      <w:pPr>
        <w:jc w:val="both"/>
        <w:rPr>
          <w:rFonts w:asciiTheme="majorBidi" w:hAnsiTheme="majorBidi" w:cstheme="majorBidi"/>
          <w:szCs w:val="24"/>
        </w:rPr>
      </w:pPr>
    </w:p>
    <w:p w14:paraId="1466541F" w14:textId="72EA8991" w:rsidR="00554A96" w:rsidRPr="003D77AB" w:rsidRDefault="00554A96" w:rsidP="00ED59B3">
      <w:pPr>
        <w:jc w:val="both"/>
        <w:rPr>
          <w:rFonts w:asciiTheme="majorBidi" w:hAnsiTheme="majorBidi" w:cstheme="majorBidi"/>
          <w:b/>
          <w:bCs/>
          <w:sz w:val="24"/>
          <w:szCs w:val="24"/>
        </w:rPr>
      </w:pPr>
      <w:r w:rsidRPr="003D77AB">
        <w:rPr>
          <w:rFonts w:asciiTheme="majorBidi" w:hAnsiTheme="majorBidi" w:cstheme="majorBidi"/>
          <w:b/>
          <w:bCs/>
          <w:sz w:val="24"/>
          <w:szCs w:val="24"/>
        </w:rPr>
        <w:t>References:</w:t>
      </w:r>
    </w:p>
    <w:p w14:paraId="0F2FB91C" w14:textId="77777777" w:rsidR="00E018EF" w:rsidRPr="003D77AB" w:rsidRDefault="00E018EF" w:rsidP="00E018EF">
      <w:pPr>
        <w:pStyle w:val="ListParagraph"/>
        <w:widowControl w:val="0"/>
        <w:numPr>
          <w:ilvl w:val="0"/>
          <w:numId w:val="3"/>
        </w:numPr>
        <w:spacing w:before="240" w:after="100" w:afterAutospacing="1" w:line="480" w:lineRule="auto"/>
        <w:ind w:left="360"/>
        <w:jc w:val="both"/>
        <w:rPr>
          <w:rFonts w:asciiTheme="majorBidi" w:hAnsiTheme="majorBidi" w:cstheme="majorBidi"/>
          <w:color w:val="000000" w:themeColor="text1"/>
          <w:sz w:val="24"/>
          <w:szCs w:val="24"/>
        </w:rPr>
      </w:pPr>
      <w:r w:rsidRPr="003D77AB">
        <w:rPr>
          <w:rFonts w:asciiTheme="majorBidi" w:hAnsiTheme="majorBidi" w:cstheme="majorBidi"/>
          <w:color w:val="000000" w:themeColor="text1"/>
          <w:sz w:val="24"/>
          <w:szCs w:val="24"/>
        </w:rPr>
        <w:t xml:space="preserve">Gordon, J. W., </w:t>
      </w:r>
      <w:proofErr w:type="spellStart"/>
      <w:r w:rsidRPr="003D77AB">
        <w:rPr>
          <w:rFonts w:asciiTheme="majorBidi" w:hAnsiTheme="majorBidi" w:cstheme="majorBidi"/>
          <w:color w:val="000000" w:themeColor="text1"/>
          <w:sz w:val="24"/>
          <w:szCs w:val="24"/>
        </w:rPr>
        <w:t>Chesa</w:t>
      </w:r>
      <w:proofErr w:type="spellEnd"/>
      <w:r w:rsidRPr="003D77AB">
        <w:rPr>
          <w:rFonts w:asciiTheme="majorBidi" w:hAnsiTheme="majorBidi" w:cstheme="majorBidi"/>
          <w:color w:val="000000" w:themeColor="text1"/>
          <w:sz w:val="24"/>
          <w:szCs w:val="24"/>
        </w:rPr>
        <w:t xml:space="preserve">, P. G., Nishimura, H., Rettig, W. J., </w:t>
      </w:r>
      <w:proofErr w:type="spellStart"/>
      <w:r w:rsidRPr="003D77AB">
        <w:rPr>
          <w:rFonts w:asciiTheme="majorBidi" w:hAnsiTheme="majorBidi" w:cstheme="majorBidi"/>
          <w:color w:val="000000" w:themeColor="text1"/>
          <w:sz w:val="24"/>
          <w:szCs w:val="24"/>
        </w:rPr>
        <w:t>Maccari</w:t>
      </w:r>
      <w:proofErr w:type="spellEnd"/>
      <w:r w:rsidRPr="003D77AB">
        <w:rPr>
          <w:rFonts w:asciiTheme="majorBidi" w:hAnsiTheme="majorBidi" w:cstheme="majorBidi"/>
          <w:color w:val="000000" w:themeColor="text1"/>
          <w:sz w:val="24"/>
          <w:szCs w:val="24"/>
        </w:rPr>
        <w:t xml:space="preserve">, J. E., Endo, T., </w:t>
      </w:r>
      <w:proofErr w:type="spellStart"/>
      <w:r w:rsidRPr="003D77AB">
        <w:rPr>
          <w:rFonts w:asciiTheme="majorBidi" w:hAnsiTheme="majorBidi" w:cstheme="majorBidi"/>
          <w:color w:val="000000" w:themeColor="text1"/>
          <w:sz w:val="24"/>
          <w:szCs w:val="24"/>
        </w:rPr>
        <w:t>Seravalli</w:t>
      </w:r>
      <w:proofErr w:type="spellEnd"/>
      <w:r w:rsidRPr="003D77AB">
        <w:rPr>
          <w:rFonts w:asciiTheme="majorBidi" w:hAnsiTheme="majorBidi" w:cstheme="majorBidi"/>
          <w:color w:val="000000" w:themeColor="text1"/>
          <w:sz w:val="24"/>
          <w:szCs w:val="24"/>
        </w:rPr>
        <w:t xml:space="preserve">, E., Seki, T., &amp; Silver, J. (1987). Regulation of Thy-1 gene expression in transgenic mice. Cell, 50(3), 445–452. </w:t>
      </w:r>
    </w:p>
    <w:p w14:paraId="732FB039" w14:textId="6B2CFA1D" w:rsidR="00E018EF" w:rsidRPr="003D77AB" w:rsidRDefault="00E018EF" w:rsidP="00E018EF">
      <w:pPr>
        <w:pStyle w:val="ListParagraph"/>
        <w:widowControl w:val="0"/>
        <w:numPr>
          <w:ilvl w:val="0"/>
          <w:numId w:val="3"/>
        </w:numPr>
        <w:spacing w:before="240" w:after="100" w:afterAutospacing="1" w:line="480" w:lineRule="auto"/>
        <w:ind w:left="360"/>
        <w:jc w:val="both"/>
        <w:rPr>
          <w:rFonts w:asciiTheme="majorBidi" w:hAnsiTheme="majorBidi" w:cstheme="majorBidi"/>
          <w:color w:val="000000" w:themeColor="text1"/>
          <w:sz w:val="24"/>
          <w:szCs w:val="24"/>
        </w:rPr>
      </w:pPr>
      <w:proofErr w:type="spellStart"/>
      <w:r w:rsidRPr="003D77AB">
        <w:rPr>
          <w:rFonts w:asciiTheme="majorBidi" w:hAnsiTheme="majorBidi" w:cstheme="majorBidi"/>
          <w:sz w:val="24"/>
          <w:szCs w:val="24"/>
        </w:rPr>
        <w:t>Freret</w:t>
      </w:r>
      <w:proofErr w:type="spellEnd"/>
      <w:r w:rsidRPr="003D77AB">
        <w:rPr>
          <w:rFonts w:asciiTheme="majorBidi" w:hAnsiTheme="majorBidi" w:cstheme="majorBidi"/>
          <w:sz w:val="24"/>
          <w:szCs w:val="24"/>
        </w:rPr>
        <w:t xml:space="preserve"> T, </w:t>
      </w:r>
      <w:proofErr w:type="spellStart"/>
      <w:r w:rsidRPr="003D77AB">
        <w:rPr>
          <w:rFonts w:asciiTheme="majorBidi" w:hAnsiTheme="majorBidi" w:cstheme="majorBidi"/>
          <w:sz w:val="24"/>
          <w:szCs w:val="24"/>
        </w:rPr>
        <w:t>Chazalviel</w:t>
      </w:r>
      <w:proofErr w:type="spellEnd"/>
      <w:r w:rsidRPr="003D77AB">
        <w:rPr>
          <w:rFonts w:asciiTheme="majorBidi" w:hAnsiTheme="majorBidi" w:cstheme="majorBidi"/>
          <w:sz w:val="24"/>
          <w:szCs w:val="24"/>
        </w:rPr>
        <w:t xml:space="preserve"> L, Roussel S, </w:t>
      </w:r>
      <w:proofErr w:type="spellStart"/>
      <w:r w:rsidRPr="003D77AB">
        <w:rPr>
          <w:rFonts w:asciiTheme="majorBidi" w:hAnsiTheme="majorBidi" w:cstheme="majorBidi"/>
          <w:sz w:val="24"/>
          <w:szCs w:val="24"/>
        </w:rPr>
        <w:t>Bernaudin</w:t>
      </w:r>
      <w:proofErr w:type="spellEnd"/>
      <w:r w:rsidRPr="003D77AB">
        <w:rPr>
          <w:rFonts w:asciiTheme="majorBidi" w:hAnsiTheme="majorBidi" w:cstheme="majorBidi"/>
          <w:sz w:val="24"/>
          <w:szCs w:val="24"/>
        </w:rPr>
        <w:t xml:space="preserve"> M, Schumann-Bard P, </w:t>
      </w:r>
      <w:proofErr w:type="spellStart"/>
      <w:r w:rsidRPr="003D77AB">
        <w:rPr>
          <w:rFonts w:asciiTheme="majorBidi" w:hAnsiTheme="majorBidi" w:cstheme="majorBidi"/>
          <w:sz w:val="24"/>
          <w:szCs w:val="24"/>
        </w:rPr>
        <w:t>Boulouard</w:t>
      </w:r>
      <w:proofErr w:type="spellEnd"/>
      <w:r w:rsidRPr="003D77AB">
        <w:rPr>
          <w:rFonts w:asciiTheme="majorBidi" w:hAnsiTheme="majorBidi" w:cstheme="majorBidi"/>
          <w:sz w:val="24"/>
          <w:szCs w:val="24"/>
        </w:rPr>
        <w:t xml:space="preserve"> M. Long-term functional outcome following transient middle cerebral artery occlusion in the rat: correlation between brain damage and behavioral impairment. </w:t>
      </w:r>
      <w:proofErr w:type="spellStart"/>
      <w:r w:rsidRPr="003D77AB">
        <w:rPr>
          <w:rFonts w:asciiTheme="majorBidi" w:hAnsiTheme="majorBidi" w:cstheme="majorBidi"/>
          <w:sz w:val="24"/>
          <w:szCs w:val="24"/>
        </w:rPr>
        <w:t>Behav</w:t>
      </w:r>
      <w:proofErr w:type="spellEnd"/>
      <w:r w:rsidRPr="003D77AB">
        <w:rPr>
          <w:rFonts w:asciiTheme="majorBidi" w:hAnsiTheme="majorBidi" w:cstheme="majorBidi"/>
          <w:sz w:val="24"/>
          <w:szCs w:val="24"/>
        </w:rPr>
        <w:t xml:space="preserve"> </w:t>
      </w:r>
      <w:proofErr w:type="spellStart"/>
      <w:r w:rsidRPr="003D77AB">
        <w:rPr>
          <w:rFonts w:asciiTheme="majorBidi" w:hAnsiTheme="majorBidi" w:cstheme="majorBidi"/>
          <w:sz w:val="24"/>
          <w:szCs w:val="24"/>
        </w:rPr>
        <w:t>Neurosci</w:t>
      </w:r>
      <w:proofErr w:type="spellEnd"/>
      <w:r w:rsidRPr="003D77AB">
        <w:rPr>
          <w:rFonts w:asciiTheme="majorBidi" w:hAnsiTheme="majorBidi" w:cstheme="majorBidi"/>
          <w:sz w:val="24"/>
          <w:szCs w:val="24"/>
        </w:rPr>
        <w:t>. 2006; 120(6):1285-98.</w:t>
      </w:r>
    </w:p>
    <w:p w14:paraId="378421BF" w14:textId="3E0F4529" w:rsidR="00E018EF" w:rsidRPr="003D77AB" w:rsidRDefault="00E018EF" w:rsidP="00E018EF">
      <w:pPr>
        <w:pStyle w:val="ListParagraph"/>
        <w:widowControl w:val="0"/>
        <w:numPr>
          <w:ilvl w:val="0"/>
          <w:numId w:val="3"/>
        </w:numPr>
        <w:spacing w:before="240" w:after="100" w:afterAutospacing="1" w:line="480" w:lineRule="auto"/>
        <w:ind w:left="360"/>
        <w:jc w:val="both"/>
        <w:rPr>
          <w:rFonts w:asciiTheme="majorBidi" w:hAnsiTheme="majorBidi" w:cstheme="majorBidi"/>
          <w:color w:val="000000" w:themeColor="text1"/>
          <w:sz w:val="24"/>
          <w:szCs w:val="24"/>
        </w:rPr>
      </w:pPr>
      <w:proofErr w:type="spellStart"/>
      <w:r w:rsidRPr="003D77AB">
        <w:rPr>
          <w:rFonts w:asciiTheme="majorBidi" w:hAnsiTheme="majorBidi" w:cstheme="majorBidi"/>
          <w:color w:val="000000" w:themeColor="text1"/>
          <w:sz w:val="24"/>
          <w:szCs w:val="24"/>
        </w:rPr>
        <w:t>Bouët</w:t>
      </w:r>
      <w:proofErr w:type="spellEnd"/>
      <w:r w:rsidRPr="003D77AB">
        <w:rPr>
          <w:rFonts w:asciiTheme="majorBidi" w:hAnsiTheme="majorBidi" w:cstheme="majorBidi"/>
          <w:color w:val="000000" w:themeColor="text1"/>
          <w:sz w:val="24"/>
          <w:szCs w:val="24"/>
        </w:rPr>
        <w:t xml:space="preserve">, V., </w:t>
      </w:r>
      <w:proofErr w:type="spellStart"/>
      <w:r w:rsidRPr="003D77AB">
        <w:rPr>
          <w:rFonts w:asciiTheme="majorBidi" w:hAnsiTheme="majorBidi" w:cstheme="majorBidi"/>
          <w:color w:val="000000" w:themeColor="text1"/>
          <w:sz w:val="24"/>
          <w:szCs w:val="24"/>
        </w:rPr>
        <w:t>Freret</w:t>
      </w:r>
      <w:proofErr w:type="spellEnd"/>
      <w:r w:rsidRPr="003D77AB">
        <w:rPr>
          <w:rFonts w:asciiTheme="majorBidi" w:hAnsiTheme="majorBidi" w:cstheme="majorBidi"/>
          <w:color w:val="000000" w:themeColor="text1"/>
          <w:sz w:val="24"/>
          <w:szCs w:val="24"/>
        </w:rPr>
        <w:t xml:space="preserve">, T., Toutain, J., </w:t>
      </w:r>
      <w:proofErr w:type="spellStart"/>
      <w:r w:rsidRPr="003D77AB">
        <w:rPr>
          <w:rFonts w:asciiTheme="majorBidi" w:hAnsiTheme="majorBidi" w:cstheme="majorBidi"/>
          <w:color w:val="000000" w:themeColor="text1"/>
          <w:sz w:val="24"/>
          <w:szCs w:val="24"/>
        </w:rPr>
        <w:t>Divoux</w:t>
      </w:r>
      <w:proofErr w:type="spellEnd"/>
      <w:r w:rsidRPr="003D77AB">
        <w:rPr>
          <w:rFonts w:asciiTheme="majorBidi" w:hAnsiTheme="majorBidi" w:cstheme="majorBidi"/>
          <w:color w:val="000000" w:themeColor="text1"/>
          <w:sz w:val="24"/>
          <w:szCs w:val="24"/>
        </w:rPr>
        <w:t xml:space="preserve">, D., </w:t>
      </w:r>
      <w:proofErr w:type="spellStart"/>
      <w:r w:rsidRPr="003D77AB">
        <w:rPr>
          <w:rFonts w:asciiTheme="majorBidi" w:hAnsiTheme="majorBidi" w:cstheme="majorBidi"/>
          <w:color w:val="000000" w:themeColor="text1"/>
          <w:sz w:val="24"/>
          <w:szCs w:val="24"/>
        </w:rPr>
        <w:t>Boulouard</w:t>
      </w:r>
      <w:proofErr w:type="spellEnd"/>
      <w:r w:rsidRPr="003D77AB">
        <w:rPr>
          <w:rFonts w:asciiTheme="majorBidi" w:hAnsiTheme="majorBidi" w:cstheme="majorBidi"/>
          <w:color w:val="000000" w:themeColor="text1"/>
          <w:sz w:val="24"/>
          <w:szCs w:val="24"/>
        </w:rPr>
        <w:t xml:space="preserve">, M., &amp; Schumann-Bard, P. (2007). Sensorimotor and cognitive deficits after transient middle cerebral artery occlusion in the mouse. Experimental neurology, 203(2), 555–567. </w:t>
      </w:r>
    </w:p>
    <w:p w14:paraId="7344FCF1" w14:textId="10D67AA1" w:rsidR="00E018EF" w:rsidRPr="003D77AB" w:rsidRDefault="00554A96" w:rsidP="003D77AB">
      <w:pPr>
        <w:pStyle w:val="ListParagraph"/>
        <w:widowControl w:val="0"/>
        <w:numPr>
          <w:ilvl w:val="0"/>
          <w:numId w:val="3"/>
        </w:numPr>
        <w:spacing w:before="240" w:after="100" w:afterAutospacing="1" w:line="480" w:lineRule="auto"/>
        <w:ind w:left="360"/>
        <w:jc w:val="both"/>
        <w:rPr>
          <w:rFonts w:asciiTheme="majorBidi" w:hAnsiTheme="majorBidi" w:cstheme="majorBidi"/>
          <w:color w:val="000000" w:themeColor="text1"/>
          <w:sz w:val="24"/>
          <w:szCs w:val="24"/>
        </w:rPr>
      </w:pPr>
      <w:r w:rsidRPr="003D77AB">
        <w:rPr>
          <w:rFonts w:asciiTheme="majorBidi" w:hAnsiTheme="majorBidi" w:cstheme="majorBidi"/>
          <w:sz w:val="24"/>
          <w:szCs w:val="24"/>
        </w:rPr>
        <w:lastRenderedPageBreak/>
        <w:t xml:space="preserve">Abramoff MD, </w:t>
      </w:r>
      <w:proofErr w:type="spellStart"/>
      <w:r w:rsidRPr="003D77AB">
        <w:rPr>
          <w:rFonts w:asciiTheme="majorBidi" w:hAnsiTheme="majorBidi" w:cstheme="majorBidi"/>
          <w:sz w:val="24"/>
          <w:szCs w:val="24"/>
        </w:rPr>
        <w:t>Magelhaes</w:t>
      </w:r>
      <w:proofErr w:type="spellEnd"/>
      <w:r w:rsidRPr="003D77AB">
        <w:rPr>
          <w:rFonts w:asciiTheme="majorBidi" w:hAnsiTheme="majorBidi" w:cstheme="majorBidi"/>
          <w:sz w:val="24"/>
          <w:szCs w:val="24"/>
        </w:rPr>
        <w:t xml:space="preserve"> PJ, Ram SJ. Image processing with ImageJ. </w:t>
      </w:r>
      <w:proofErr w:type="spellStart"/>
      <w:r w:rsidRPr="003D77AB">
        <w:rPr>
          <w:rFonts w:asciiTheme="majorBidi" w:hAnsiTheme="majorBidi" w:cstheme="majorBidi"/>
          <w:sz w:val="24"/>
          <w:szCs w:val="24"/>
        </w:rPr>
        <w:t>Biophotonics</w:t>
      </w:r>
      <w:proofErr w:type="spellEnd"/>
      <w:r w:rsidRPr="003D77AB">
        <w:rPr>
          <w:rFonts w:asciiTheme="majorBidi" w:hAnsiTheme="majorBidi" w:cstheme="majorBidi"/>
          <w:sz w:val="24"/>
          <w:szCs w:val="24"/>
        </w:rPr>
        <w:t xml:space="preserve"> International. 2004; 11:36.</w:t>
      </w:r>
    </w:p>
    <w:p w14:paraId="02A09DF3" w14:textId="7EB33110" w:rsidR="00107C7A" w:rsidRPr="003D77AB" w:rsidRDefault="00554A96" w:rsidP="00107C7A">
      <w:pPr>
        <w:pStyle w:val="ListParagraph"/>
        <w:widowControl w:val="0"/>
        <w:numPr>
          <w:ilvl w:val="0"/>
          <w:numId w:val="3"/>
        </w:numPr>
        <w:spacing w:before="240" w:after="100" w:afterAutospacing="1" w:line="480" w:lineRule="auto"/>
        <w:ind w:left="360"/>
        <w:jc w:val="both"/>
        <w:rPr>
          <w:rFonts w:asciiTheme="majorBidi" w:hAnsiTheme="majorBidi" w:cstheme="majorBidi"/>
          <w:color w:val="000000" w:themeColor="text1"/>
          <w:sz w:val="24"/>
          <w:szCs w:val="24"/>
        </w:rPr>
      </w:pPr>
      <w:r w:rsidRPr="003D77AB">
        <w:rPr>
          <w:rFonts w:asciiTheme="majorBidi" w:hAnsiTheme="majorBidi" w:cstheme="majorBidi"/>
          <w:sz w:val="24"/>
          <w:szCs w:val="24"/>
        </w:rPr>
        <w:t>Simon J. Bulley, Cheney J.G. Drew, and A. Jennifer Morton Direct Visualization of Abnormal Dendritic Spine Morphology in the Hippocampus of the R6/2 Transgenic Mouse Model of Huntington’s Disease. Journal of Huntington’s Disease 1 (2012) 267–273.</w:t>
      </w:r>
    </w:p>
    <w:p w14:paraId="465BCDAD" w14:textId="32001DA8" w:rsidR="00554A96" w:rsidRPr="003D77AB" w:rsidRDefault="00554A96" w:rsidP="00107C7A">
      <w:pPr>
        <w:pStyle w:val="ListParagraph"/>
        <w:widowControl w:val="0"/>
        <w:numPr>
          <w:ilvl w:val="0"/>
          <w:numId w:val="3"/>
        </w:numPr>
        <w:spacing w:before="240" w:after="100" w:afterAutospacing="1" w:line="480" w:lineRule="auto"/>
        <w:ind w:left="360"/>
        <w:jc w:val="both"/>
        <w:rPr>
          <w:rFonts w:asciiTheme="majorBidi" w:hAnsiTheme="majorBidi" w:cstheme="majorBidi"/>
          <w:color w:val="000000" w:themeColor="text1"/>
          <w:sz w:val="24"/>
          <w:szCs w:val="24"/>
        </w:rPr>
      </w:pPr>
      <w:proofErr w:type="spellStart"/>
      <w:r w:rsidRPr="003D77AB">
        <w:rPr>
          <w:rFonts w:asciiTheme="majorBidi" w:hAnsiTheme="majorBidi" w:cstheme="majorBidi"/>
          <w:sz w:val="24"/>
          <w:szCs w:val="24"/>
        </w:rPr>
        <w:t>Hering</w:t>
      </w:r>
      <w:proofErr w:type="spellEnd"/>
      <w:r w:rsidRPr="003D77AB">
        <w:rPr>
          <w:rFonts w:asciiTheme="majorBidi" w:hAnsiTheme="majorBidi" w:cstheme="majorBidi"/>
          <w:sz w:val="24"/>
          <w:szCs w:val="24"/>
        </w:rPr>
        <w:t xml:space="preserve"> H, Sheng M. Dendritic spines: Structure, dynamics, and regulation. Nat Rev. </w:t>
      </w:r>
      <w:proofErr w:type="spellStart"/>
      <w:r w:rsidRPr="003D77AB">
        <w:rPr>
          <w:rFonts w:asciiTheme="majorBidi" w:hAnsiTheme="majorBidi" w:cstheme="majorBidi"/>
          <w:sz w:val="24"/>
          <w:szCs w:val="24"/>
        </w:rPr>
        <w:t>Neurosci</w:t>
      </w:r>
      <w:proofErr w:type="spellEnd"/>
      <w:r w:rsidRPr="003D77AB">
        <w:rPr>
          <w:rFonts w:asciiTheme="majorBidi" w:hAnsiTheme="majorBidi" w:cstheme="majorBidi"/>
          <w:sz w:val="24"/>
          <w:szCs w:val="24"/>
        </w:rPr>
        <w:t>. 2001; 2:880.</w:t>
      </w:r>
    </w:p>
    <w:p w14:paraId="1742911C" w14:textId="77777777" w:rsidR="00107C7A" w:rsidRPr="003D77AB" w:rsidRDefault="00107C7A" w:rsidP="00107C7A">
      <w:pPr>
        <w:pStyle w:val="ListParagraph"/>
        <w:rPr>
          <w:rFonts w:asciiTheme="majorBidi" w:hAnsiTheme="majorBidi" w:cstheme="majorBidi"/>
          <w:color w:val="000000" w:themeColor="text1"/>
          <w:sz w:val="24"/>
          <w:szCs w:val="24"/>
        </w:rPr>
      </w:pPr>
    </w:p>
    <w:p w14:paraId="48055416" w14:textId="41EE0C96" w:rsidR="00EA5E2F" w:rsidRPr="003D77AB" w:rsidRDefault="00554A96" w:rsidP="003D77AB">
      <w:pPr>
        <w:pStyle w:val="ListParagraph"/>
        <w:widowControl w:val="0"/>
        <w:numPr>
          <w:ilvl w:val="0"/>
          <w:numId w:val="3"/>
        </w:numPr>
        <w:spacing w:before="240" w:after="100" w:afterAutospacing="1" w:line="480" w:lineRule="auto"/>
        <w:ind w:left="360"/>
        <w:jc w:val="both"/>
        <w:rPr>
          <w:rFonts w:asciiTheme="majorBidi" w:hAnsiTheme="majorBidi" w:cstheme="majorBidi"/>
          <w:color w:val="000000" w:themeColor="text1"/>
          <w:sz w:val="24"/>
          <w:szCs w:val="24"/>
        </w:rPr>
      </w:pPr>
      <w:r w:rsidRPr="003D77AB">
        <w:rPr>
          <w:rFonts w:asciiTheme="majorBidi" w:hAnsiTheme="majorBidi" w:cstheme="majorBidi"/>
          <w:sz w:val="24"/>
          <w:szCs w:val="24"/>
        </w:rPr>
        <w:t xml:space="preserve">Spires TL, Grote HE, Garry S, </w:t>
      </w:r>
      <w:proofErr w:type="spellStart"/>
      <w:r w:rsidRPr="003D77AB">
        <w:rPr>
          <w:rFonts w:asciiTheme="majorBidi" w:hAnsiTheme="majorBidi" w:cstheme="majorBidi"/>
          <w:sz w:val="24"/>
          <w:szCs w:val="24"/>
        </w:rPr>
        <w:t>Cordery</w:t>
      </w:r>
      <w:proofErr w:type="spellEnd"/>
      <w:r w:rsidRPr="003D77AB">
        <w:rPr>
          <w:rFonts w:asciiTheme="majorBidi" w:hAnsiTheme="majorBidi" w:cstheme="majorBidi"/>
          <w:sz w:val="24"/>
          <w:szCs w:val="24"/>
        </w:rPr>
        <w:t xml:space="preserve"> PM, Van </w:t>
      </w:r>
      <w:proofErr w:type="spellStart"/>
      <w:r w:rsidRPr="003D77AB">
        <w:rPr>
          <w:rFonts w:asciiTheme="majorBidi" w:hAnsiTheme="majorBidi" w:cstheme="majorBidi"/>
          <w:sz w:val="24"/>
          <w:szCs w:val="24"/>
        </w:rPr>
        <w:t>Dellen</w:t>
      </w:r>
      <w:proofErr w:type="spellEnd"/>
      <w:r w:rsidRPr="003D77AB">
        <w:rPr>
          <w:rFonts w:asciiTheme="majorBidi" w:hAnsiTheme="majorBidi" w:cstheme="majorBidi"/>
          <w:sz w:val="24"/>
          <w:szCs w:val="24"/>
        </w:rPr>
        <w:t xml:space="preserve"> A, Blakemore C, Hannan AJ. Dendritic spine pathology and deficits in experience-dependent dendritic plasticity in R6/1 Huntington’s disease transgenic mice. Eur J </w:t>
      </w:r>
      <w:proofErr w:type="spellStart"/>
      <w:r w:rsidRPr="003D77AB">
        <w:rPr>
          <w:rFonts w:asciiTheme="majorBidi" w:hAnsiTheme="majorBidi" w:cstheme="majorBidi"/>
          <w:sz w:val="24"/>
          <w:szCs w:val="24"/>
        </w:rPr>
        <w:t>Neurosci</w:t>
      </w:r>
      <w:proofErr w:type="spellEnd"/>
      <w:r w:rsidRPr="003D77AB">
        <w:rPr>
          <w:rFonts w:asciiTheme="majorBidi" w:hAnsiTheme="majorBidi" w:cstheme="majorBidi"/>
          <w:sz w:val="24"/>
          <w:szCs w:val="24"/>
        </w:rPr>
        <w:t>. 2004; 19:2799.</w:t>
      </w:r>
    </w:p>
    <w:p w14:paraId="26D41078" w14:textId="77777777" w:rsidR="003D77AB" w:rsidRPr="003D77AB" w:rsidRDefault="00624E9F" w:rsidP="003D77AB">
      <w:pPr>
        <w:pStyle w:val="ListParagraph"/>
        <w:widowControl w:val="0"/>
        <w:numPr>
          <w:ilvl w:val="0"/>
          <w:numId w:val="3"/>
        </w:numPr>
        <w:spacing w:before="240" w:after="100" w:afterAutospacing="1" w:line="480" w:lineRule="auto"/>
        <w:ind w:left="360"/>
        <w:jc w:val="both"/>
        <w:rPr>
          <w:rFonts w:asciiTheme="majorBidi" w:hAnsiTheme="majorBidi" w:cstheme="majorBidi"/>
          <w:color w:val="000000" w:themeColor="text1"/>
          <w:sz w:val="24"/>
          <w:szCs w:val="24"/>
        </w:rPr>
      </w:pPr>
      <w:hyperlink r:id="rId15" w:history="1">
        <w:proofErr w:type="spellStart"/>
        <w:r w:rsidR="003D77AB" w:rsidRPr="003D77AB">
          <w:rPr>
            <w:rFonts w:asciiTheme="majorBidi" w:hAnsiTheme="majorBidi" w:cstheme="majorBidi"/>
            <w:color w:val="000000" w:themeColor="text1"/>
            <w:sz w:val="24"/>
            <w:szCs w:val="24"/>
          </w:rPr>
          <w:t>Rendong</w:t>
        </w:r>
        <w:proofErr w:type="spellEnd"/>
        <w:r w:rsidR="003D77AB" w:rsidRPr="003D77AB">
          <w:rPr>
            <w:rFonts w:asciiTheme="majorBidi" w:hAnsiTheme="majorBidi" w:cstheme="majorBidi"/>
            <w:color w:val="000000" w:themeColor="text1"/>
            <w:sz w:val="24"/>
            <w:szCs w:val="24"/>
          </w:rPr>
          <w:t xml:space="preserve"> H</w:t>
        </w:r>
      </w:hyperlink>
      <w:r w:rsidR="003D77AB" w:rsidRPr="003D77AB">
        <w:rPr>
          <w:rFonts w:asciiTheme="majorBidi" w:hAnsiTheme="majorBidi" w:cstheme="majorBidi"/>
          <w:color w:val="000000" w:themeColor="text1"/>
          <w:sz w:val="24"/>
          <w:szCs w:val="24"/>
        </w:rPr>
        <w:t xml:space="preserve">, </w:t>
      </w:r>
      <w:hyperlink r:id="rId16" w:history="1">
        <w:proofErr w:type="spellStart"/>
        <w:r w:rsidR="003D77AB" w:rsidRPr="003D77AB">
          <w:rPr>
            <w:rFonts w:asciiTheme="majorBidi" w:hAnsiTheme="majorBidi" w:cstheme="majorBidi"/>
            <w:color w:val="000000" w:themeColor="text1"/>
            <w:sz w:val="24"/>
            <w:szCs w:val="24"/>
          </w:rPr>
          <w:t>Qiaoyu</w:t>
        </w:r>
        <w:proofErr w:type="spellEnd"/>
        <w:r w:rsidR="003D77AB" w:rsidRPr="003D77AB">
          <w:rPr>
            <w:rFonts w:asciiTheme="majorBidi" w:hAnsiTheme="majorBidi" w:cstheme="majorBidi"/>
            <w:color w:val="000000" w:themeColor="text1"/>
            <w:sz w:val="24"/>
            <w:szCs w:val="24"/>
          </w:rPr>
          <w:t xml:space="preserve"> C</w:t>
        </w:r>
      </w:hyperlink>
      <w:r w:rsidR="003D77AB" w:rsidRPr="003D77AB">
        <w:rPr>
          <w:rFonts w:asciiTheme="majorBidi" w:hAnsiTheme="majorBidi" w:cstheme="majorBidi"/>
          <w:color w:val="000000" w:themeColor="text1"/>
          <w:sz w:val="24"/>
          <w:szCs w:val="24"/>
        </w:rPr>
        <w:t xml:space="preserve">, </w:t>
      </w:r>
      <w:hyperlink r:id="rId17" w:history="1">
        <w:proofErr w:type="spellStart"/>
        <w:r w:rsidR="003D77AB" w:rsidRPr="003D77AB">
          <w:rPr>
            <w:rFonts w:asciiTheme="majorBidi" w:hAnsiTheme="majorBidi" w:cstheme="majorBidi"/>
            <w:color w:val="000000" w:themeColor="text1"/>
            <w:sz w:val="24"/>
            <w:szCs w:val="24"/>
          </w:rPr>
          <w:t>Zhongqing</w:t>
        </w:r>
        <w:proofErr w:type="spellEnd"/>
        <w:r w:rsidR="003D77AB" w:rsidRPr="003D77AB">
          <w:rPr>
            <w:rFonts w:asciiTheme="majorBidi" w:hAnsiTheme="majorBidi" w:cstheme="majorBidi"/>
            <w:color w:val="000000" w:themeColor="text1"/>
            <w:sz w:val="24"/>
            <w:szCs w:val="24"/>
          </w:rPr>
          <w:t xml:space="preserve"> S</w:t>
        </w:r>
      </w:hyperlink>
      <w:r w:rsidR="003D77AB" w:rsidRPr="003D77AB">
        <w:rPr>
          <w:rFonts w:asciiTheme="majorBidi" w:hAnsiTheme="majorBidi" w:cstheme="majorBidi"/>
          <w:color w:val="000000" w:themeColor="text1"/>
          <w:sz w:val="24"/>
          <w:szCs w:val="24"/>
        </w:rPr>
        <w:t xml:space="preserve">, </w:t>
      </w:r>
      <w:hyperlink r:id="rId18" w:history="1">
        <w:proofErr w:type="spellStart"/>
        <w:r w:rsidR="003D77AB" w:rsidRPr="003D77AB">
          <w:rPr>
            <w:rFonts w:asciiTheme="majorBidi" w:hAnsiTheme="majorBidi" w:cstheme="majorBidi"/>
            <w:color w:val="000000" w:themeColor="text1"/>
            <w:sz w:val="24"/>
            <w:szCs w:val="24"/>
          </w:rPr>
          <w:t>Jinying</w:t>
        </w:r>
        <w:proofErr w:type="spellEnd"/>
        <w:r w:rsidR="003D77AB" w:rsidRPr="003D77AB">
          <w:rPr>
            <w:rFonts w:asciiTheme="majorBidi" w:hAnsiTheme="majorBidi" w:cstheme="majorBidi"/>
            <w:color w:val="000000" w:themeColor="text1"/>
            <w:sz w:val="24"/>
            <w:szCs w:val="24"/>
          </w:rPr>
          <w:t xml:space="preserve"> C</w:t>
        </w:r>
      </w:hyperlink>
      <w:r w:rsidR="003D77AB" w:rsidRPr="003D77AB">
        <w:rPr>
          <w:rFonts w:asciiTheme="majorBidi" w:hAnsiTheme="majorBidi" w:cstheme="majorBidi"/>
          <w:color w:val="000000" w:themeColor="text1"/>
          <w:sz w:val="24"/>
          <w:szCs w:val="24"/>
        </w:rPr>
        <w:t xml:space="preserve">, </w:t>
      </w:r>
      <w:hyperlink r:id="rId19" w:history="1">
        <w:r w:rsidR="003D77AB" w:rsidRPr="003D77AB">
          <w:rPr>
            <w:rFonts w:asciiTheme="majorBidi" w:hAnsiTheme="majorBidi" w:cstheme="majorBidi"/>
            <w:color w:val="000000" w:themeColor="text1"/>
            <w:sz w:val="24"/>
            <w:szCs w:val="24"/>
          </w:rPr>
          <w:t>Qing Z</w:t>
        </w:r>
      </w:hyperlink>
      <w:r w:rsidR="003D77AB" w:rsidRPr="003D77AB">
        <w:rPr>
          <w:rFonts w:asciiTheme="majorBidi" w:hAnsiTheme="majorBidi" w:cstheme="majorBidi"/>
          <w:color w:val="000000" w:themeColor="text1"/>
          <w:sz w:val="24"/>
          <w:szCs w:val="24"/>
        </w:rPr>
        <w:t xml:space="preserve">, and </w:t>
      </w:r>
      <w:hyperlink r:id="rId20" w:history="1">
        <w:r w:rsidR="003D77AB" w:rsidRPr="003D77AB">
          <w:rPr>
            <w:rFonts w:asciiTheme="majorBidi" w:hAnsiTheme="majorBidi" w:cstheme="majorBidi"/>
            <w:color w:val="000000" w:themeColor="text1"/>
            <w:sz w:val="24"/>
            <w:szCs w:val="24"/>
          </w:rPr>
          <w:t>Fei X</w:t>
        </w:r>
      </w:hyperlink>
      <w:r w:rsidR="003D77AB" w:rsidRPr="003D77AB">
        <w:rPr>
          <w:rFonts w:asciiTheme="majorBidi" w:hAnsiTheme="majorBidi" w:cstheme="majorBidi"/>
          <w:color w:val="000000" w:themeColor="text1"/>
          <w:sz w:val="24"/>
          <w:szCs w:val="24"/>
        </w:rPr>
        <w:t xml:space="preserve"> (2018) A novel method of neural differentiation of PC12 cells by using Opti-MEM as a basic induction medium. </w:t>
      </w:r>
      <w:hyperlink r:id="rId21" w:history="1">
        <w:r w:rsidR="003D77AB" w:rsidRPr="003D77AB">
          <w:rPr>
            <w:rFonts w:asciiTheme="majorBidi" w:hAnsiTheme="majorBidi" w:cstheme="majorBidi"/>
            <w:color w:val="000000" w:themeColor="text1"/>
            <w:sz w:val="24"/>
            <w:szCs w:val="24"/>
          </w:rPr>
          <w:t>Int J Mol Med</w:t>
        </w:r>
      </w:hyperlink>
      <w:r w:rsidR="003D77AB" w:rsidRPr="003D77AB">
        <w:rPr>
          <w:rFonts w:asciiTheme="majorBidi" w:hAnsiTheme="majorBidi" w:cstheme="majorBidi"/>
          <w:color w:val="000000" w:themeColor="text1"/>
          <w:sz w:val="24"/>
          <w:szCs w:val="24"/>
        </w:rPr>
        <w:t xml:space="preserve"> 41(1): 195–201. </w:t>
      </w:r>
    </w:p>
    <w:p w14:paraId="3088A13D" w14:textId="77777777" w:rsidR="003D77AB" w:rsidRPr="003D77AB" w:rsidRDefault="003D77AB" w:rsidP="003D77AB">
      <w:pPr>
        <w:pStyle w:val="ListParagraph"/>
        <w:widowControl w:val="0"/>
        <w:numPr>
          <w:ilvl w:val="0"/>
          <w:numId w:val="3"/>
        </w:numPr>
        <w:spacing w:before="240" w:after="100" w:afterAutospacing="1" w:line="480" w:lineRule="auto"/>
        <w:ind w:left="360"/>
        <w:jc w:val="both"/>
        <w:rPr>
          <w:rFonts w:asciiTheme="majorBidi" w:hAnsiTheme="majorBidi" w:cstheme="majorBidi"/>
          <w:color w:val="000000" w:themeColor="text1"/>
          <w:sz w:val="24"/>
          <w:szCs w:val="24"/>
        </w:rPr>
      </w:pPr>
      <w:r w:rsidRPr="003D77AB">
        <w:rPr>
          <w:rFonts w:asciiTheme="majorBidi" w:hAnsiTheme="majorBidi" w:cstheme="majorBidi"/>
          <w:color w:val="000000" w:themeColor="text1"/>
          <w:sz w:val="24"/>
          <w:szCs w:val="24"/>
        </w:rPr>
        <w:t xml:space="preserve">Rena Q, Hu Z, Jiang Y, Tan X, Benson O A B, Amin N, Lin G, Yu G , Fang M (2019) SIRT1 Protects Against Apoptosis by Promoting Autophagy in the Oxygen Glucose Deprivation/Reperfusion-Induced Injury. Front. Neurol. 10:1289.  </w:t>
      </w:r>
    </w:p>
    <w:p w14:paraId="049E6C3E" w14:textId="77777777" w:rsidR="003D77AB" w:rsidRPr="003D77AB" w:rsidRDefault="003D77AB" w:rsidP="003D77AB">
      <w:pPr>
        <w:pStyle w:val="ListParagraph"/>
        <w:widowControl w:val="0"/>
        <w:numPr>
          <w:ilvl w:val="0"/>
          <w:numId w:val="3"/>
        </w:numPr>
        <w:spacing w:before="240" w:after="100" w:afterAutospacing="1" w:line="480" w:lineRule="auto"/>
        <w:ind w:left="360"/>
        <w:jc w:val="both"/>
        <w:rPr>
          <w:rFonts w:asciiTheme="majorBidi" w:hAnsiTheme="majorBidi" w:cstheme="majorBidi"/>
          <w:color w:val="000000" w:themeColor="text1"/>
          <w:sz w:val="24"/>
          <w:szCs w:val="24"/>
        </w:rPr>
      </w:pPr>
      <w:proofErr w:type="spellStart"/>
      <w:r w:rsidRPr="003D77AB">
        <w:rPr>
          <w:rFonts w:asciiTheme="majorBidi" w:hAnsiTheme="majorBidi" w:cstheme="majorBidi"/>
          <w:color w:val="000000" w:themeColor="text1"/>
          <w:sz w:val="24"/>
          <w:szCs w:val="24"/>
        </w:rPr>
        <w:t>Malagelada</w:t>
      </w:r>
      <w:proofErr w:type="spellEnd"/>
      <w:r w:rsidRPr="003D77AB">
        <w:rPr>
          <w:rFonts w:asciiTheme="majorBidi" w:hAnsiTheme="majorBidi" w:cstheme="majorBidi"/>
          <w:color w:val="000000" w:themeColor="text1"/>
          <w:sz w:val="24"/>
          <w:szCs w:val="24"/>
        </w:rPr>
        <w:t xml:space="preserve"> C, Greene LA (2008) PC12 Cells as a model for </w:t>
      </w:r>
      <w:proofErr w:type="spellStart"/>
      <w:r w:rsidRPr="003D77AB">
        <w:rPr>
          <w:rFonts w:asciiTheme="majorBidi" w:hAnsiTheme="majorBidi" w:cstheme="majorBidi"/>
          <w:color w:val="000000" w:themeColor="text1"/>
          <w:sz w:val="24"/>
          <w:szCs w:val="24"/>
        </w:rPr>
        <w:t>parkinson’s</w:t>
      </w:r>
      <w:proofErr w:type="spellEnd"/>
      <w:r w:rsidRPr="003D77AB">
        <w:rPr>
          <w:rFonts w:asciiTheme="majorBidi" w:hAnsiTheme="majorBidi" w:cstheme="majorBidi"/>
          <w:color w:val="000000" w:themeColor="text1"/>
          <w:sz w:val="24"/>
          <w:szCs w:val="24"/>
        </w:rPr>
        <w:t xml:space="preserve"> disease research. Parkinson’s Disease 375–387.</w:t>
      </w:r>
    </w:p>
    <w:p w14:paraId="34E7A9F4" w14:textId="77777777" w:rsidR="003D77AB" w:rsidRPr="003D77AB" w:rsidRDefault="003D77AB" w:rsidP="003D77AB">
      <w:pPr>
        <w:pStyle w:val="ListParagraph"/>
        <w:widowControl w:val="0"/>
        <w:numPr>
          <w:ilvl w:val="0"/>
          <w:numId w:val="3"/>
        </w:numPr>
        <w:spacing w:before="240" w:after="100" w:afterAutospacing="1" w:line="480" w:lineRule="auto"/>
        <w:ind w:left="360"/>
        <w:jc w:val="both"/>
        <w:rPr>
          <w:rFonts w:asciiTheme="majorBidi" w:hAnsiTheme="majorBidi" w:cstheme="majorBidi"/>
          <w:color w:val="000000" w:themeColor="text1"/>
          <w:sz w:val="24"/>
          <w:szCs w:val="24"/>
        </w:rPr>
      </w:pPr>
      <w:proofErr w:type="spellStart"/>
      <w:r w:rsidRPr="003D77AB">
        <w:rPr>
          <w:rFonts w:asciiTheme="majorBidi" w:hAnsiTheme="majorBidi" w:cstheme="majorBidi"/>
          <w:color w:val="000000" w:themeColor="text1"/>
          <w:sz w:val="24"/>
          <w:szCs w:val="24"/>
        </w:rPr>
        <w:t>Alhebshi</w:t>
      </w:r>
      <w:proofErr w:type="spellEnd"/>
      <w:r w:rsidRPr="003D77AB">
        <w:rPr>
          <w:rFonts w:asciiTheme="majorBidi" w:hAnsiTheme="majorBidi" w:cstheme="majorBidi"/>
          <w:color w:val="000000" w:themeColor="text1"/>
          <w:sz w:val="24"/>
          <w:szCs w:val="24"/>
        </w:rPr>
        <w:t xml:space="preserve"> AH, </w:t>
      </w:r>
      <w:proofErr w:type="spellStart"/>
      <w:r w:rsidRPr="003D77AB">
        <w:rPr>
          <w:rFonts w:asciiTheme="majorBidi" w:hAnsiTheme="majorBidi" w:cstheme="majorBidi"/>
          <w:color w:val="000000" w:themeColor="text1"/>
          <w:sz w:val="24"/>
          <w:szCs w:val="24"/>
        </w:rPr>
        <w:t>Gotoh</w:t>
      </w:r>
      <w:proofErr w:type="spellEnd"/>
      <w:r w:rsidRPr="003D77AB">
        <w:rPr>
          <w:rFonts w:asciiTheme="majorBidi" w:hAnsiTheme="majorBidi" w:cstheme="majorBidi"/>
          <w:color w:val="000000" w:themeColor="text1"/>
          <w:sz w:val="24"/>
          <w:szCs w:val="24"/>
        </w:rPr>
        <w:t xml:space="preserve"> M, Suzuki I (2013) Thymoquinone protects cultured rat primary neurons against amyloid induced neurotoxicity, </w:t>
      </w:r>
      <w:proofErr w:type="spellStart"/>
      <w:r w:rsidRPr="003D77AB">
        <w:rPr>
          <w:rFonts w:asciiTheme="majorBidi" w:hAnsiTheme="majorBidi" w:cstheme="majorBidi"/>
          <w:color w:val="000000" w:themeColor="text1"/>
          <w:sz w:val="24"/>
          <w:szCs w:val="24"/>
        </w:rPr>
        <w:t>Biochem</w:t>
      </w:r>
      <w:proofErr w:type="spellEnd"/>
      <w:r w:rsidRPr="003D77AB">
        <w:rPr>
          <w:rFonts w:asciiTheme="majorBidi" w:hAnsiTheme="majorBidi" w:cstheme="majorBidi"/>
          <w:color w:val="000000" w:themeColor="text1"/>
          <w:sz w:val="24"/>
          <w:szCs w:val="24"/>
        </w:rPr>
        <w:t xml:space="preserve">. </w:t>
      </w:r>
      <w:proofErr w:type="spellStart"/>
      <w:r w:rsidRPr="003D77AB">
        <w:rPr>
          <w:rFonts w:asciiTheme="majorBidi" w:hAnsiTheme="majorBidi" w:cstheme="majorBidi"/>
          <w:color w:val="000000" w:themeColor="text1"/>
          <w:sz w:val="24"/>
          <w:szCs w:val="24"/>
        </w:rPr>
        <w:t>Biophys</w:t>
      </w:r>
      <w:proofErr w:type="spellEnd"/>
      <w:r w:rsidRPr="003D77AB">
        <w:rPr>
          <w:rFonts w:asciiTheme="majorBidi" w:hAnsiTheme="majorBidi" w:cstheme="majorBidi"/>
          <w:color w:val="000000" w:themeColor="text1"/>
          <w:sz w:val="24"/>
          <w:szCs w:val="24"/>
        </w:rPr>
        <w:t xml:space="preserve">. </w:t>
      </w:r>
      <w:proofErr w:type="spellStart"/>
      <w:r w:rsidRPr="003D77AB">
        <w:rPr>
          <w:rFonts w:asciiTheme="majorBidi" w:hAnsiTheme="majorBidi" w:cstheme="majorBidi"/>
          <w:color w:val="000000" w:themeColor="text1"/>
          <w:sz w:val="24"/>
          <w:szCs w:val="24"/>
        </w:rPr>
        <w:t>Res.Commun</w:t>
      </w:r>
      <w:proofErr w:type="spellEnd"/>
      <w:r w:rsidRPr="003D77AB">
        <w:rPr>
          <w:rFonts w:asciiTheme="majorBidi" w:hAnsiTheme="majorBidi" w:cstheme="majorBidi"/>
          <w:color w:val="000000" w:themeColor="text1"/>
          <w:sz w:val="24"/>
          <w:szCs w:val="24"/>
        </w:rPr>
        <w:t xml:space="preserve">. 433: 362–367. </w:t>
      </w:r>
    </w:p>
    <w:p w14:paraId="147622A6" w14:textId="77777777" w:rsidR="003D77AB" w:rsidRPr="003D77AB" w:rsidRDefault="00624E9F" w:rsidP="003D77AB">
      <w:pPr>
        <w:pStyle w:val="ListParagraph"/>
        <w:widowControl w:val="0"/>
        <w:numPr>
          <w:ilvl w:val="0"/>
          <w:numId w:val="3"/>
        </w:numPr>
        <w:spacing w:before="240" w:after="100" w:afterAutospacing="1" w:line="480" w:lineRule="auto"/>
        <w:ind w:left="360"/>
        <w:jc w:val="both"/>
        <w:rPr>
          <w:rFonts w:asciiTheme="majorBidi" w:hAnsiTheme="majorBidi" w:cstheme="majorBidi"/>
          <w:color w:val="000000" w:themeColor="text1"/>
          <w:sz w:val="24"/>
          <w:szCs w:val="24"/>
        </w:rPr>
      </w:pPr>
      <w:hyperlink r:id="rId22" w:history="1">
        <w:r w:rsidR="003D77AB" w:rsidRPr="003D77AB">
          <w:rPr>
            <w:rFonts w:asciiTheme="majorBidi" w:hAnsiTheme="majorBidi" w:cstheme="majorBidi"/>
            <w:color w:val="000000" w:themeColor="text1"/>
            <w:sz w:val="24"/>
            <w:szCs w:val="24"/>
          </w:rPr>
          <w:t>Fei Z</w:t>
        </w:r>
      </w:hyperlink>
      <w:r w:rsidR="003D77AB" w:rsidRPr="003D77AB">
        <w:rPr>
          <w:rFonts w:asciiTheme="majorBidi" w:hAnsiTheme="majorBidi" w:cstheme="majorBidi"/>
          <w:color w:val="000000" w:themeColor="text1"/>
          <w:sz w:val="24"/>
          <w:szCs w:val="24"/>
        </w:rPr>
        <w:t xml:space="preserve">, </w:t>
      </w:r>
      <w:hyperlink r:id="rId23" w:history="1">
        <w:r w:rsidR="003D77AB" w:rsidRPr="003D77AB">
          <w:rPr>
            <w:rFonts w:asciiTheme="majorBidi" w:hAnsiTheme="majorBidi" w:cstheme="majorBidi"/>
            <w:color w:val="000000" w:themeColor="text1"/>
            <w:sz w:val="24"/>
            <w:szCs w:val="24"/>
          </w:rPr>
          <w:t>Weiwei H</w:t>
        </w:r>
      </w:hyperlink>
      <w:r w:rsidR="003D77AB" w:rsidRPr="003D77AB">
        <w:rPr>
          <w:rFonts w:asciiTheme="majorBidi" w:hAnsiTheme="majorBidi" w:cstheme="majorBidi"/>
          <w:color w:val="000000" w:themeColor="text1"/>
          <w:sz w:val="24"/>
          <w:szCs w:val="24"/>
        </w:rPr>
        <w:t xml:space="preserve">, </w:t>
      </w:r>
      <w:hyperlink r:id="rId24" w:history="1">
        <w:proofErr w:type="spellStart"/>
        <w:r w:rsidR="003D77AB" w:rsidRPr="003D77AB">
          <w:rPr>
            <w:rFonts w:asciiTheme="majorBidi" w:hAnsiTheme="majorBidi" w:cstheme="majorBidi"/>
            <w:color w:val="000000" w:themeColor="text1"/>
            <w:sz w:val="24"/>
            <w:szCs w:val="24"/>
          </w:rPr>
          <w:t>Zhe</w:t>
        </w:r>
        <w:proofErr w:type="spellEnd"/>
        <w:r w:rsidR="003D77AB" w:rsidRPr="003D77AB">
          <w:rPr>
            <w:rFonts w:asciiTheme="majorBidi" w:hAnsiTheme="majorBidi" w:cstheme="majorBidi"/>
            <w:color w:val="000000" w:themeColor="text1"/>
            <w:sz w:val="24"/>
            <w:szCs w:val="24"/>
          </w:rPr>
          <w:t xml:space="preserve"> Z</w:t>
        </w:r>
      </w:hyperlink>
      <w:r w:rsidR="003D77AB" w:rsidRPr="003D77AB">
        <w:rPr>
          <w:rFonts w:asciiTheme="majorBidi" w:hAnsiTheme="majorBidi" w:cstheme="majorBidi"/>
          <w:color w:val="000000" w:themeColor="text1"/>
          <w:sz w:val="24"/>
          <w:szCs w:val="24"/>
        </w:rPr>
        <w:t xml:space="preserve">, </w:t>
      </w:r>
      <w:hyperlink r:id="rId25" w:history="1">
        <w:r w:rsidR="003D77AB" w:rsidRPr="003D77AB">
          <w:rPr>
            <w:rFonts w:asciiTheme="majorBidi" w:hAnsiTheme="majorBidi" w:cstheme="majorBidi"/>
            <w:color w:val="000000" w:themeColor="text1"/>
            <w:sz w:val="24"/>
            <w:szCs w:val="24"/>
          </w:rPr>
          <w:t>Lin M</w:t>
        </w:r>
      </w:hyperlink>
      <w:r w:rsidR="003D77AB" w:rsidRPr="003D77AB">
        <w:rPr>
          <w:rFonts w:asciiTheme="majorBidi" w:hAnsiTheme="majorBidi" w:cstheme="majorBidi"/>
          <w:color w:val="000000" w:themeColor="text1"/>
          <w:sz w:val="24"/>
          <w:szCs w:val="24"/>
        </w:rPr>
        <w:t xml:space="preserve">, </w:t>
      </w:r>
      <w:hyperlink r:id="rId26" w:history="1">
        <w:proofErr w:type="spellStart"/>
        <w:r w:rsidR="003D77AB" w:rsidRPr="003D77AB">
          <w:rPr>
            <w:rFonts w:asciiTheme="majorBidi" w:hAnsiTheme="majorBidi" w:cstheme="majorBidi"/>
            <w:color w:val="000000" w:themeColor="text1"/>
            <w:sz w:val="24"/>
            <w:szCs w:val="24"/>
          </w:rPr>
          <w:t>Yangyang</w:t>
        </w:r>
        <w:proofErr w:type="spellEnd"/>
        <w:r w:rsidR="003D77AB" w:rsidRPr="003D77AB">
          <w:rPr>
            <w:rFonts w:asciiTheme="majorBidi" w:hAnsiTheme="majorBidi" w:cstheme="majorBidi"/>
            <w:color w:val="000000" w:themeColor="text1"/>
            <w:sz w:val="24"/>
            <w:szCs w:val="24"/>
          </w:rPr>
          <w:t xml:space="preserve"> H</w:t>
        </w:r>
      </w:hyperlink>
      <w:r w:rsidR="003D77AB" w:rsidRPr="003D77AB">
        <w:rPr>
          <w:rFonts w:asciiTheme="majorBidi" w:hAnsiTheme="majorBidi" w:cstheme="majorBidi"/>
          <w:color w:val="000000" w:themeColor="text1"/>
          <w:sz w:val="24"/>
          <w:szCs w:val="24"/>
        </w:rPr>
        <w:t xml:space="preserve">, </w:t>
      </w:r>
      <w:hyperlink r:id="rId27" w:history="1">
        <w:r w:rsidR="003D77AB" w:rsidRPr="003D77AB">
          <w:rPr>
            <w:rFonts w:asciiTheme="majorBidi" w:hAnsiTheme="majorBidi" w:cstheme="majorBidi"/>
            <w:color w:val="000000" w:themeColor="text1"/>
            <w:sz w:val="24"/>
            <w:szCs w:val="24"/>
          </w:rPr>
          <w:t>Jun Y</w:t>
        </w:r>
      </w:hyperlink>
      <w:r w:rsidR="003D77AB" w:rsidRPr="003D77AB">
        <w:rPr>
          <w:rFonts w:asciiTheme="majorBidi" w:hAnsiTheme="majorBidi" w:cstheme="majorBidi"/>
          <w:color w:val="000000" w:themeColor="text1"/>
          <w:sz w:val="24"/>
          <w:szCs w:val="24"/>
        </w:rPr>
        <w:t xml:space="preserve">, </w:t>
      </w:r>
      <w:hyperlink r:id="rId28" w:history="1">
        <w:r w:rsidR="003D77AB" w:rsidRPr="003D77AB">
          <w:rPr>
            <w:rFonts w:asciiTheme="majorBidi" w:hAnsiTheme="majorBidi" w:cstheme="majorBidi"/>
            <w:color w:val="000000" w:themeColor="text1"/>
            <w:sz w:val="24"/>
            <w:szCs w:val="24"/>
          </w:rPr>
          <w:t>Ming L</w:t>
        </w:r>
      </w:hyperlink>
      <w:r w:rsidR="003D77AB" w:rsidRPr="003D77AB">
        <w:rPr>
          <w:rFonts w:asciiTheme="majorBidi" w:hAnsiTheme="majorBidi" w:cstheme="majorBidi"/>
          <w:color w:val="000000" w:themeColor="text1"/>
          <w:sz w:val="24"/>
          <w:szCs w:val="24"/>
        </w:rPr>
        <w:t xml:space="preserve"> (2016) Triptolide induces </w:t>
      </w:r>
      <w:r w:rsidR="003D77AB" w:rsidRPr="003D77AB">
        <w:rPr>
          <w:rFonts w:asciiTheme="majorBidi" w:hAnsiTheme="majorBidi" w:cstheme="majorBidi"/>
          <w:color w:val="000000" w:themeColor="text1"/>
          <w:sz w:val="24"/>
          <w:szCs w:val="24"/>
        </w:rPr>
        <w:lastRenderedPageBreak/>
        <w:t xml:space="preserve">protective autophagy through activation of the </w:t>
      </w:r>
      <w:proofErr w:type="spellStart"/>
      <w:r w:rsidR="003D77AB" w:rsidRPr="003D77AB">
        <w:rPr>
          <w:rFonts w:asciiTheme="majorBidi" w:hAnsiTheme="majorBidi" w:cstheme="majorBidi"/>
          <w:color w:val="000000" w:themeColor="text1"/>
          <w:sz w:val="24"/>
          <w:szCs w:val="24"/>
        </w:rPr>
        <w:t>CaMKK</w:t>
      </w:r>
      <w:proofErr w:type="spellEnd"/>
      <w:r w:rsidR="003D77AB" w:rsidRPr="003D77AB">
        <w:rPr>
          <w:rFonts w:asciiTheme="majorBidi" w:hAnsiTheme="majorBidi" w:cstheme="majorBidi"/>
          <w:color w:val="000000" w:themeColor="text1"/>
          <w:sz w:val="24"/>
          <w:szCs w:val="24"/>
        </w:rPr>
        <w:t xml:space="preserve">β-AMPK signaling pathway in prostate cancer cells. </w:t>
      </w:r>
      <w:hyperlink r:id="rId29" w:history="1">
        <w:proofErr w:type="spellStart"/>
        <w:r w:rsidR="003D77AB" w:rsidRPr="003D77AB">
          <w:rPr>
            <w:rFonts w:asciiTheme="majorBidi" w:hAnsiTheme="majorBidi" w:cstheme="majorBidi"/>
            <w:color w:val="000000" w:themeColor="text1"/>
            <w:sz w:val="24"/>
            <w:szCs w:val="24"/>
          </w:rPr>
          <w:t>Oncotarget</w:t>
        </w:r>
        <w:proofErr w:type="spellEnd"/>
      </w:hyperlink>
      <w:r w:rsidR="003D77AB" w:rsidRPr="003D77AB">
        <w:rPr>
          <w:rFonts w:asciiTheme="majorBidi" w:hAnsiTheme="majorBidi" w:cstheme="majorBidi"/>
          <w:color w:val="000000" w:themeColor="text1"/>
          <w:sz w:val="24"/>
          <w:szCs w:val="24"/>
        </w:rPr>
        <w:t xml:space="preserve"> 7(5): 5366–5382. </w:t>
      </w:r>
    </w:p>
    <w:p w14:paraId="5771E905" w14:textId="77777777" w:rsidR="00EA5E2F" w:rsidRPr="003D77AB" w:rsidRDefault="00EA5E2F" w:rsidP="003D77AB">
      <w:pPr>
        <w:pStyle w:val="ListParagraph"/>
        <w:widowControl w:val="0"/>
        <w:spacing w:before="240" w:after="100" w:afterAutospacing="1" w:line="480" w:lineRule="auto"/>
        <w:ind w:left="360"/>
        <w:jc w:val="both"/>
        <w:rPr>
          <w:rFonts w:asciiTheme="majorBidi" w:hAnsiTheme="majorBidi" w:cstheme="majorBidi"/>
          <w:color w:val="000000" w:themeColor="text1"/>
          <w:sz w:val="24"/>
          <w:szCs w:val="24"/>
        </w:rPr>
      </w:pPr>
    </w:p>
    <w:p w14:paraId="346A410E" w14:textId="77777777" w:rsidR="00554A96" w:rsidRPr="003D77AB" w:rsidRDefault="00554A96" w:rsidP="00ED59B3">
      <w:pPr>
        <w:pStyle w:val="ListParagraph"/>
        <w:autoSpaceDE w:val="0"/>
        <w:autoSpaceDN w:val="0"/>
        <w:adjustRightInd w:val="0"/>
        <w:jc w:val="both"/>
        <w:rPr>
          <w:rFonts w:asciiTheme="majorBidi" w:hAnsiTheme="majorBidi" w:cstheme="majorBidi"/>
          <w:sz w:val="24"/>
          <w:szCs w:val="24"/>
        </w:rPr>
      </w:pPr>
    </w:p>
    <w:sectPr w:rsidR="00554A96" w:rsidRPr="003D77AB" w:rsidSect="00F56B3A">
      <w:pgSz w:w="12240" w:h="15840" w:code="1"/>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472CD"/>
    <w:multiLevelType w:val="hybridMultilevel"/>
    <w:tmpl w:val="FB64EDC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E465D8"/>
    <w:multiLevelType w:val="hybridMultilevel"/>
    <w:tmpl w:val="A5BA80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964D32"/>
    <w:multiLevelType w:val="hybridMultilevel"/>
    <w:tmpl w:val="99ACE61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F75EDB"/>
    <w:multiLevelType w:val="hybridMultilevel"/>
    <w:tmpl w:val="9A0680A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BAD4B0A"/>
    <w:multiLevelType w:val="hybridMultilevel"/>
    <w:tmpl w:val="0922B2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C065432"/>
    <w:multiLevelType w:val="hybridMultilevel"/>
    <w:tmpl w:val="0922B2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4"/>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TOzMDE0NzQzMbAwNDBX0lEKTi0uzszPAymwrAUA9f1gPywAAAA="/>
  </w:docVars>
  <w:rsids>
    <w:rsidRoot w:val="00F56B3A"/>
    <w:rsid w:val="00017859"/>
    <w:rsid w:val="00026DA2"/>
    <w:rsid w:val="0003627A"/>
    <w:rsid w:val="000764D0"/>
    <w:rsid w:val="000D62DE"/>
    <w:rsid w:val="000E1D7F"/>
    <w:rsid w:val="00101035"/>
    <w:rsid w:val="00107C7A"/>
    <w:rsid w:val="00143488"/>
    <w:rsid w:val="001F367C"/>
    <w:rsid w:val="00236238"/>
    <w:rsid w:val="00277090"/>
    <w:rsid w:val="002825B9"/>
    <w:rsid w:val="002E095D"/>
    <w:rsid w:val="002F4C73"/>
    <w:rsid w:val="00342DB9"/>
    <w:rsid w:val="003456FC"/>
    <w:rsid w:val="00347636"/>
    <w:rsid w:val="003A59B2"/>
    <w:rsid w:val="003B74DD"/>
    <w:rsid w:val="003D77AB"/>
    <w:rsid w:val="003E4F04"/>
    <w:rsid w:val="00481CF6"/>
    <w:rsid w:val="00484C7F"/>
    <w:rsid w:val="004961E4"/>
    <w:rsid w:val="004A5276"/>
    <w:rsid w:val="004B2ADE"/>
    <w:rsid w:val="004C0B0C"/>
    <w:rsid w:val="00526FD2"/>
    <w:rsid w:val="00540183"/>
    <w:rsid w:val="00554A96"/>
    <w:rsid w:val="0055727C"/>
    <w:rsid w:val="00566EAC"/>
    <w:rsid w:val="00590D31"/>
    <w:rsid w:val="00595B11"/>
    <w:rsid w:val="005B5842"/>
    <w:rsid w:val="005C178D"/>
    <w:rsid w:val="005C4B52"/>
    <w:rsid w:val="005C6867"/>
    <w:rsid w:val="00624E9F"/>
    <w:rsid w:val="0063199E"/>
    <w:rsid w:val="00641174"/>
    <w:rsid w:val="00666646"/>
    <w:rsid w:val="006760B5"/>
    <w:rsid w:val="006B6AB6"/>
    <w:rsid w:val="006D3BB9"/>
    <w:rsid w:val="006D4625"/>
    <w:rsid w:val="006E5F96"/>
    <w:rsid w:val="00703D24"/>
    <w:rsid w:val="007C00C6"/>
    <w:rsid w:val="007F3747"/>
    <w:rsid w:val="008476F6"/>
    <w:rsid w:val="00852B64"/>
    <w:rsid w:val="00872E0C"/>
    <w:rsid w:val="008872C8"/>
    <w:rsid w:val="008B6C13"/>
    <w:rsid w:val="008C5FC4"/>
    <w:rsid w:val="008D0B4B"/>
    <w:rsid w:val="00964F22"/>
    <w:rsid w:val="009A1864"/>
    <w:rsid w:val="009E3E47"/>
    <w:rsid w:val="009F0577"/>
    <w:rsid w:val="009F34A7"/>
    <w:rsid w:val="00A07F81"/>
    <w:rsid w:val="00AB3D45"/>
    <w:rsid w:val="00AC100B"/>
    <w:rsid w:val="00B04910"/>
    <w:rsid w:val="00B11F37"/>
    <w:rsid w:val="00B72C3D"/>
    <w:rsid w:val="00B768C2"/>
    <w:rsid w:val="00BC1173"/>
    <w:rsid w:val="00BE4A69"/>
    <w:rsid w:val="00C30B18"/>
    <w:rsid w:val="00C77617"/>
    <w:rsid w:val="00C810F6"/>
    <w:rsid w:val="00CA1269"/>
    <w:rsid w:val="00CA2221"/>
    <w:rsid w:val="00CE1C31"/>
    <w:rsid w:val="00D012CA"/>
    <w:rsid w:val="00D5185E"/>
    <w:rsid w:val="00D8626D"/>
    <w:rsid w:val="00D87C39"/>
    <w:rsid w:val="00DB5715"/>
    <w:rsid w:val="00DE624A"/>
    <w:rsid w:val="00DF3E97"/>
    <w:rsid w:val="00DF7B24"/>
    <w:rsid w:val="00E018EF"/>
    <w:rsid w:val="00E35D04"/>
    <w:rsid w:val="00E75A91"/>
    <w:rsid w:val="00EA5E2F"/>
    <w:rsid w:val="00EA651E"/>
    <w:rsid w:val="00EB24C9"/>
    <w:rsid w:val="00EC66D2"/>
    <w:rsid w:val="00ED59B3"/>
    <w:rsid w:val="00ED5CD5"/>
    <w:rsid w:val="00ED7A5F"/>
    <w:rsid w:val="00F11A7D"/>
    <w:rsid w:val="00F47A91"/>
    <w:rsid w:val="00F56B3A"/>
    <w:rsid w:val="00F71050"/>
    <w:rsid w:val="00F953C5"/>
    <w:rsid w:val="00FA50B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67A4E"/>
  <w15:chartTrackingRefBased/>
  <w15:docId w15:val="{5F60927C-FB7B-4EBC-99CF-6BA545277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5">
    <w:name w:val="heading 5"/>
    <w:basedOn w:val="Normal"/>
    <w:next w:val="Normal"/>
    <w:link w:val="Heading5Char"/>
    <w:uiPriority w:val="9"/>
    <w:semiHidden/>
    <w:unhideWhenUsed/>
    <w:qFormat/>
    <w:rsid w:val="00D012CA"/>
    <w:pPr>
      <w:keepNext/>
      <w:keepLines/>
      <w:widowControl w:val="0"/>
      <w:spacing w:before="40" w:after="0" w:line="240" w:lineRule="auto"/>
      <w:outlineLvl w:val="4"/>
    </w:pPr>
    <w:rPr>
      <w:rFonts w:asciiTheme="majorHAnsi" w:eastAsiaTheme="majorEastAsia" w:hAnsiTheme="majorHAnsi" w:cstheme="majorBidi"/>
      <w:color w:val="2F5496" w:themeColor="accent1" w:themeShade="BF"/>
      <w:kern w:val="2"/>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6B3A"/>
    <w:pPr>
      <w:ind w:left="720"/>
      <w:contextualSpacing/>
    </w:pPr>
  </w:style>
  <w:style w:type="paragraph" w:styleId="CommentText">
    <w:name w:val="annotation text"/>
    <w:basedOn w:val="Normal"/>
    <w:link w:val="CommentTextChar"/>
    <w:uiPriority w:val="99"/>
    <w:unhideWhenUsed/>
    <w:rsid w:val="009E3E47"/>
    <w:pPr>
      <w:widowControl w:val="0"/>
      <w:spacing w:after="0" w:line="240" w:lineRule="auto"/>
    </w:pPr>
    <w:rPr>
      <w:rFonts w:eastAsia="宋体"/>
      <w:kern w:val="2"/>
      <w:sz w:val="24"/>
    </w:rPr>
  </w:style>
  <w:style w:type="character" w:customStyle="1" w:styleId="CommentTextChar">
    <w:name w:val="Comment Text Char"/>
    <w:basedOn w:val="DefaultParagraphFont"/>
    <w:link w:val="CommentText"/>
    <w:uiPriority w:val="99"/>
    <w:rsid w:val="009E3E47"/>
    <w:rPr>
      <w:rFonts w:eastAsia="宋体"/>
      <w:kern w:val="2"/>
      <w:sz w:val="24"/>
    </w:rPr>
  </w:style>
  <w:style w:type="paragraph" w:styleId="HTMLPreformatted">
    <w:name w:val="HTML Preformatted"/>
    <w:basedOn w:val="Normal"/>
    <w:link w:val="HTMLPreformattedChar"/>
    <w:uiPriority w:val="99"/>
    <w:unhideWhenUsed/>
    <w:rsid w:val="008476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8476F6"/>
    <w:rPr>
      <w:rFonts w:ascii="Courier New" w:eastAsia="Times New Roman" w:hAnsi="Courier New" w:cs="Courier New"/>
      <w:sz w:val="20"/>
      <w:szCs w:val="20"/>
    </w:rPr>
  </w:style>
  <w:style w:type="paragraph" w:customStyle="1" w:styleId="Default">
    <w:name w:val="Default"/>
    <w:rsid w:val="00540183"/>
    <w:pPr>
      <w:autoSpaceDE w:val="0"/>
      <w:autoSpaceDN w:val="0"/>
      <w:adjustRightInd w:val="0"/>
      <w:spacing w:after="0" w:line="240" w:lineRule="auto"/>
    </w:pPr>
    <w:rPr>
      <w:rFonts w:ascii="Times New Roman" w:eastAsia="宋体" w:hAnsi="Times New Roman" w:cs="Times New Roman"/>
      <w:color w:val="000000"/>
      <w:sz w:val="24"/>
      <w:szCs w:val="24"/>
    </w:rPr>
  </w:style>
  <w:style w:type="character" w:styleId="Hyperlink">
    <w:name w:val="Hyperlink"/>
    <w:basedOn w:val="DefaultParagraphFont"/>
    <w:uiPriority w:val="99"/>
    <w:unhideWhenUsed/>
    <w:rsid w:val="00ED59B3"/>
    <w:rPr>
      <w:color w:val="0000FF"/>
      <w:u w:val="single"/>
    </w:rPr>
  </w:style>
  <w:style w:type="character" w:customStyle="1" w:styleId="Heading5Char">
    <w:name w:val="Heading 5 Char"/>
    <w:basedOn w:val="DefaultParagraphFont"/>
    <w:link w:val="Heading5"/>
    <w:uiPriority w:val="9"/>
    <w:semiHidden/>
    <w:rsid w:val="00D012CA"/>
    <w:rPr>
      <w:rFonts w:asciiTheme="majorHAnsi" w:eastAsiaTheme="majorEastAsia" w:hAnsiTheme="majorHAnsi" w:cstheme="majorBidi"/>
      <w:color w:val="2F5496" w:themeColor="accent1" w:themeShade="BF"/>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14863123">
      <w:bodyDiv w:val="1"/>
      <w:marLeft w:val="0"/>
      <w:marRight w:val="0"/>
      <w:marTop w:val="0"/>
      <w:marBottom w:val="0"/>
      <w:divBdr>
        <w:top w:val="none" w:sz="0" w:space="0" w:color="auto"/>
        <w:left w:val="none" w:sz="0" w:space="0" w:color="auto"/>
        <w:bottom w:val="none" w:sz="0" w:space="0" w:color="auto"/>
        <w:right w:val="none" w:sz="0" w:space="0" w:color="auto"/>
      </w:divBdr>
    </w:div>
    <w:div w:id="1247037255">
      <w:bodyDiv w:val="1"/>
      <w:marLeft w:val="0"/>
      <w:marRight w:val="0"/>
      <w:marTop w:val="0"/>
      <w:marBottom w:val="0"/>
      <w:divBdr>
        <w:top w:val="none" w:sz="0" w:space="0" w:color="auto"/>
        <w:left w:val="none" w:sz="0" w:space="0" w:color="auto"/>
        <w:bottom w:val="none" w:sz="0" w:space="0" w:color="auto"/>
        <w:right w:val="none" w:sz="0" w:space="0" w:color="auto"/>
      </w:divBdr>
    </w:div>
    <w:div w:id="1899314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hyperlink" Target="https://www.ncbi.nlm.nih.gov/pubmed/?term=Chen%20J%5BAuthor%5D&amp;cauthor=true&amp;cauthor_uid=29115371" TargetMode="External"/><Relationship Id="rId26" Type="http://schemas.openxmlformats.org/officeDocument/2006/relationships/hyperlink" Target="https://www.ncbi.nlm.nih.gov/pubmed/?term=Han%20Y%5BAuthor%5D&amp;cauthor=true&amp;cauthor_uid=26734992" TargetMode="External"/><Relationship Id="rId3" Type="http://schemas.openxmlformats.org/officeDocument/2006/relationships/settings" Target="settings.xml"/><Relationship Id="rId21" Type="http://schemas.openxmlformats.org/officeDocument/2006/relationships/hyperlink" Target="https://www.ncbi.nlm.nih.gov/pmc/articles/PMC5746309/" TargetMode="External"/><Relationship Id="rId7" Type="http://schemas.openxmlformats.org/officeDocument/2006/relationships/hyperlink" Target="http://research.mssm.edu/cnic/tools-ns.html" TargetMode="External"/><Relationship Id="rId12" Type="http://schemas.openxmlformats.org/officeDocument/2006/relationships/image" Target="media/image7.jpeg"/><Relationship Id="rId17" Type="http://schemas.openxmlformats.org/officeDocument/2006/relationships/hyperlink" Target="https://www.ncbi.nlm.nih.gov/pubmed/?term=Sun%20Z%5BAuthor%5D&amp;cauthor=true&amp;cauthor_uid=29115371" TargetMode="External"/><Relationship Id="rId25" Type="http://schemas.openxmlformats.org/officeDocument/2006/relationships/hyperlink" Target="https://www.ncbi.nlm.nih.gov/pubmed/?term=Mao%20L%5BAuthor%5D&amp;cauthor=true&amp;cauthor_uid=26734992" TargetMode="External"/><Relationship Id="rId2" Type="http://schemas.openxmlformats.org/officeDocument/2006/relationships/styles" Target="styles.xml"/><Relationship Id="rId16" Type="http://schemas.openxmlformats.org/officeDocument/2006/relationships/hyperlink" Target="https://www.ncbi.nlm.nih.gov/pubmed/?term=Cao%20Q%5BAuthor%5D&amp;cauthor=true&amp;cauthor_uid=29115371" TargetMode="External"/><Relationship Id="rId20" Type="http://schemas.openxmlformats.org/officeDocument/2006/relationships/hyperlink" Target="https://www.ncbi.nlm.nih.gov/pubmed/?term=Xiao%20F%5BAuthor%5D&amp;cauthor=true&amp;cauthor_uid=29115371" TargetMode="External"/><Relationship Id="rId29" Type="http://schemas.openxmlformats.org/officeDocument/2006/relationships/hyperlink" Target="https://www.ncbi.nlm.nih.gov/pmc/articles/PMC4868692/"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jpeg"/><Relationship Id="rId24" Type="http://schemas.openxmlformats.org/officeDocument/2006/relationships/hyperlink" Target="https://www.ncbi.nlm.nih.gov/pubmed/?term=Zhang%20Z%5BAuthor%5D&amp;cauthor=true&amp;cauthor_uid=26734992" TargetMode="External"/><Relationship Id="rId5" Type="http://schemas.openxmlformats.org/officeDocument/2006/relationships/image" Target="media/image1.jpeg"/><Relationship Id="rId15" Type="http://schemas.openxmlformats.org/officeDocument/2006/relationships/hyperlink" Target="https://www.ncbi.nlm.nih.gov/pubmed/?term=Hu%20R%5BAuthor%5D&amp;cauthor=true&amp;cauthor_uid=29115371" TargetMode="External"/><Relationship Id="rId23" Type="http://schemas.openxmlformats.org/officeDocument/2006/relationships/hyperlink" Target="https://www.ncbi.nlm.nih.gov/pubmed/?term=Huang%20W%5BAuthor%5D&amp;cauthor=true&amp;cauthor_uid=26734992" TargetMode="External"/><Relationship Id="rId28" Type="http://schemas.openxmlformats.org/officeDocument/2006/relationships/hyperlink" Target="https://www.ncbi.nlm.nih.gov/pubmed/?term=Lei%20M%5BAuthor%5D&amp;cauthor=true&amp;cauthor_uid=26734992" TargetMode="External"/><Relationship Id="rId10" Type="http://schemas.openxmlformats.org/officeDocument/2006/relationships/image" Target="media/image5.jpeg"/><Relationship Id="rId19" Type="http://schemas.openxmlformats.org/officeDocument/2006/relationships/hyperlink" Target="https://www.ncbi.nlm.nih.gov/pubmed/?term=Zheng%20Q%5BAuthor%5D&amp;cauthor=true&amp;cauthor_uid=29115371"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hyperlink" Target="https://www.ncbi.nlm.nih.gov/pubmed/?term=Zhao%20F%5BAuthor%5D&amp;cauthor=true&amp;cauthor_uid=26734992" TargetMode="External"/><Relationship Id="rId27" Type="http://schemas.openxmlformats.org/officeDocument/2006/relationships/hyperlink" Target="https://www.ncbi.nlm.nih.gov/pubmed/?term=Yan%20J%5BAuthor%5D&amp;cauthor=true&amp;cauthor_uid=26734992"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195</TotalTime>
  <Pages>18</Pages>
  <Words>3082</Words>
  <Characters>17572</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Elgendy Nashwa</dc:creator>
  <cp:keywords/>
  <dc:description/>
  <cp:lastModifiedBy>Elgendy Nashwa</cp:lastModifiedBy>
  <cp:revision>164</cp:revision>
  <dcterms:created xsi:type="dcterms:W3CDTF">2020-08-28T06:29:00Z</dcterms:created>
  <dcterms:modified xsi:type="dcterms:W3CDTF">2020-10-13T16:11:00Z</dcterms:modified>
</cp:coreProperties>
</file>