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33361" w14:textId="77777777" w:rsidR="00007BCE" w:rsidRPr="00160297" w:rsidRDefault="00000000">
      <w:pPr>
        <w:pStyle w:val="aa"/>
        <w:jc w:val="center"/>
        <w:rPr>
          <w:color w:val="auto"/>
        </w:rPr>
      </w:pPr>
      <w:r w:rsidRPr="00160297">
        <w:rPr>
          <w:color w:val="auto"/>
        </w:rPr>
        <w:t>Supplementary Appendix</w:t>
      </w:r>
    </w:p>
    <w:p w14:paraId="50971C34" w14:textId="77777777" w:rsidR="00007BCE" w:rsidRPr="00160297" w:rsidRDefault="00000000">
      <w:pPr>
        <w:jc w:val="center"/>
      </w:pPr>
      <w:r w:rsidRPr="00160297">
        <w:rPr>
          <w:i/>
        </w:rPr>
        <w:t>For the manuscript: Vestibular migraine as a vestibulo-trigeminal interface phenotype: a multi-layer triangulation study across genetics, peripheral multiomics, and human cell atlases</w:t>
      </w:r>
    </w:p>
    <w:p w14:paraId="5021DC6B" w14:textId="77777777" w:rsidR="00007BCE" w:rsidRPr="00160297" w:rsidRDefault="00000000">
      <w:pPr>
        <w:jc w:val="center"/>
      </w:pPr>
      <w:r w:rsidRPr="00160297">
        <w:rPr>
          <w:sz w:val="20"/>
        </w:rPr>
        <w:t>Statistical analysis plan, robustness framework, dataset manifest, inferential boundaries, and extended analytical summary</w:t>
      </w:r>
    </w:p>
    <w:p w14:paraId="3E11D36E" w14:textId="77777777" w:rsidR="00007BCE" w:rsidRPr="00160297" w:rsidRDefault="00007BCE"/>
    <w:p w14:paraId="4CE905A4" w14:textId="77777777" w:rsidR="00007BCE" w:rsidRPr="00160297" w:rsidRDefault="00000000">
      <w:pPr>
        <w:spacing w:after="120"/>
      </w:pPr>
      <w:r w:rsidRPr="00160297">
        <w:t>Purpose of this appendix. This file assembles the materials that sit behind the main manuscript: the analysis plan, evidentiary boundaries, dataset inventory, and brief records of the key discovery outputs. The clinical framing of vestibular migraine follows current diagnostic and review literature [S1-S4]. Resource-specific and method-specific statements are cited at the sentences where those resources or methods are used.</w:t>
      </w:r>
    </w:p>
    <w:p w14:paraId="228A46E3" w14:textId="77777777" w:rsidR="00007BCE" w:rsidRPr="00160297" w:rsidRDefault="00000000">
      <w:pPr>
        <w:pStyle w:val="1"/>
        <w:rPr>
          <w:color w:val="auto"/>
        </w:rPr>
      </w:pPr>
      <w:r w:rsidRPr="00160297">
        <w:rPr>
          <w:color w:val="auto"/>
        </w:rPr>
        <w:t>Contents</w:t>
      </w:r>
    </w:p>
    <w:p w14:paraId="2DCE31EE" w14:textId="77777777" w:rsidR="00007BCE" w:rsidRPr="00160297" w:rsidRDefault="00000000">
      <w:pPr>
        <w:pStyle w:val="a0"/>
      </w:pPr>
      <w:r w:rsidRPr="00160297">
        <w:t>Supplementary Table S1. Dataset manifest</w:t>
      </w:r>
    </w:p>
    <w:p w14:paraId="5A5E4B87" w14:textId="77777777" w:rsidR="00007BCE" w:rsidRPr="00160297" w:rsidRDefault="00000000">
      <w:pPr>
        <w:pStyle w:val="a0"/>
      </w:pPr>
      <w:r w:rsidRPr="00160297">
        <w:t>Supplementary Table S2. Inferential boundaries and evidentiary roles</w:t>
      </w:r>
    </w:p>
    <w:p w14:paraId="6E84729A" w14:textId="77777777" w:rsidR="00007BCE" w:rsidRPr="00160297" w:rsidRDefault="00000000">
      <w:pPr>
        <w:pStyle w:val="a0"/>
      </w:pPr>
      <w:r w:rsidRPr="00160297">
        <w:t>Supplementary Table S3. Data layers and analytic hierarchy</w:t>
      </w:r>
    </w:p>
    <w:p w14:paraId="6A2D61BF" w14:textId="77777777" w:rsidR="00007BCE" w:rsidRPr="00160297" w:rsidRDefault="00000000">
      <w:pPr>
        <w:pStyle w:val="a0"/>
      </w:pPr>
      <w:r w:rsidRPr="00160297">
        <w:t>Supplementary Table S4. Key discovery-layer summary results</w:t>
      </w:r>
    </w:p>
    <w:p w14:paraId="6A0BDA7D" w14:textId="77777777" w:rsidR="00007BCE" w:rsidRPr="00160297" w:rsidRDefault="00000000">
      <w:pPr>
        <w:pStyle w:val="a0"/>
      </w:pPr>
      <w:r w:rsidRPr="00160297">
        <w:t>Supplementary Table S5. Final prioritized candidates and confidence classification</w:t>
      </w:r>
    </w:p>
    <w:p w14:paraId="63C9E226" w14:textId="77777777" w:rsidR="00007BCE" w:rsidRPr="00160297" w:rsidRDefault="00000000">
      <w:pPr>
        <w:pStyle w:val="a0"/>
      </w:pPr>
      <w:r w:rsidRPr="00160297">
        <w:t>Supplementary overview</w:t>
      </w:r>
    </w:p>
    <w:p w14:paraId="52F5A57E" w14:textId="77777777" w:rsidR="00007BCE" w:rsidRPr="00160297" w:rsidRDefault="00000000">
      <w:pPr>
        <w:pStyle w:val="a0"/>
      </w:pPr>
      <w:r w:rsidRPr="00160297">
        <w:t>Prespecified interpretive boundaries</w:t>
      </w:r>
    </w:p>
    <w:p w14:paraId="34DABCDF" w14:textId="77777777" w:rsidR="00007BCE" w:rsidRPr="00160297" w:rsidRDefault="00000000">
      <w:pPr>
        <w:pStyle w:val="a0"/>
      </w:pPr>
      <w:r w:rsidRPr="00160297">
        <w:t>Extended summary of formal discovery-layer results</w:t>
      </w:r>
    </w:p>
    <w:p w14:paraId="468C98A5" w14:textId="77777777" w:rsidR="00007BCE" w:rsidRPr="00160297" w:rsidRDefault="00000000">
      <w:pPr>
        <w:pStyle w:val="a0"/>
      </w:pPr>
      <w:r w:rsidRPr="00160297">
        <w:t>Sensitivity, missingness, and robustness framework</w:t>
      </w:r>
    </w:p>
    <w:p w14:paraId="1AC8BF6B" w14:textId="77777777" w:rsidR="00007BCE" w:rsidRPr="00160297" w:rsidRDefault="00000000">
      <w:pPr>
        <w:pStyle w:val="a0"/>
      </w:pPr>
      <w:r w:rsidRPr="00160297">
        <w:t>Reproducibility and deliverables</w:t>
      </w:r>
    </w:p>
    <w:p w14:paraId="22643EAB" w14:textId="77777777" w:rsidR="00007BCE" w:rsidRPr="00160297" w:rsidRDefault="00000000">
      <w:pPr>
        <w:pStyle w:val="a0"/>
      </w:pPr>
      <w:r w:rsidRPr="00160297">
        <w:t>Supplementary note. Repository and accession completion status</w:t>
      </w:r>
    </w:p>
    <w:p w14:paraId="7AC4F4F1" w14:textId="77777777" w:rsidR="00007BCE" w:rsidRPr="00160297" w:rsidRDefault="00000000">
      <w:pPr>
        <w:pStyle w:val="1"/>
        <w:rPr>
          <w:color w:val="auto"/>
        </w:rPr>
      </w:pPr>
      <w:r w:rsidRPr="00160297">
        <w:rPr>
          <w:color w:val="auto"/>
        </w:rPr>
        <w:t>Supplementary tables</w:t>
      </w:r>
    </w:p>
    <w:p w14:paraId="70F5C50C" w14:textId="77777777" w:rsidR="00007BCE" w:rsidRPr="00160297" w:rsidRDefault="00000000">
      <w:pPr>
        <w:pStyle w:val="21"/>
        <w:rPr>
          <w:color w:val="auto"/>
        </w:rPr>
      </w:pPr>
      <w:r w:rsidRPr="00160297">
        <w:rPr>
          <w:color w:val="auto"/>
        </w:rPr>
        <w:t>Supplementary Table S1. Dataset manifest</w:t>
      </w:r>
    </w:p>
    <w:tbl>
      <w:tblPr>
        <w:tblStyle w:val="aff1"/>
        <w:tblW w:w="10375" w:type="dxa"/>
        <w:jc w:val="center"/>
        <w:tblLayout w:type="fixed"/>
        <w:tblLook w:val="04A0" w:firstRow="1" w:lastRow="0" w:firstColumn="1" w:lastColumn="0" w:noHBand="0" w:noVBand="1"/>
      </w:tblPr>
      <w:tblGrid>
        <w:gridCol w:w="1361"/>
        <w:gridCol w:w="1701"/>
        <w:gridCol w:w="1701"/>
        <w:gridCol w:w="1190"/>
        <w:gridCol w:w="1531"/>
        <w:gridCol w:w="1190"/>
        <w:gridCol w:w="1701"/>
      </w:tblGrid>
      <w:tr w:rsidR="00160297" w:rsidRPr="00160297" w14:paraId="6B673F8D" w14:textId="77777777" w:rsidTr="00160297">
        <w:trPr>
          <w:tblHeader/>
          <w:jc w:val="center"/>
        </w:trPr>
        <w:tc>
          <w:tcPr>
            <w:tcW w:w="1361" w:type="dxa"/>
            <w:tcBorders>
              <w:left w:val="nil"/>
              <w:bottom w:val="single" w:sz="4" w:space="0" w:color="auto"/>
              <w:right w:val="nil"/>
            </w:tcBorders>
            <w:shd w:val="clear" w:color="auto" w:fill="D9E2F3"/>
            <w:tcMar>
              <w:top w:w="80" w:type="dxa"/>
              <w:left w:w="100" w:type="dxa"/>
              <w:bottom w:w="80" w:type="dxa"/>
              <w:right w:w="100" w:type="dxa"/>
            </w:tcMar>
            <w:vAlign w:val="center"/>
          </w:tcPr>
          <w:p w14:paraId="1F95552C" w14:textId="77777777" w:rsidR="00160297" w:rsidRPr="00160297" w:rsidRDefault="00160297">
            <w:r w:rsidRPr="00160297">
              <w:rPr>
                <w:b/>
                <w:sz w:val="18"/>
              </w:rPr>
              <w:t>Layer</w:t>
            </w:r>
          </w:p>
        </w:tc>
        <w:tc>
          <w:tcPr>
            <w:tcW w:w="1701" w:type="dxa"/>
            <w:tcBorders>
              <w:left w:val="nil"/>
              <w:bottom w:val="single" w:sz="4" w:space="0" w:color="auto"/>
              <w:right w:val="nil"/>
            </w:tcBorders>
            <w:shd w:val="clear" w:color="auto" w:fill="D9E2F3"/>
            <w:tcMar>
              <w:top w:w="80" w:type="dxa"/>
              <w:left w:w="100" w:type="dxa"/>
              <w:bottom w:w="80" w:type="dxa"/>
              <w:right w:w="100" w:type="dxa"/>
            </w:tcMar>
            <w:vAlign w:val="center"/>
          </w:tcPr>
          <w:p w14:paraId="3EF13D8B" w14:textId="77777777" w:rsidR="00160297" w:rsidRPr="00160297" w:rsidRDefault="00160297">
            <w:r w:rsidRPr="00160297">
              <w:rPr>
                <w:b/>
                <w:sz w:val="18"/>
              </w:rPr>
              <w:t>Data source</w:t>
            </w:r>
          </w:p>
        </w:tc>
        <w:tc>
          <w:tcPr>
            <w:tcW w:w="1701" w:type="dxa"/>
            <w:tcBorders>
              <w:left w:val="nil"/>
              <w:bottom w:val="single" w:sz="4" w:space="0" w:color="auto"/>
              <w:right w:val="nil"/>
            </w:tcBorders>
            <w:shd w:val="clear" w:color="auto" w:fill="D9E2F3"/>
            <w:tcMar>
              <w:top w:w="80" w:type="dxa"/>
              <w:left w:w="100" w:type="dxa"/>
              <w:bottom w:w="80" w:type="dxa"/>
              <w:right w:w="100" w:type="dxa"/>
            </w:tcMar>
            <w:vAlign w:val="center"/>
          </w:tcPr>
          <w:p w14:paraId="47D2DF0D" w14:textId="77777777" w:rsidR="00160297" w:rsidRPr="00160297" w:rsidRDefault="00160297">
            <w:r w:rsidRPr="00160297">
              <w:rPr>
                <w:b/>
                <w:sz w:val="18"/>
              </w:rPr>
              <w:t>Accession</w:t>
            </w:r>
          </w:p>
        </w:tc>
        <w:tc>
          <w:tcPr>
            <w:tcW w:w="1190" w:type="dxa"/>
            <w:tcBorders>
              <w:left w:val="nil"/>
              <w:bottom w:val="single" w:sz="4" w:space="0" w:color="auto"/>
              <w:right w:val="nil"/>
            </w:tcBorders>
            <w:shd w:val="clear" w:color="auto" w:fill="D9E2F3"/>
            <w:tcMar>
              <w:top w:w="80" w:type="dxa"/>
              <w:left w:w="100" w:type="dxa"/>
              <w:bottom w:w="80" w:type="dxa"/>
              <w:right w:w="100" w:type="dxa"/>
            </w:tcMar>
            <w:vAlign w:val="center"/>
          </w:tcPr>
          <w:p w14:paraId="7FC3E297" w14:textId="77777777" w:rsidR="00160297" w:rsidRPr="00160297" w:rsidRDefault="00160297">
            <w:r w:rsidRPr="00160297">
              <w:rPr>
                <w:b/>
                <w:sz w:val="18"/>
              </w:rPr>
              <w:t>Repository</w:t>
            </w:r>
          </w:p>
        </w:tc>
        <w:tc>
          <w:tcPr>
            <w:tcW w:w="1531" w:type="dxa"/>
            <w:tcBorders>
              <w:left w:val="nil"/>
              <w:bottom w:val="single" w:sz="4" w:space="0" w:color="auto"/>
              <w:right w:val="nil"/>
            </w:tcBorders>
            <w:shd w:val="clear" w:color="auto" w:fill="D9E2F3"/>
            <w:tcMar>
              <w:top w:w="80" w:type="dxa"/>
              <w:left w:w="100" w:type="dxa"/>
              <w:bottom w:w="80" w:type="dxa"/>
              <w:right w:w="100" w:type="dxa"/>
            </w:tcMar>
            <w:vAlign w:val="center"/>
          </w:tcPr>
          <w:p w14:paraId="18D8B823" w14:textId="77777777" w:rsidR="00160297" w:rsidRPr="00160297" w:rsidRDefault="00160297">
            <w:r w:rsidRPr="00160297">
              <w:rPr>
                <w:b/>
                <w:sz w:val="18"/>
              </w:rPr>
              <w:t>Version / release</w:t>
            </w:r>
          </w:p>
        </w:tc>
        <w:tc>
          <w:tcPr>
            <w:tcW w:w="1190" w:type="dxa"/>
            <w:tcBorders>
              <w:left w:val="nil"/>
              <w:bottom w:val="single" w:sz="4" w:space="0" w:color="auto"/>
              <w:right w:val="nil"/>
            </w:tcBorders>
            <w:shd w:val="clear" w:color="auto" w:fill="D9E2F3"/>
            <w:tcMar>
              <w:top w:w="80" w:type="dxa"/>
              <w:left w:w="100" w:type="dxa"/>
              <w:bottom w:w="80" w:type="dxa"/>
              <w:right w:w="100" w:type="dxa"/>
            </w:tcMar>
            <w:vAlign w:val="center"/>
          </w:tcPr>
          <w:p w14:paraId="68905CEA" w14:textId="77777777" w:rsidR="00160297" w:rsidRPr="00160297" w:rsidRDefault="00160297">
            <w:r w:rsidRPr="00160297">
              <w:rPr>
                <w:b/>
                <w:sz w:val="18"/>
              </w:rPr>
              <w:t>Sample type / material</w:t>
            </w:r>
          </w:p>
        </w:tc>
        <w:tc>
          <w:tcPr>
            <w:tcW w:w="1701" w:type="dxa"/>
            <w:tcBorders>
              <w:left w:val="nil"/>
              <w:bottom w:val="single" w:sz="4" w:space="0" w:color="auto"/>
              <w:right w:val="nil"/>
            </w:tcBorders>
            <w:shd w:val="clear" w:color="auto" w:fill="D9E2F3"/>
            <w:tcMar>
              <w:top w:w="80" w:type="dxa"/>
              <w:left w:w="100" w:type="dxa"/>
              <w:bottom w:w="80" w:type="dxa"/>
              <w:right w:w="100" w:type="dxa"/>
            </w:tcMar>
            <w:vAlign w:val="center"/>
          </w:tcPr>
          <w:p w14:paraId="054962FD" w14:textId="77777777" w:rsidR="00160297" w:rsidRPr="00160297" w:rsidRDefault="00160297">
            <w:r w:rsidRPr="00160297">
              <w:rPr>
                <w:b/>
                <w:sz w:val="18"/>
              </w:rPr>
              <w:t>Notes</w:t>
            </w:r>
          </w:p>
        </w:tc>
      </w:tr>
      <w:tr w:rsidR="00160297" w:rsidRPr="00160297" w14:paraId="6CEEF51D" w14:textId="77777777" w:rsidTr="00160297">
        <w:trPr>
          <w:jc w:val="center"/>
        </w:trPr>
        <w:tc>
          <w:tcPr>
            <w:tcW w:w="1361" w:type="dxa"/>
            <w:tcBorders>
              <w:left w:val="nil"/>
              <w:bottom w:val="nil"/>
              <w:right w:val="nil"/>
            </w:tcBorders>
            <w:vAlign w:val="center"/>
          </w:tcPr>
          <w:p w14:paraId="72FDF48A" w14:textId="77777777" w:rsidR="00160297" w:rsidRPr="00160297" w:rsidRDefault="00160297">
            <w:r w:rsidRPr="00160297">
              <w:rPr>
                <w:sz w:val="18"/>
              </w:rPr>
              <w:t>Population genetics</w:t>
            </w:r>
          </w:p>
        </w:tc>
        <w:tc>
          <w:tcPr>
            <w:tcW w:w="1701" w:type="dxa"/>
            <w:tcBorders>
              <w:left w:val="nil"/>
              <w:bottom w:val="nil"/>
              <w:right w:val="nil"/>
            </w:tcBorders>
            <w:vAlign w:val="center"/>
          </w:tcPr>
          <w:p w14:paraId="139B36C4" w14:textId="77777777" w:rsidR="00160297" w:rsidRPr="00160297" w:rsidRDefault="00160297">
            <w:r w:rsidRPr="00160297">
              <w:rPr>
                <w:sz w:val="18"/>
              </w:rPr>
              <w:t>FinnGen public GWAS summary statistics</w:t>
            </w:r>
          </w:p>
        </w:tc>
        <w:tc>
          <w:tcPr>
            <w:tcW w:w="1701" w:type="dxa"/>
            <w:tcBorders>
              <w:left w:val="nil"/>
              <w:bottom w:val="nil"/>
              <w:right w:val="nil"/>
            </w:tcBorders>
            <w:vAlign w:val="center"/>
          </w:tcPr>
          <w:p w14:paraId="4490AE95" w14:textId="77777777" w:rsidR="00160297" w:rsidRPr="00160297" w:rsidRDefault="00160297">
            <w:r w:rsidRPr="00160297">
              <w:rPr>
                <w:sz w:val="18"/>
              </w:rPr>
              <w:t>N/A</w:t>
            </w:r>
          </w:p>
        </w:tc>
        <w:tc>
          <w:tcPr>
            <w:tcW w:w="1190" w:type="dxa"/>
            <w:tcBorders>
              <w:left w:val="nil"/>
              <w:bottom w:val="nil"/>
              <w:right w:val="nil"/>
            </w:tcBorders>
            <w:vAlign w:val="center"/>
          </w:tcPr>
          <w:p w14:paraId="7D865880" w14:textId="77777777" w:rsidR="00160297" w:rsidRPr="00160297" w:rsidRDefault="00160297">
            <w:r w:rsidRPr="00160297">
              <w:rPr>
                <w:sz w:val="18"/>
              </w:rPr>
              <w:t>FinnGen Access Results portal</w:t>
            </w:r>
          </w:p>
        </w:tc>
        <w:tc>
          <w:tcPr>
            <w:tcW w:w="1531" w:type="dxa"/>
            <w:tcBorders>
              <w:left w:val="nil"/>
              <w:bottom w:val="nil"/>
              <w:right w:val="nil"/>
            </w:tcBorders>
            <w:vAlign w:val="center"/>
          </w:tcPr>
          <w:p w14:paraId="25FE268E" w14:textId="77777777" w:rsidR="00160297" w:rsidRPr="00160297" w:rsidRDefault="00160297">
            <w:r w:rsidRPr="00160297">
              <w:rPr>
                <w:sz w:val="18"/>
              </w:rPr>
              <w:t>Data Freeze 12 / Release 12 (DF12 / R12)</w:t>
            </w:r>
          </w:p>
        </w:tc>
        <w:tc>
          <w:tcPr>
            <w:tcW w:w="1190" w:type="dxa"/>
            <w:tcBorders>
              <w:left w:val="nil"/>
              <w:bottom w:val="nil"/>
              <w:right w:val="nil"/>
            </w:tcBorders>
            <w:vAlign w:val="center"/>
          </w:tcPr>
          <w:p w14:paraId="54B5E04A" w14:textId="77777777" w:rsidR="00160297" w:rsidRPr="00160297" w:rsidRDefault="00160297">
            <w:r w:rsidRPr="00160297">
              <w:rPr>
                <w:sz w:val="18"/>
              </w:rPr>
              <w:t>GWAS summary statistics</w:t>
            </w:r>
          </w:p>
        </w:tc>
        <w:tc>
          <w:tcPr>
            <w:tcW w:w="1701" w:type="dxa"/>
            <w:tcBorders>
              <w:left w:val="nil"/>
              <w:bottom w:val="nil"/>
              <w:right w:val="nil"/>
            </w:tcBorders>
            <w:vAlign w:val="center"/>
          </w:tcPr>
          <w:p w14:paraId="606A6699" w14:textId="77777777" w:rsidR="00160297" w:rsidRPr="00160297" w:rsidRDefault="00160297">
            <w:r w:rsidRPr="00160297">
              <w:rPr>
                <w:sz w:val="18"/>
              </w:rPr>
              <w:t>Main discovery resource for migraine- and vertigo-related summary statistics</w:t>
            </w:r>
          </w:p>
        </w:tc>
      </w:tr>
      <w:tr w:rsidR="00160297" w:rsidRPr="00160297" w14:paraId="07F80BCE" w14:textId="77777777" w:rsidTr="00160297">
        <w:trPr>
          <w:jc w:val="center"/>
        </w:trPr>
        <w:tc>
          <w:tcPr>
            <w:tcW w:w="1361" w:type="dxa"/>
            <w:tcBorders>
              <w:top w:val="nil"/>
              <w:left w:val="nil"/>
              <w:bottom w:val="nil"/>
              <w:right w:val="nil"/>
            </w:tcBorders>
            <w:vAlign w:val="center"/>
          </w:tcPr>
          <w:p w14:paraId="263E4B34" w14:textId="77777777" w:rsidR="00160297" w:rsidRPr="00160297" w:rsidRDefault="00160297">
            <w:r w:rsidRPr="00160297">
              <w:rPr>
                <w:sz w:val="18"/>
              </w:rPr>
              <w:t>Population genetics</w:t>
            </w:r>
          </w:p>
        </w:tc>
        <w:tc>
          <w:tcPr>
            <w:tcW w:w="1701" w:type="dxa"/>
            <w:tcBorders>
              <w:top w:val="nil"/>
              <w:left w:val="nil"/>
              <w:bottom w:val="nil"/>
              <w:right w:val="nil"/>
            </w:tcBorders>
            <w:vAlign w:val="center"/>
          </w:tcPr>
          <w:p w14:paraId="3ED7D27F" w14:textId="77777777" w:rsidR="00160297" w:rsidRPr="00160297" w:rsidRDefault="00160297">
            <w:r w:rsidRPr="00160297">
              <w:rPr>
                <w:sz w:val="18"/>
              </w:rPr>
              <w:t>FinnGen endpoint and control definition files</w:t>
            </w:r>
          </w:p>
        </w:tc>
        <w:tc>
          <w:tcPr>
            <w:tcW w:w="1701" w:type="dxa"/>
            <w:tcBorders>
              <w:top w:val="nil"/>
              <w:left w:val="nil"/>
              <w:bottom w:val="nil"/>
              <w:right w:val="nil"/>
            </w:tcBorders>
            <w:vAlign w:val="center"/>
          </w:tcPr>
          <w:p w14:paraId="78B32C59" w14:textId="77777777" w:rsidR="00160297" w:rsidRPr="00160297" w:rsidRDefault="00160297">
            <w:r w:rsidRPr="00160297">
              <w:rPr>
                <w:sz w:val="18"/>
              </w:rPr>
              <w:t>N/A</w:t>
            </w:r>
          </w:p>
        </w:tc>
        <w:tc>
          <w:tcPr>
            <w:tcW w:w="1190" w:type="dxa"/>
            <w:tcBorders>
              <w:top w:val="nil"/>
              <w:left w:val="nil"/>
              <w:bottom w:val="nil"/>
              <w:right w:val="nil"/>
            </w:tcBorders>
            <w:vAlign w:val="center"/>
          </w:tcPr>
          <w:p w14:paraId="0CB946D9" w14:textId="77777777" w:rsidR="00160297" w:rsidRPr="00160297" w:rsidRDefault="00160297">
            <w:r w:rsidRPr="00160297">
              <w:rPr>
                <w:sz w:val="18"/>
              </w:rPr>
              <w:t>FinnGen Clinical Endpoints</w:t>
            </w:r>
          </w:p>
        </w:tc>
        <w:tc>
          <w:tcPr>
            <w:tcW w:w="1531" w:type="dxa"/>
            <w:tcBorders>
              <w:top w:val="nil"/>
              <w:left w:val="nil"/>
              <w:bottom w:val="nil"/>
              <w:right w:val="nil"/>
            </w:tcBorders>
            <w:vAlign w:val="center"/>
          </w:tcPr>
          <w:p w14:paraId="3ADFB7B1" w14:textId="77777777" w:rsidR="00160297" w:rsidRPr="00160297" w:rsidRDefault="00160297">
            <w:r w:rsidRPr="00160297">
              <w:rPr>
                <w:sz w:val="18"/>
              </w:rPr>
              <w:t>DF12 endpoint definitions; DF12 control definitions</w:t>
            </w:r>
          </w:p>
        </w:tc>
        <w:tc>
          <w:tcPr>
            <w:tcW w:w="1190" w:type="dxa"/>
            <w:tcBorders>
              <w:top w:val="nil"/>
              <w:left w:val="nil"/>
              <w:bottom w:val="nil"/>
              <w:right w:val="nil"/>
            </w:tcBorders>
            <w:vAlign w:val="center"/>
          </w:tcPr>
          <w:p w14:paraId="3CF76A89" w14:textId="77777777" w:rsidR="00160297" w:rsidRPr="00160297" w:rsidRDefault="00160297">
            <w:r w:rsidRPr="00160297">
              <w:rPr>
                <w:sz w:val="18"/>
              </w:rPr>
              <w:t>Endpoint definition files</w:t>
            </w:r>
          </w:p>
        </w:tc>
        <w:tc>
          <w:tcPr>
            <w:tcW w:w="1701" w:type="dxa"/>
            <w:tcBorders>
              <w:top w:val="nil"/>
              <w:left w:val="nil"/>
              <w:bottom w:val="nil"/>
              <w:right w:val="nil"/>
            </w:tcBorders>
            <w:vAlign w:val="center"/>
          </w:tcPr>
          <w:p w14:paraId="7ABEE22F" w14:textId="77777777" w:rsidR="00160297" w:rsidRPr="00160297" w:rsidRDefault="00160297">
            <w:r w:rsidRPr="00160297">
              <w:rPr>
                <w:sz w:val="18"/>
              </w:rPr>
              <w:t>Used to verify phenotype definitions and control construction</w:t>
            </w:r>
          </w:p>
        </w:tc>
      </w:tr>
      <w:tr w:rsidR="00160297" w:rsidRPr="00160297" w14:paraId="3F290481" w14:textId="77777777" w:rsidTr="00160297">
        <w:trPr>
          <w:jc w:val="center"/>
        </w:trPr>
        <w:tc>
          <w:tcPr>
            <w:tcW w:w="1361" w:type="dxa"/>
            <w:tcBorders>
              <w:top w:val="nil"/>
              <w:left w:val="nil"/>
              <w:bottom w:val="nil"/>
              <w:right w:val="nil"/>
            </w:tcBorders>
            <w:vAlign w:val="center"/>
          </w:tcPr>
          <w:p w14:paraId="51E99282" w14:textId="77777777" w:rsidR="00160297" w:rsidRPr="00160297" w:rsidRDefault="00160297">
            <w:r w:rsidRPr="00160297">
              <w:rPr>
                <w:sz w:val="18"/>
              </w:rPr>
              <w:t>External anchoring</w:t>
            </w:r>
          </w:p>
        </w:tc>
        <w:tc>
          <w:tcPr>
            <w:tcW w:w="1701" w:type="dxa"/>
            <w:tcBorders>
              <w:top w:val="nil"/>
              <w:left w:val="nil"/>
              <w:bottom w:val="nil"/>
              <w:right w:val="nil"/>
            </w:tcBorders>
            <w:vAlign w:val="center"/>
          </w:tcPr>
          <w:p w14:paraId="08A679AB" w14:textId="77777777" w:rsidR="00160297" w:rsidRPr="00160297" w:rsidRDefault="00160297">
            <w:r w:rsidRPr="00160297">
              <w:rPr>
                <w:sz w:val="18"/>
              </w:rPr>
              <w:t>External vertigo GWAS meta-analysis</w:t>
            </w:r>
          </w:p>
        </w:tc>
        <w:tc>
          <w:tcPr>
            <w:tcW w:w="1701" w:type="dxa"/>
            <w:tcBorders>
              <w:top w:val="nil"/>
              <w:left w:val="nil"/>
              <w:bottom w:val="nil"/>
              <w:right w:val="nil"/>
            </w:tcBorders>
            <w:vAlign w:val="center"/>
          </w:tcPr>
          <w:p w14:paraId="759652EF" w14:textId="77777777" w:rsidR="00160297" w:rsidRPr="00160297" w:rsidRDefault="00160297">
            <w:r w:rsidRPr="00160297">
              <w:rPr>
                <w:sz w:val="18"/>
              </w:rPr>
              <w:t>GCST90085927</w:t>
            </w:r>
          </w:p>
        </w:tc>
        <w:tc>
          <w:tcPr>
            <w:tcW w:w="1190" w:type="dxa"/>
            <w:tcBorders>
              <w:top w:val="nil"/>
              <w:left w:val="nil"/>
              <w:bottom w:val="nil"/>
              <w:right w:val="nil"/>
            </w:tcBorders>
            <w:vAlign w:val="center"/>
          </w:tcPr>
          <w:p w14:paraId="22F89569" w14:textId="77777777" w:rsidR="00160297" w:rsidRPr="00160297" w:rsidRDefault="00160297">
            <w:r w:rsidRPr="00160297">
              <w:rPr>
                <w:sz w:val="18"/>
              </w:rPr>
              <w:t>GWAS Catalog</w:t>
            </w:r>
          </w:p>
        </w:tc>
        <w:tc>
          <w:tcPr>
            <w:tcW w:w="1531" w:type="dxa"/>
            <w:tcBorders>
              <w:top w:val="nil"/>
              <w:left w:val="nil"/>
              <w:bottom w:val="nil"/>
              <w:right w:val="nil"/>
            </w:tcBorders>
            <w:vAlign w:val="center"/>
          </w:tcPr>
          <w:p w14:paraId="358896EA" w14:textId="77777777" w:rsidR="00160297" w:rsidRPr="00160297" w:rsidRDefault="00160297">
            <w:r w:rsidRPr="00160297">
              <w:rPr>
                <w:sz w:val="18"/>
              </w:rPr>
              <w:t>GWAS Catalog study accession release</w:t>
            </w:r>
          </w:p>
        </w:tc>
        <w:tc>
          <w:tcPr>
            <w:tcW w:w="1190" w:type="dxa"/>
            <w:tcBorders>
              <w:top w:val="nil"/>
              <w:left w:val="nil"/>
              <w:bottom w:val="nil"/>
              <w:right w:val="nil"/>
            </w:tcBorders>
            <w:vAlign w:val="center"/>
          </w:tcPr>
          <w:p w14:paraId="618F3B87" w14:textId="77777777" w:rsidR="00160297" w:rsidRPr="00160297" w:rsidRDefault="00160297">
            <w:r w:rsidRPr="00160297">
              <w:rPr>
                <w:sz w:val="18"/>
              </w:rPr>
              <w:t>GWAS summary statistics</w:t>
            </w:r>
          </w:p>
        </w:tc>
        <w:tc>
          <w:tcPr>
            <w:tcW w:w="1701" w:type="dxa"/>
            <w:tcBorders>
              <w:top w:val="nil"/>
              <w:left w:val="nil"/>
              <w:bottom w:val="nil"/>
              <w:right w:val="nil"/>
            </w:tcBorders>
            <w:vAlign w:val="center"/>
          </w:tcPr>
          <w:p w14:paraId="4EEB97BD" w14:textId="77777777" w:rsidR="00160297" w:rsidRPr="00160297" w:rsidRDefault="00160297">
            <w:r w:rsidRPr="00160297">
              <w:rPr>
                <w:sz w:val="18"/>
              </w:rPr>
              <w:t xml:space="preserve">External vestibular-risk contextualization </w:t>
            </w:r>
            <w:r w:rsidRPr="00160297">
              <w:rPr>
                <w:sz w:val="18"/>
              </w:rPr>
              <w:lastRenderedPageBreak/>
              <w:t>and supportive replication anchor</w:t>
            </w:r>
          </w:p>
        </w:tc>
      </w:tr>
      <w:tr w:rsidR="00160297" w:rsidRPr="00160297" w14:paraId="39C30B29" w14:textId="77777777" w:rsidTr="00160297">
        <w:trPr>
          <w:jc w:val="center"/>
        </w:trPr>
        <w:tc>
          <w:tcPr>
            <w:tcW w:w="1361" w:type="dxa"/>
            <w:tcBorders>
              <w:top w:val="nil"/>
              <w:left w:val="nil"/>
              <w:bottom w:val="nil"/>
              <w:right w:val="nil"/>
            </w:tcBorders>
            <w:vAlign w:val="center"/>
          </w:tcPr>
          <w:p w14:paraId="239E9059" w14:textId="77777777" w:rsidR="00160297" w:rsidRPr="00160297" w:rsidRDefault="00160297">
            <w:r w:rsidRPr="00160297">
              <w:rPr>
                <w:sz w:val="18"/>
              </w:rPr>
              <w:lastRenderedPageBreak/>
              <w:t>Disease-labeled validation</w:t>
            </w:r>
          </w:p>
        </w:tc>
        <w:tc>
          <w:tcPr>
            <w:tcW w:w="1701" w:type="dxa"/>
            <w:tcBorders>
              <w:top w:val="nil"/>
              <w:left w:val="nil"/>
              <w:bottom w:val="nil"/>
              <w:right w:val="nil"/>
            </w:tcBorders>
            <w:vAlign w:val="center"/>
          </w:tcPr>
          <w:p w14:paraId="151464C0" w14:textId="77777777" w:rsidR="00160297" w:rsidRPr="00160297" w:rsidRDefault="00160297">
            <w:r w:rsidRPr="00160297">
              <w:rPr>
                <w:sz w:val="18"/>
              </w:rPr>
              <w:t>PBMC bulk-expression dataset</w:t>
            </w:r>
          </w:p>
        </w:tc>
        <w:tc>
          <w:tcPr>
            <w:tcW w:w="1701" w:type="dxa"/>
            <w:tcBorders>
              <w:top w:val="nil"/>
              <w:left w:val="nil"/>
              <w:bottom w:val="nil"/>
              <w:right w:val="nil"/>
            </w:tcBorders>
            <w:vAlign w:val="center"/>
          </w:tcPr>
          <w:p w14:paraId="4A69D8FD" w14:textId="77777777" w:rsidR="00160297" w:rsidRPr="00160297" w:rsidRDefault="00160297">
            <w:r w:rsidRPr="00160297">
              <w:rPr>
                <w:sz w:val="18"/>
              </w:rPr>
              <w:t>GSE109558</w:t>
            </w:r>
          </w:p>
        </w:tc>
        <w:tc>
          <w:tcPr>
            <w:tcW w:w="1190" w:type="dxa"/>
            <w:tcBorders>
              <w:top w:val="nil"/>
              <w:left w:val="nil"/>
              <w:bottom w:val="nil"/>
              <w:right w:val="nil"/>
            </w:tcBorders>
            <w:vAlign w:val="center"/>
          </w:tcPr>
          <w:p w14:paraId="59B64770" w14:textId="77777777" w:rsidR="00160297" w:rsidRPr="00160297" w:rsidRDefault="00160297">
            <w:r w:rsidRPr="00160297">
              <w:rPr>
                <w:sz w:val="18"/>
              </w:rPr>
              <w:t>NCBI Gene Expression Omnibus (GEO)</w:t>
            </w:r>
          </w:p>
        </w:tc>
        <w:tc>
          <w:tcPr>
            <w:tcW w:w="1531" w:type="dxa"/>
            <w:tcBorders>
              <w:top w:val="nil"/>
              <w:left w:val="nil"/>
              <w:bottom w:val="nil"/>
              <w:right w:val="nil"/>
            </w:tcBorders>
            <w:vAlign w:val="center"/>
          </w:tcPr>
          <w:p w14:paraId="40DF723F" w14:textId="77777777" w:rsidR="00160297" w:rsidRPr="00160297" w:rsidRDefault="00160297">
            <w:r w:rsidRPr="00160297">
              <w:rPr>
                <w:sz w:val="18"/>
              </w:rPr>
              <w:t>GEO Series</w:t>
            </w:r>
          </w:p>
        </w:tc>
        <w:tc>
          <w:tcPr>
            <w:tcW w:w="1190" w:type="dxa"/>
            <w:tcBorders>
              <w:top w:val="nil"/>
              <w:left w:val="nil"/>
              <w:bottom w:val="nil"/>
              <w:right w:val="nil"/>
            </w:tcBorders>
            <w:vAlign w:val="center"/>
          </w:tcPr>
          <w:p w14:paraId="372B45FC" w14:textId="77777777" w:rsidR="00160297" w:rsidRPr="00160297" w:rsidRDefault="00160297">
            <w:r w:rsidRPr="00160297">
              <w:rPr>
                <w:sz w:val="18"/>
              </w:rPr>
              <w:t>Bulk PBMC expression profiling</w:t>
            </w:r>
          </w:p>
        </w:tc>
        <w:tc>
          <w:tcPr>
            <w:tcW w:w="1701" w:type="dxa"/>
            <w:tcBorders>
              <w:top w:val="nil"/>
              <w:left w:val="nil"/>
              <w:bottom w:val="nil"/>
              <w:right w:val="nil"/>
            </w:tcBorders>
            <w:vAlign w:val="center"/>
          </w:tcPr>
          <w:p w14:paraId="12289404" w14:textId="77777777" w:rsidR="00160297" w:rsidRPr="00160297" w:rsidRDefault="00160297">
            <w:r w:rsidRPr="00160297">
              <w:rPr>
                <w:sz w:val="18"/>
              </w:rPr>
              <w:t>PBMC expression profiling in Meniere disease, vestibular migraine, and healthy controls</w:t>
            </w:r>
          </w:p>
        </w:tc>
      </w:tr>
      <w:tr w:rsidR="00160297" w:rsidRPr="00160297" w14:paraId="634A1704" w14:textId="77777777" w:rsidTr="00160297">
        <w:trPr>
          <w:jc w:val="center"/>
        </w:trPr>
        <w:tc>
          <w:tcPr>
            <w:tcW w:w="1361" w:type="dxa"/>
            <w:tcBorders>
              <w:top w:val="nil"/>
              <w:left w:val="nil"/>
              <w:bottom w:val="nil"/>
              <w:right w:val="nil"/>
            </w:tcBorders>
            <w:vAlign w:val="center"/>
          </w:tcPr>
          <w:p w14:paraId="0A8FF618" w14:textId="77777777" w:rsidR="00160297" w:rsidRPr="00160297" w:rsidRDefault="00160297">
            <w:r w:rsidRPr="00160297">
              <w:rPr>
                <w:sz w:val="18"/>
              </w:rPr>
              <w:t>Disease-labeled validation</w:t>
            </w:r>
          </w:p>
        </w:tc>
        <w:tc>
          <w:tcPr>
            <w:tcW w:w="1701" w:type="dxa"/>
            <w:tcBorders>
              <w:top w:val="nil"/>
              <w:left w:val="nil"/>
              <w:bottom w:val="nil"/>
              <w:right w:val="nil"/>
            </w:tcBorders>
            <w:vAlign w:val="center"/>
          </w:tcPr>
          <w:p w14:paraId="4FE0B429" w14:textId="77777777" w:rsidR="00160297" w:rsidRPr="00160297" w:rsidRDefault="00160297">
            <w:r w:rsidRPr="00160297">
              <w:rPr>
                <w:sz w:val="18"/>
              </w:rPr>
              <w:t>PBMC scRNA-seq dataset</w:t>
            </w:r>
          </w:p>
        </w:tc>
        <w:tc>
          <w:tcPr>
            <w:tcW w:w="1701" w:type="dxa"/>
            <w:tcBorders>
              <w:top w:val="nil"/>
              <w:left w:val="nil"/>
              <w:bottom w:val="nil"/>
              <w:right w:val="nil"/>
            </w:tcBorders>
            <w:vAlign w:val="center"/>
          </w:tcPr>
          <w:p w14:paraId="7A6C60A2" w14:textId="77777777" w:rsidR="00160297" w:rsidRPr="00160297" w:rsidRDefault="00160297">
            <w:r w:rsidRPr="00160297">
              <w:rPr>
                <w:sz w:val="18"/>
              </w:rPr>
              <w:t>GSE269117</w:t>
            </w:r>
          </w:p>
        </w:tc>
        <w:tc>
          <w:tcPr>
            <w:tcW w:w="1190" w:type="dxa"/>
            <w:tcBorders>
              <w:top w:val="nil"/>
              <w:left w:val="nil"/>
              <w:bottom w:val="nil"/>
              <w:right w:val="nil"/>
            </w:tcBorders>
            <w:vAlign w:val="center"/>
          </w:tcPr>
          <w:p w14:paraId="2AC41B97" w14:textId="77777777" w:rsidR="00160297" w:rsidRPr="00160297" w:rsidRDefault="00160297">
            <w:r w:rsidRPr="00160297">
              <w:rPr>
                <w:sz w:val="18"/>
              </w:rPr>
              <w:t>NCBI GEO</w:t>
            </w:r>
          </w:p>
        </w:tc>
        <w:tc>
          <w:tcPr>
            <w:tcW w:w="1531" w:type="dxa"/>
            <w:tcBorders>
              <w:top w:val="nil"/>
              <w:left w:val="nil"/>
              <w:bottom w:val="nil"/>
              <w:right w:val="nil"/>
            </w:tcBorders>
            <w:vAlign w:val="center"/>
          </w:tcPr>
          <w:p w14:paraId="406349B2" w14:textId="77777777" w:rsidR="00160297" w:rsidRPr="00160297" w:rsidRDefault="00160297">
            <w:r w:rsidRPr="00160297">
              <w:rPr>
                <w:sz w:val="18"/>
              </w:rPr>
              <w:t>GEO Series</w:t>
            </w:r>
          </w:p>
        </w:tc>
        <w:tc>
          <w:tcPr>
            <w:tcW w:w="1190" w:type="dxa"/>
            <w:tcBorders>
              <w:top w:val="nil"/>
              <w:left w:val="nil"/>
              <w:bottom w:val="nil"/>
              <w:right w:val="nil"/>
            </w:tcBorders>
            <w:vAlign w:val="center"/>
          </w:tcPr>
          <w:p w14:paraId="26FFD3A2" w14:textId="77777777" w:rsidR="00160297" w:rsidRPr="00160297" w:rsidRDefault="00160297">
            <w:r w:rsidRPr="00160297">
              <w:rPr>
                <w:sz w:val="18"/>
              </w:rPr>
              <w:t>Single-cell RNA-seq PBMC dataset</w:t>
            </w:r>
          </w:p>
        </w:tc>
        <w:tc>
          <w:tcPr>
            <w:tcW w:w="1701" w:type="dxa"/>
            <w:tcBorders>
              <w:top w:val="nil"/>
              <w:left w:val="nil"/>
              <w:bottom w:val="nil"/>
              <w:right w:val="nil"/>
            </w:tcBorders>
            <w:vAlign w:val="center"/>
          </w:tcPr>
          <w:p w14:paraId="3F66BC14" w14:textId="77777777" w:rsidR="00160297" w:rsidRPr="00160297" w:rsidRDefault="00160297">
            <w:r w:rsidRPr="00160297">
              <w:rPr>
                <w:sz w:val="18"/>
              </w:rPr>
              <w:t>Single-cell RNA-seq dataset from migraine, vestibular migraine, Meniere disease, and control PBMCs</w:t>
            </w:r>
          </w:p>
        </w:tc>
      </w:tr>
      <w:tr w:rsidR="00160297" w:rsidRPr="00160297" w14:paraId="4959517B" w14:textId="77777777" w:rsidTr="00160297">
        <w:trPr>
          <w:jc w:val="center"/>
        </w:trPr>
        <w:tc>
          <w:tcPr>
            <w:tcW w:w="1361" w:type="dxa"/>
            <w:tcBorders>
              <w:top w:val="nil"/>
              <w:left w:val="nil"/>
              <w:bottom w:val="nil"/>
              <w:right w:val="nil"/>
            </w:tcBorders>
            <w:vAlign w:val="center"/>
          </w:tcPr>
          <w:p w14:paraId="2C61E6CC" w14:textId="77777777" w:rsidR="00160297" w:rsidRPr="00160297" w:rsidRDefault="00160297">
            <w:r w:rsidRPr="00160297">
              <w:rPr>
                <w:sz w:val="18"/>
              </w:rPr>
              <w:t>Disease-labeled validation</w:t>
            </w:r>
          </w:p>
        </w:tc>
        <w:tc>
          <w:tcPr>
            <w:tcW w:w="1701" w:type="dxa"/>
            <w:tcBorders>
              <w:top w:val="nil"/>
              <w:left w:val="nil"/>
              <w:bottom w:val="nil"/>
              <w:right w:val="nil"/>
            </w:tcBorders>
            <w:vAlign w:val="center"/>
          </w:tcPr>
          <w:p w14:paraId="42DFDAA1" w14:textId="77777777" w:rsidR="00160297" w:rsidRPr="00160297" w:rsidRDefault="00160297">
            <w:r w:rsidRPr="00160297">
              <w:rPr>
                <w:sz w:val="18"/>
              </w:rPr>
              <w:t>PBMC scATAC-seq dataset</w:t>
            </w:r>
          </w:p>
        </w:tc>
        <w:tc>
          <w:tcPr>
            <w:tcW w:w="1701" w:type="dxa"/>
            <w:tcBorders>
              <w:top w:val="nil"/>
              <w:left w:val="nil"/>
              <w:bottom w:val="nil"/>
              <w:right w:val="nil"/>
            </w:tcBorders>
            <w:vAlign w:val="center"/>
          </w:tcPr>
          <w:p w14:paraId="20D32702" w14:textId="77777777" w:rsidR="00160297" w:rsidRPr="00160297" w:rsidRDefault="00160297">
            <w:r w:rsidRPr="00160297">
              <w:rPr>
                <w:sz w:val="18"/>
              </w:rPr>
              <w:t>GSE269114</w:t>
            </w:r>
          </w:p>
        </w:tc>
        <w:tc>
          <w:tcPr>
            <w:tcW w:w="1190" w:type="dxa"/>
            <w:tcBorders>
              <w:top w:val="nil"/>
              <w:left w:val="nil"/>
              <w:bottom w:val="nil"/>
              <w:right w:val="nil"/>
            </w:tcBorders>
            <w:vAlign w:val="center"/>
          </w:tcPr>
          <w:p w14:paraId="5F8C4D5E" w14:textId="77777777" w:rsidR="00160297" w:rsidRPr="00160297" w:rsidRDefault="00160297">
            <w:r w:rsidRPr="00160297">
              <w:rPr>
                <w:sz w:val="18"/>
              </w:rPr>
              <w:t>NCBI GEO</w:t>
            </w:r>
          </w:p>
        </w:tc>
        <w:tc>
          <w:tcPr>
            <w:tcW w:w="1531" w:type="dxa"/>
            <w:tcBorders>
              <w:top w:val="nil"/>
              <w:left w:val="nil"/>
              <w:bottom w:val="nil"/>
              <w:right w:val="nil"/>
            </w:tcBorders>
            <w:vAlign w:val="center"/>
          </w:tcPr>
          <w:p w14:paraId="24810098" w14:textId="77777777" w:rsidR="00160297" w:rsidRPr="00160297" w:rsidRDefault="00160297">
            <w:r w:rsidRPr="00160297">
              <w:rPr>
                <w:sz w:val="18"/>
              </w:rPr>
              <w:t>GEO Series</w:t>
            </w:r>
          </w:p>
        </w:tc>
        <w:tc>
          <w:tcPr>
            <w:tcW w:w="1190" w:type="dxa"/>
            <w:tcBorders>
              <w:top w:val="nil"/>
              <w:left w:val="nil"/>
              <w:bottom w:val="nil"/>
              <w:right w:val="nil"/>
            </w:tcBorders>
            <w:vAlign w:val="center"/>
          </w:tcPr>
          <w:p w14:paraId="21759014" w14:textId="77777777" w:rsidR="00160297" w:rsidRPr="00160297" w:rsidRDefault="00160297">
            <w:r w:rsidRPr="00160297">
              <w:rPr>
                <w:sz w:val="18"/>
              </w:rPr>
              <w:t>Single-cell ATAC-seq PBMC dataset</w:t>
            </w:r>
          </w:p>
        </w:tc>
        <w:tc>
          <w:tcPr>
            <w:tcW w:w="1701" w:type="dxa"/>
            <w:tcBorders>
              <w:top w:val="nil"/>
              <w:left w:val="nil"/>
              <w:bottom w:val="nil"/>
              <w:right w:val="nil"/>
            </w:tcBorders>
            <w:vAlign w:val="center"/>
          </w:tcPr>
          <w:p w14:paraId="3625206A" w14:textId="77777777" w:rsidR="00160297" w:rsidRPr="00160297" w:rsidRDefault="00160297">
            <w:r w:rsidRPr="00160297">
              <w:rPr>
                <w:sz w:val="18"/>
              </w:rPr>
              <w:t>Single-cell ATAC-seq companion dataset for the same PBMC multiomic study</w:t>
            </w:r>
          </w:p>
        </w:tc>
      </w:tr>
      <w:tr w:rsidR="00160297" w:rsidRPr="00160297" w14:paraId="1587D669" w14:textId="77777777" w:rsidTr="00160297">
        <w:trPr>
          <w:jc w:val="center"/>
        </w:trPr>
        <w:tc>
          <w:tcPr>
            <w:tcW w:w="1361" w:type="dxa"/>
            <w:tcBorders>
              <w:top w:val="nil"/>
              <w:left w:val="nil"/>
              <w:bottom w:val="nil"/>
              <w:right w:val="nil"/>
            </w:tcBorders>
            <w:vAlign w:val="center"/>
          </w:tcPr>
          <w:p w14:paraId="0297C6C3" w14:textId="77777777" w:rsidR="00160297" w:rsidRPr="00160297" w:rsidRDefault="00160297">
            <w:r w:rsidRPr="00160297">
              <w:rPr>
                <w:sz w:val="18"/>
              </w:rPr>
              <w:t>Cell-atlas localization</w:t>
            </w:r>
          </w:p>
        </w:tc>
        <w:tc>
          <w:tcPr>
            <w:tcW w:w="1701" w:type="dxa"/>
            <w:tcBorders>
              <w:top w:val="nil"/>
              <w:left w:val="nil"/>
              <w:bottom w:val="nil"/>
              <w:right w:val="nil"/>
            </w:tcBorders>
            <w:vAlign w:val="center"/>
          </w:tcPr>
          <w:p w14:paraId="13B0C99C" w14:textId="77777777" w:rsidR="00160297" w:rsidRPr="00160297" w:rsidRDefault="00160297">
            <w:r w:rsidRPr="00160297">
              <w:rPr>
                <w:sz w:val="18"/>
              </w:rPr>
              <w:t>Trigeminal ganglion cell atlas</w:t>
            </w:r>
          </w:p>
        </w:tc>
        <w:tc>
          <w:tcPr>
            <w:tcW w:w="1701" w:type="dxa"/>
            <w:tcBorders>
              <w:top w:val="nil"/>
              <w:left w:val="nil"/>
              <w:bottom w:val="nil"/>
              <w:right w:val="nil"/>
            </w:tcBorders>
            <w:vAlign w:val="center"/>
          </w:tcPr>
          <w:p w14:paraId="003323F2" w14:textId="77777777" w:rsidR="00160297" w:rsidRPr="00160297" w:rsidRDefault="00160297">
            <w:r w:rsidRPr="00160297">
              <w:rPr>
                <w:sz w:val="18"/>
              </w:rPr>
              <w:t>GSE197289</w:t>
            </w:r>
          </w:p>
        </w:tc>
        <w:tc>
          <w:tcPr>
            <w:tcW w:w="1190" w:type="dxa"/>
            <w:tcBorders>
              <w:top w:val="nil"/>
              <w:left w:val="nil"/>
              <w:bottom w:val="nil"/>
              <w:right w:val="nil"/>
            </w:tcBorders>
            <w:vAlign w:val="center"/>
          </w:tcPr>
          <w:p w14:paraId="44F69CDB" w14:textId="77777777" w:rsidR="00160297" w:rsidRPr="00160297" w:rsidRDefault="00160297">
            <w:r w:rsidRPr="00160297">
              <w:rPr>
                <w:sz w:val="18"/>
              </w:rPr>
              <w:t>NCBI GEO</w:t>
            </w:r>
          </w:p>
        </w:tc>
        <w:tc>
          <w:tcPr>
            <w:tcW w:w="1531" w:type="dxa"/>
            <w:tcBorders>
              <w:top w:val="nil"/>
              <w:left w:val="nil"/>
              <w:bottom w:val="nil"/>
              <w:right w:val="nil"/>
            </w:tcBorders>
            <w:vAlign w:val="center"/>
          </w:tcPr>
          <w:p w14:paraId="43EC6244" w14:textId="77777777" w:rsidR="00160297" w:rsidRPr="00160297" w:rsidRDefault="00160297">
            <w:r w:rsidRPr="00160297">
              <w:rPr>
                <w:sz w:val="18"/>
              </w:rPr>
              <w:t>GEO Series</w:t>
            </w:r>
          </w:p>
        </w:tc>
        <w:tc>
          <w:tcPr>
            <w:tcW w:w="1190" w:type="dxa"/>
            <w:tcBorders>
              <w:top w:val="nil"/>
              <w:left w:val="nil"/>
              <w:bottom w:val="nil"/>
              <w:right w:val="nil"/>
            </w:tcBorders>
            <w:vAlign w:val="center"/>
          </w:tcPr>
          <w:p w14:paraId="520F5B46" w14:textId="77777777" w:rsidR="00160297" w:rsidRPr="00160297" w:rsidRDefault="00160297">
            <w:r w:rsidRPr="00160297">
              <w:rPr>
                <w:sz w:val="18"/>
              </w:rPr>
              <w:t>Single-cell atlas resource</w:t>
            </w:r>
          </w:p>
        </w:tc>
        <w:tc>
          <w:tcPr>
            <w:tcW w:w="1701" w:type="dxa"/>
            <w:tcBorders>
              <w:top w:val="nil"/>
              <w:left w:val="nil"/>
              <w:bottom w:val="nil"/>
              <w:right w:val="nil"/>
            </w:tcBorders>
            <w:vAlign w:val="center"/>
          </w:tcPr>
          <w:p w14:paraId="322D7900" w14:textId="77777777" w:rsidR="00160297" w:rsidRPr="00160297" w:rsidRDefault="00160297">
            <w:r w:rsidRPr="00160297">
              <w:rPr>
                <w:sz w:val="18"/>
              </w:rPr>
              <w:t>Human and mouse trigeminal ganglion atlas used for cell-type localization</w:t>
            </w:r>
          </w:p>
        </w:tc>
      </w:tr>
      <w:tr w:rsidR="00160297" w:rsidRPr="00160297" w14:paraId="5D75879E" w14:textId="77777777" w:rsidTr="00160297">
        <w:trPr>
          <w:jc w:val="center"/>
        </w:trPr>
        <w:tc>
          <w:tcPr>
            <w:tcW w:w="1361" w:type="dxa"/>
            <w:tcBorders>
              <w:top w:val="nil"/>
              <w:left w:val="nil"/>
              <w:bottom w:val="nil"/>
              <w:right w:val="nil"/>
            </w:tcBorders>
            <w:vAlign w:val="center"/>
          </w:tcPr>
          <w:p w14:paraId="173932B8" w14:textId="77777777" w:rsidR="00160297" w:rsidRPr="00160297" w:rsidRDefault="00160297">
            <w:r w:rsidRPr="00160297">
              <w:rPr>
                <w:sz w:val="18"/>
              </w:rPr>
              <w:t>Cell-atlas localization</w:t>
            </w:r>
          </w:p>
        </w:tc>
        <w:tc>
          <w:tcPr>
            <w:tcW w:w="1701" w:type="dxa"/>
            <w:tcBorders>
              <w:top w:val="nil"/>
              <w:left w:val="nil"/>
              <w:bottom w:val="nil"/>
              <w:right w:val="nil"/>
            </w:tcBorders>
            <w:vAlign w:val="center"/>
          </w:tcPr>
          <w:p w14:paraId="085B75A5" w14:textId="77777777" w:rsidR="00160297" w:rsidRPr="00160297" w:rsidRDefault="00160297">
            <w:r w:rsidRPr="00160297">
              <w:rPr>
                <w:sz w:val="18"/>
              </w:rPr>
              <w:t>Human vestibular / inner-ear atlas</w:t>
            </w:r>
          </w:p>
        </w:tc>
        <w:tc>
          <w:tcPr>
            <w:tcW w:w="1701" w:type="dxa"/>
            <w:tcBorders>
              <w:top w:val="nil"/>
              <w:left w:val="nil"/>
              <w:bottom w:val="nil"/>
              <w:right w:val="nil"/>
            </w:tcBorders>
            <w:vAlign w:val="center"/>
          </w:tcPr>
          <w:p w14:paraId="37BCE248" w14:textId="77777777" w:rsidR="00160297" w:rsidRPr="00160297" w:rsidRDefault="00160297">
            <w:r w:rsidRPr="00160297">
              <w:rPr>
                <w:sz w:val="18"/>
              </w:rPr>
              <w:t>GSE213796</w:t>
            </w:r>
          </w:p>
        </w:tc>
        <w:tc>
          <w:tcPr>
            <w:tcW w:w="1190" w:type="dxa"/>
            <w:tcBorders>
              <w:top w:val="nil"/>
              <w:left w:val="nil"/>
              <w:bottom w:val="nil"/>
              <w:right w:val="nil"/>
            </w:tcBorders>
            <w:vAlign w:val="center"/>
          </w:tcPr>
          <w:p w14:paraId="6441A57E" w14:textId="77777777" w:rsidR="00160297" w:rsidRPr="00160297" w:rsidRDefault="00160297">
            <w:r w:rsidRPr="00160297">
              <w:rPr>
                <w:sz w:val="18"/>
              </w:rPr>
              <w:t>NCBI GEO</w:t>
            </w:r>
          </w:p>
        </w:tc>
        <w:tc>
          <w:tcPr>
            <w:tcW w:w="1531" w:type="dxa"/>
            <w:tcBorders>
              <w:top w:val="nil"/>
              <w:left w:val="nil"/>
              <w:bottom w:val="nil"/>
              <w:right w:val="nil"/>
            </w:tcBorders>
            <w:vAlign w:val="center"/>
          </w:tcPr>
          <w:p w14:paraId="4576BB99" w14:textId="77777777" w:rsidR="00160297" w:rsidRPr="00160297" w:rsidRDefault="00160297">
            <w:r w:rsidRPr="00160297">
              <w:rPr>
                <w:sz w:val="18"/>
              </w:rPr>
              <w:t>GEO Series</w:t>
            </w:r>
          </w:p>
        </w:tc>
        <w:tc>
          <w:tcPr>
            <w:tcW w:w="1190" w:type="dxa"/>
            <w:tcBorders>
              <w:top w:val="nil"/>
              <w:left w:val="nil"/>
              <w:bottom w:val="nil"/>
              <w:right w:val="nil"/>
            </w:tcBorders>
            <w:vAlign w:val="center"/>
          </w:tcPr>
          <w:p w14:paraId="7E97B746" w14:textId="77777777" w:rsidR="00160297" w:rsidRPr="00160297" w:rsidRDefault="00160297">
            <w:r w:rsidRPr="00160297">
              <w:rPr>
                <w:sz w:val="18"/>
              </w:rPr>
              <w:t>Single-cell atlas resource</w:t>
            </w:r>
          </w:p>
        </w:tc>
        <w:tc>
          <w:tcPr>
            <w:tcW w:w="1701" w:type="dxa"/>
            <w:tcBorders>
              <w:top w:val="nil"/>
              <w:left w:val="nil"/>
              <w:bottom w:val="nil"/>
              <w:right w:val="nil"/>
            </w:tcBorders>
            <w:vAlign w:val="center"/>
          </w:tcPr>
          <w:p w14:paraId="1D5EEB4C" w14:textId="77777777" w:rsidR="00160297" w:rsidRPr="00160297" w:rsidRDefault="00160297">
            <w:r w:rsidRPr="00160297">
              <w:rPr>
                <w:sz w:val="18"/>
              </w:rPr>
              <w:t>Human fetal and adult inner-ear / vestibular single-cell resource</w:t>
            </w:r>
          </w:p>
        </w:tc>
      </w:tr>
      <w:tr w:rsidR="00160297" w:rsidRPr="00160297" w14:paraId="240EF15A" w14:textId="77777777" w:rsidTr="00160297">
        <w:trPr>
          <w:jc w:val="center"/>
        </w:trPr>
        <w:tc>
          <w:tcPr>
            <w:tcW w:w="1361" w:type="dxa"/>
            <w:tcBorders>
              <w:top w:val="nil"/>
              <w:left w:val="nil"/>
              <w:bottom w:val="nil"/>
              <w:right w:val="nil"/>
            </w:tcBorders>
            <w:vAlign w:val="center"/>
          </w:tcPr>
          <w:p w14:paraId="00E09D68" w14:textId="77777777" w:rsidR="00160297" w:rsidRPr="00160297" w:rsidRDefault="00160297">
            <w:r w:rsidRPr="00160297">
              <w:rPr>
                <w:sz w:val="18"/>
              </w:rPr>
              <w:t>Expression support</w:t>
            </w:r>
          </w:p>
        </w:tc>
        <w:tc>
          <w:tcPr>
            <w:tcW w:w="1701" w:type="dxa"/>
            <w:tcBorders>
              <w:top w:val="nil"/>
              <w:left w:val="nil"/>
              <w:bottom w:val="nil"/>
              <w:right w:val="nil"/>
            </w:tcBorders>
            <w:vAlign w:val="center"/>
          </w:tcPr>
          <w:p w14:paraId="44034C90" w14:textId="77777777" w:rsidR="00160297" w:rsidRPr="00160297" w:rsidRDefault="00160297">
            <w:r w:rsidRPr="00160297">
              <w:rPr>
                <w:sz w:val="18"/>
              </w:rPr>
              <w:t>GTEx regulatory reference resource</w:t>
            </w:r>
          </w:p>
        </w:tc>
        <w:tc>
          <w:tcPr>
            <w:tcW w:w="1701" w:type="dxa"/>
            <w:tcBorders>
              <w:top w:val="nil"/>
              <w:left w:val="nil"/>
              <w:bottom w:val="nil"/>
              <w:right w:val="nil"/>
            </w:tcBorders>
            <w:vAlign w:val="center"/>
          </w:tcPr>
          <w:p w14:paraId="4D9D097A" w14:textId="77777777" w:rsidR="00160297" w:rsidRPr="00160297" w:rsidRDefault="00160297">
            <w:r w:rsidRPr="00160297">
              <w:rPr>
                <w:sz w:val="18"/>
              </w:rPr>
              <w:t>N/A</w:t>
            </w:r>
          </w:p>
        </w:tc>
        <w:tc>
          <w:tcPr>
            <w:tcW w:w="1190" w:type="dxa"/>
            <w:tcBorders>
              <w:top w:val="nil"/>
              <w:left w:val="nil"/>
              <w:bottom w:val="nil"/>
              <w:right w:val="nil"/>
            </w:tcBorders>
            <w:vAlign w:val="center"/>
          </w:tcPr>
          <w:p w14:paraId="1C817878" w14:textId="77777777" w:rsidR="00160297" w:rsidRPr="00160297" w:rsidRDefault="00160297">
            <w:r w:rsidRPr="00160297">
              <w:rPr>
                <w:sz w:val="18"/>
              </w:rPr>
              <w:t>GTEx Portal</w:t>
            </w:r>
          </w:p>
        </w:tc>
        <w:tc>
          <w:tcPr>
            <w:tcW w:w="1531" w:type="dxa"/>
            <w:tcBorders>
              <w:top w:val="nil"/>
              <w:left w:val="nil"/>
              <w:bottom w:val="nil"/>
              <w:right w:val="nil"/>
            </w:tcBorders>
            <w:vAlign w:val="center"/>
          </w:tcPr>
          <w:p w14:paraId="2DF763B2" w14:textId="77777777" w:rsidR="00160297" w:rsidRPr="00160297" w:rsidRDefault="00160297">
            <w:r w:rsidRPr="00160297">
              <w:rPr>
                <w:sz w:val="18"/>
              </w:rPr>
              <w:t>GTEx Analysis V11</w:t>
            </w:r>
          </w:p>
        </w:tc>
        <w:tc>
          <w:tcPr>
            <w:tcW w:w="1190" w:type="dxa"/>
            <w:tcBorders>
              <w:top w:val="nil"/>
              <w:left w:val="nil"/>
              <w:bottom w:val="nil"/>
              <w:right w:val="nil"/>
            </w:tcBorders>
            <w:vAlign w:val="center"/>
          </w:tcPr>
          <w:p w14:paraId="69F3A63D" w14:textId="77777777" w:rsidR="00160297" w:rsidRPr="00160297" w:rsidRDefault="00160297">
            <w:r w:rsidRPr="00160297">
              <w:rPr>
                <w:sz w:val="18"/>
              </w:rPr>
              <w:t>Reference expression / regulatory resource</w:t>
            </w:r>
          </w:p>
        </w:tc>
        <w:tc>
          <w:tcPr>
            <w:tcW w:w="1701" w:type="dxa"/>
            <w:tcBorders>
              <w:top w:val="nil"/>
              <w:left w:val="nil"/>
              <w:bottom w:val="nil"/>
              <w:right w:val="nil"/>
            </w:tcBorders>
            <w:vAlign w:val="center"/>
          </w:tcPr>
          <w:p w14:paraId="433D5C69" w14:textId="77777777" w:rsidR="00160297" w:rsidRPr="00160297" w:rsidRDefault="00160297">
            <w:r w:rsidRPr="00160297">
              <w:rPr>
                <w:sz w:val="18"/>
              </w:rPr>
              <w:t>Used as optional supporting resource for expression- and eQTL-based interpretation</w:t>
            </w:r>
          </w:p>
        </w:tc>
      </w:tr>
      <w:tr w:rsidR="00160297" w:rsidRPr="00160297" w14:paraId="7A46787D" w14:textId="77777777" w:rsidTr="00160297">
        <w:trPr>
          <w:jc w:val="center"/>
        </w:trPr>
        <w:tc>
          <w:tcPr>
            <w:tcW w:w="1361" w:type="dxa"/>
            <w:tcBorders>
              <w:top w:val="nil"/>
              <w:left w:val="nil"/>
              <w:bottom w:val="nil"/>
              <w:right w:val="nil"/>
            </w:tcBorders>
            <w:vAlign w:val="center"/>
          </w:tcPr>
          <w:p w14:paraId="6C4DCEED" w14:textId="77777777" w:rsidR="00160297" w:rsidRPr="00160297" w:rsidRDefault="00160297">
            <w:r w:rsidRPr="00160297">
              <w:rPr>
                <w:sz w:val="18"/>
              </w:rPr>
              <w:t>LD reference</w:t>
            </w:r>
          </w:p>
        </w:tc>
        <w:tc>
          <w:tcPr>
            <w:tcW w:w="1701" w:type="dxa"/>
            <w:tcBorders>
              <w:top w:val="nil"/>
              <w:left w:val="nil"/>
              <w:bottom w:val="nil"/>
              <w:right w:val="nil"/>
            </w:tcBorders>
            <w:vAlign w:val="center"/>
          </w:tcPr>
          <w:p w14:paraId="00085403" w14:textId="77777777" w:rsidR="00160297" w:rsidRPr="00160297" w:rsidRDefault="00160297">
            <w:r w:rsidRPr="00160297">
              <w:rPr>
                <w:sz w:val="18"/>
              </w:rPr>
              <w:t>LD reference resource</w:t>
            </w:r>
          </w:p>
        </w:tc>
        <w:tc>
          <w:tcPr>
            <w:tcW w:w="1701" w:type="dxa"/>
            <w:tcBorders>
              <w:top w:val="nil"/>
              <w:left w:val="nil"/>
              <w:bottom w:val="nil"/>
              <w:right w:val="nil"/>
            </w:tcBorders>
            <w:vAlign w:val="center"/>
          </w:tcPr>
          <w:p w14:paraId="5A8B9895" w14:textId="77777777" w:rsidR="00160297" w:rsidRPr="00160297" w:rsidRDefault="00160297">
            <w:r w:rsidRPr="00160297">
              <w:rPr>
                <w:sz w:val="18"/>
              </w:rPr>
              <w:t>N/A</w:t>
            </w:r>
          </w:p>
        </w:tc>
        <w:tc>
          <w:tcPr>
            <w:tcW w:w="1190" w:type="dxa"/>
            <w:tcBorders>
              <w:top w:val="nil"/>
              <w:left w:val="nil"/>
              <w:bottom w:val="nil"/>
              <w:right w:val="nil"/>
            </w:tcBorders>
            <w:vAlign w:val="center"/>
          </w:tcPr>
          <w:p w14:paraId="38696D63" w14:textId="77777777" w:rsidR="00160297" w:rsidRPr="00160297" w:rsidRDefault="00160297">
            <w:r w:rsidRPr="00160297">
              <w:rPr>
                <w:sz w:val="18"/>
              </w:rPr>
              <w:t>International Genome Sample Resource (IGSR) / 1000 Genomes Project</w:t>
            </w:r>
          </w:p>
        </w:tc>
        <w:tc>
          <w:tcPr>
            <w:tcW w:w="1531" w:type="dxa"/>
            <w:tcBorders>
              <w:top w:val="nil"/>
              <w:left w:val="nil"/>
              <w:bottom w:val="nil"/>
              <w:right w:val="nil"/>
            </w:tcBorders>
            <w:vAlign w:val="center"/>
          </w:tcPr>
          <w:p w14:paraId="3F964D9A" w14:textId="77777777" w:rsidR="00160297" w:rsidRPr="00160297" w:rsidRDefault="00160297">
            <w:r w:rsidRPr="00160297">
              <w:rPr>
                <w:sz w:val="18"/>
              </w:rPr>
              <w:t>Phase 3</w:t>
            </w:r>
          </w:p>
        </w:tc>
        <w:tc>
          <w:tcPr>
            <w:tcW w:w="1190" w:type="dxa"/>
            <w:tcBorders>
              <w:top w:val="nil"/>
              <w:left w:val="nil"/>
              <w:bottom w:val="nil"/>
              <w:right w:val="nil"/>
            </w:tcBorders>
            <w:vAlign w:val="center"/>
          </w:tcPr>
          <w:p w14:paraId="1FE0459F" w14:textId="77777777" w:rsidR="00160297" w:rsidRPr="00160297" w:rsidRDefault="00160297">
            <w:r w:rsidRPr="00160297">
              <w:rPr>
                <w:sz w:val="18"/>
              </w:rPr>
              <w:t>Linkage disequilibrium reference panel</w:t>
            </w:r>
          </w:p>
        </w:tc>
        <w:tc>
          <w:tcPr>
            <w:tcW w:w="1701" w:type="dxa"/>
            <w:tcBorders>
              <w:top w:val="nil"/>
              <w:left w:val="nil"/>
              <w:bottom w:val="nil"/>
              <w:right w:val="nil"/>
            </w:tcBorders>
            <w:vAlign w:val="center"/>
          </w:tcPr>
          <w:p w14:paraId="79DBA499" w14:textId="77777777" w:rsidR="00160297" w:rsidRPr="00160297" w:rsidRDefault="00160297">
            <w:r w:rsidRPr="00160297">
              <w:rPr>
                <w:sz w:val="18"/>
              </w:rPr>
              <w:t>Optional linkage disequilibrium reference resource</w:t>
            </w:r>
          </w:p>
        </w:tc>
      </w:tr>
      <w:tr w:rsidR="00160297" w:rsidRPr="00160297" w14:paraId="6B0853BE" w14:textId="77777777" w:rsidTr="00160297">
        <w:trPr>
          <w:jc w:val="center"/>
        </w:trPr>
        <w:tc>
          <w:tcPr>
            <w:tcW w:w="1361" w:type="dxa"/>
            <w:tcBorders>
              <w:top w:val="nil"/>
              <w:left w:val="nil"/>
              <w:right w:val="nil"/>
            </w:tcBorders>
            <w:vAlign w:val="center"/>
          </w:tcPr>
          <w:p w14:paraId="7C895DCD" w14:textId="77777777" w:rsidR="00160297" w:rsidRPr="00160297" w:rsidRDefault="00160297">
            <w:r w:rsidRPr="00160297">
              <w:rPr>
                <w:sz w:val="18"/>
              </w:rPr>
              <w:t>Candidate prioritization</w:t>
            </w:r>
          </w:p>
        </w:tc>
        <w:tc>
          <w:tcPr>
            <w:tcW w:w="1701" w:type="dxa"/>
            <w:tcBorders>
              <w:top w:val="nil"/>
              <w:left w:val="nil"/>
              <w:right w:val="nil"/>
            </w:tcBorders>
            <w:vAlign w:val="center"/>
          </w:tcPr>
          <w:p w14:paraId="3CE06E32" w14:textId="77777777" w:rsidR="00160297" w:rsidRPr="00160297" w:rsidRDefault="00160297">
            <w:r w:rsidRPr="00160297">
              <w:rPr>
                <w:sz w:val="18"/>
              </w:rPr>
              <w:t>candidate_genes_final.csv</w:t>
            </w:r>
          </w:p>
        </w:tc>
        <w:tc>
          <w:tcPr>
            <w:tcW w:w="1701" w:type="dxa"/>
            <w:tcBorders>
              <w:top w:val="nil"/>
              <w:left w:val="nil"/>
              <w:right w:val="nil"/>
            </w:tcBorders>
            <w:vAlign w:val="center"/>
          </w:tcPr>
          <w:p w14:paraId="08F03D39" w14:textId="77777777" w:rsidR="00160297" w:rsidRPr="00160297" w:rsidRDefault="00160297">
            <w:r w:rsidRPr="00160297">
              <w:rPr>
                <w:sz w:val="18"/>
              </w:rPr>
              <w:t>Derived study output</w:t>
            </w:r>
          </w:p>
        </w:tc>
        <w:tc>
          <w:tcPr>
            <w:tcW w:w="1190" w:type="dxa"/>
            <w:tcBorders>
              <w:top w:val="nil"/>
              <w:left w:val="nil"/>
              <w:right w:val="nil"/>
            </w:tcBorders>
            <w:vAlign w:val="center"/>
          </w:tcPr>
          <w:p w14:paraId="03696B02" w14:textId="77777777" w:rsidR="00160297" w:rsidRPr="00160297" w:rsidRDefault="00160297">
            <w:r w:rsidRPr="00160297">
              <w:rPr>
                <w:sz w:val="18"/>
              </w:rPr>
              <w:t>Study-generated processed output</w:t>
            </w:r>
          </w:p>
        </w:tc>
        <w:tc>
          <w:tcPr>
            <w:tcW w:w="1531" w:type="dxa"/>
            <w:tcBorders>
              <w:top w:val="nil"/>
              <w:left w:val="nil"/>
              <w:right w:val="nil"/>
            </w:tcBorders>
            <w:vAlign w:val="center"/>
          </w:tcPr>
          <w:p w14:paraId="7E3AE126" w14:textId="77777777" w:rsidR="00160297" w:rsidRPr="00160297" w:rsidRDefault="00160297">
            <w:r w:rsidRPr="00160297">
              <w:rPr>
                <w:sz w:val="18"/>
              </w:rPr>
              <w:t>Manuscript revision package</w:t>
            </w:r>
          </w:p>
        </w:tc>
        <w:tc>
          <w:tcPr>
            <w:tcW w:w="1190" w:type="dxa"/>
            <w:tcBorders>
              <w:top w:val="nil"/>
              <w:left w:val="nil"/>
              <w:right w:val="nil"/>
            </w:tcBorders>
            <w:vAlign w:val="center"/>
          </w:tcPr>
          <w:p w14:paraId="27C9F1DC" w14:textId="77777777" w:rsidR="00160297" w:rsidRPr="00160297" w:rsidRDefault="00160297">
            <w:r w:rsidRPr="00160297">
              <w:rPr>
                <w:sz w:val="18"/>
              </w:rPr>
              <w:t>Final integrated candidate list</w:t>
            </w:r>
          </w:p>
        </w:tc>
        <w:tc>
          <w:tcPr>
            <w:tcW w:w="1701" w:type="dxa"/>
            <w:tcBorders>
              <w:top w:val="nil"/>
              <w:left w:val="nil"/>
              <w:right w:val="nil"/>
            </w:tcBorders>
            <w:vAlign w:val="center"/>
          </w:tcPr>
          <w:p w14:paraId="09505CE4" w14:textId="77777777" w:rsidR="00160297" w:rsidRPr="00160297" w:rsidRDefault="00160297">
            <w:r w:rsidRPr="00160297">
              <w:rPr>
                <w:sz w:val="18"/>
              </w:rPr>
              <w:t>Integrated evidence summary for the six prioritized genes</w:t>
            </w:r>
          </w:p>
        </w:tc>
      </w:tr>
    </w:tbl>
    <w:p w14:paraId="398193B7" w14:textId="77777777" w:rsidR="00007BCE" w:rsidRPr="00160297" w:rsidRDefault="00007BCE"/>
    <w:p w14:paraId="3B0C9857" w14:textId="77777777" w:rsidR="00007BCE" w:rsidRPr="00160297" w:rsidRDefault="00000000">
      <w:r w:rsidRPr="00160297">
        <w:t>Note. Supplementary Table S1 records accession identifiers, source repositories, versions or releases, and access dates for the public resources used in the submitted analysis package. Trait-level FinnGen endpoint labels and file-level download names can be added in the final submission files if the journal requests a more granular inventory.</w:t>
      </w:r>
    </w:p>
    <w:p w14:paraId="6D3D18AB" w14:textId="77777777" w:rsidR="00007BCE" w:rsidRPr="00160297" w:rsidRDefault="00007BCE"/>
    <w:p w14:paraId="5BE85ADF" w14:textId="77777777" w:rsidR="00007BCE" w:rsidRPr="00160297" w:rsidRDefault="00000000">
      <w:pPr>
        <w:pStyle w:val="21"/>
        <w:rPr>
          <w:color w:val="auto"/>
        </w:rPr>
      </w:pPr>
      <w:r w:rsidRPr="00160297">
        <w:rPr>
          <w:color w:val="auto"/>
        </w:rPr>
        <w:lastRenderedPageBreak/>
        <w:t>Supplementary Table S2. Inferential boundaries and evidentiary roles</w:t>
      </w:r>
    </w:p>
    <w:tbl>
      <w:tblPr>
        <w:tblStyle w:val="aff1"/>
        <w:tblW w:w="0" w:type="auto"/>
        <w:jc w:val="center"/>
        <w:tblLayout w:type="fixed"/>
        <w:tblLook w:val="04A0" w:firstRow="1" w:lastRow="0" w:firstColumn="1" w:lastColumn="0" w:noHBand="0" w:noVBand="1"/>
      </w:tblPr>
      <w:tblGrid>
        <w:gridCol w:w="1701"/>
        <w:gridCol w:w="2494"/>
        <w:gridCol w:w="2494"/>
        <w:gridCol w:w="1247"/>
        <w:gridCol w:w="1701"/>
      </w:tblGrid>
      <w:tr w:rsidR="00160297" w:rsidRPr="00160297" w14:paraId="158DE083" w14:textId="77777777" w:rsidTr="00160297">
        <w:trPr>
          <w:tblHeader/>
          <w:jc w:val="center"/>
        </w:trPr>
        <w:tc>
          <w:tcPr>
            <w:tcW w:w="1701" w:type="dxa"/>
            <w:tcBorders>
              <w:left w:val="nil"/>
              <w:bottom w:val="single" w:sz="4" w:space="0" w:color="auto"/>
              <w:right w:val="nil"/>
            </w:tcBorders>
            <w:shd w:val="clear" w:color="auto" w:fill="D9E2F3"/>
            <w:tcMar>
              <w:top w:w="80" w:type="dxa"/>
              <w:left w:w="100" w:type="dxa"/>
              <w:bottom w:w="80" w:type="dxa"/>
              <w:right w:w="100" w:type="dxa"/>
            </w:tcMar>
            <w:vAlign w:val="center"/>
          </w:tcPr>
          <w:p w14:paraId="7BF2F580" w14:textId="77777777" w:rsidR="00007BCE" w:rsidRPr="00160297" w:rsidRDefault="00000000">
            <w:pPr>
              <w:spacing w:line="259" w:lineRule="auto"/>
              <w:jc w:val="center"/>
            </w:pPr>
            <w:r w:rsidRPr="00160297">
              <w:rPr>
                <w:b/>
                <w:sz w:val="18"/>
              </w:rPr>
              <w:t>Evidence layer</w:t>
            </w:r>
          </w:p>
        </w:tc>
        <w:tc>
          <w:tcPr>
            <w:tcW w:w="2494" w:type="dxa"/>
            <w:tcBorders>
              <w:left w:val="nil"/>
              <w:bottom w:val="single" w:sz="4" w:space="0" w:color="auto"/>
              <w:right w:val="nil"/>
            </w:tcBorders>
            <w:shd w:val="clear" w:color="auto" w:fill="D9E2F3"/>
            <w:tcMar>
              <w:top w:w="80" w:type="dxa"/>
              <w:left w:w="100" w:type="dxa"/>
              <w:bottom w:w="80" w:type="dxa"/>
              <w:right w:w="100" w:type="dxa"/>
            </w:tcMar>
            <w:vAlign w:val="center"/>
          </w:tcPr>
          <w:p w14:paraId="32C11D32" w14:textId="77777777" w:rsidR="00007BCE" w:rsidRPr="00160297" w:rsidRDefault="00000000">
            <w:pPr>
              <w:spacing w:line="259" w:lineRule="auto"/>
              <w:jc w:val="center"/>
            </w:pPr>
            <w:r w:rsidRPr="00160297">
              <w:rPr>
                <w:b/>
                <w:sz w:val="18"/>
              </w:rPr>
              <w:t>What this layer was designed to support</w:t>
            </w:r>
          </w:p>
        </w:tc>
        <w:tc>
          <w:tcPr>
            <w:tcW w:w="2494" w:type="dxa"/>
            <w:tcBorders>
              <w:left w:val="nil"/>
              <w:bottom w:val="single" w:sz="4" w:space="0" w:color="auto"/>
              <w:right w:val="nil"/>
            </w:tcBorders>
            <w:shd w:val="clear" w:color="auto" w:fill="D9E2F3"/>
            <w:tcMar>
              <w:top w:w="80" w:type="dxa"/>
              <w:left w:w="100" w:type="dxa"/>
              <w:bottom w:w="80" w:type="dxa"/>
              <w:right w:w="100" w:type="dxa"/>
            </w:tcMar>
            <w:vAlign w:val="center"/>
          </w:tcPr>
          <w:p w14:paraId="3589DE02" w14:textId="77777777" w:rsidR="00007BCE" w:rsidRPr="00160297" w:rsidRDefault="00000000">
            <w:pPr>
              <w:spacing w:line="259" w:lineRule="auto"/>
              <w:jc w:val="center"/>
            </w:pPr>
            <w:r w:rsidRPr="00160297">
              <w:rPr>
                <w:b/>
                <w:sz w:val="18"/>
              </w:rPr>
              <w:t>What this layer cannot support on its own</w:t>
            </w:r>
          </w:p>
        </w:tc>
        <w:tc>
          <w:tcPr>
            <w:tcW w:w="1247" w:type="dxa"/>
            <w:tcBorders>
              <w:left w:val="nil"/>
              <w:bottom w:val="single" w:sz="4" w:space="0" w:color="auto"/>
              <w:right w:val="nil"/>
            </w:tcBorders>
            <w:shd w:val="clear" w:color="auto" w:fill="D9E2F3"/>
            <w:tcMar>
              <w:top w:w="80" w:type="dxa"/>
              <w:left w:w="100" w:type="dxa"/>
              <w:bottom w:w="80" w:type="dxa"/>
              <w:right w:w="100" w:type="dxa"/>
            </w:tcMar>
            <w:vAlign w:val="center"/>
          </w:tcPr>
          <w:p w14:paraId="0516BA36" w14:textId="77777777" w:rsidR="00007BCE" w:rsidRPr="00160297" w:rsidRDefault="00000000">
            <w:pPr>
              <w:spacing w:line="259" w:lineRule="auto"/>
              <w:jc w:val="center"/>
            </w:pPr>
            <w:r w:rsidRPr="00160297">
              <w:rPr>
                <w:b/>
                <w:sz w:val="18"/>
              </w:rPr>
              <w:t>Interpretive weight in the manuscript</w:t>
            </w:r>
          </w:p>
        </w:tc>
        <w:tc>
          <w:tcPr>
            <w:tcW w:w="1701" w:type="dxa"/>
            <w:tcBorders>
              <w:left w:val="nil"/>
              <w:bottom w:val="single" w:sz="4" w:space="0" w:color="auto"/>
              <w:right w:val="nil"/>
            </w:tcBorders>
            <w:shd w:val="clear" w:color="auto" w:fill="D9E2F3"/>
            <w:tcMar>
              <w:top w:w="80" w:type="dxa"/>
              <w:left w:w="100" w:type="dxa"/>
              <w:bottom w:w="80" w:type="dxa"/>
              <w:right w:w="100" w:type="dxa"/>
            </w:tcMar>
            <w:vAlign w:val="center"/>
          </w:tcPr>
          <w:p w14:paraId="53F26808" w14:textId="77777777" w:rsidR="00007BCE" w:rsidRPr="00160297" w:rsidRDefault="00000000">
            <w:pPr>
              <w:spacing w:line="259" w:lineRule="auto"/>
              <w:jc w:val="center"/>
            </w:pPr>
            <w:r w:rsidRPr="00160297">
              <w:rPr>
                <w:b/>
                <w:sz w:val="18"/>
              </w:rPr>
              <w:t>Recommended wording in text</w:t>
            </w:r>
          </w:p>
        </w:tc>
      </w:tr>
      <w:tr w:rsidR="00160297" w:rsidRPr="00160297" w14:paraId="4115778E" w14:textId="77777777" w:rsidTr="00160297">
        <w:trPr>
          <w:jc w:val="center"/>
        </w:trPr>
        <w:tc>
          <w:tcPr>
            <w:tcW w:w="1701" w:type="dxa"/>
            <w:tcBorders>
              <w:left w:val="nil"/>
              <w:bottom w:val="nil"/>
              <w:right w:val="nil"/>
            </w:tcBorders>
            <w:tcMar>
              <w:top w:w="80" w:type="dxa"/>
              <w:left w:w="100" w:type="dxa"/>
              <w:bottom w:w="80" w:type="dxa"/>
              <w:right w:w="100" w:type="dxa"/>
            </w:tcMar>
            <w:vAlign w:val="center"/>
          </w:tcPr>
          <w:p w14:paraId="7EEAC0C0" w14:textId="77777777" w:rsidR="00007BCE" w:rsidRPr="00160297" w:rsidRDefault="00000000">
            <w:pPr>
              <w:spacing w:line="259" w:lineRule="auto"/>
            </w:pPr>
            <w:r w:rsidRPr="00160297">
              <w:rPr>
                <w:sz w:val="18"/>
              </w:rPr>
              <w:t>Genome-wide cross-trait correlation</w:t>
            </w:r>
          </w:p>
        </w:tc>
        <w:tc>
          <w:tcPr>
            <w:tcW w:w="2494" w:type="dxa"/>
            <w:tcBorders>
              <w:left w:val="nil"/>
              <w:bottom w:val="nil"/>
              <w:right w:val="nil"/>
            </w:tcBorders>
            <w:tcMar>
              <w:top w:w="80" w:type="dxa"/>
              <w:left w:w="100" w:type="dxa"/>
              <w:bottom w:w="80" w:type="dxa"/>
              <w:right w:w="100" w:type="dxa"/>
            </w:tcMar>
            <w:vAlign w:val="center"/>
          </w:tcPr>
          <w:p w14:paraId="0EF18AAD" w14:textId="77777777" w:rsidR="00007BCE" w:rsidRPr="00160297" w:rsidRDefault="00000000">
            <w:pPr>
              <w:spacing w:line="259" w:lineRule="auto"/>
            </w:pPr>
            <w:r w:rsidRPr="00160297">
              <w:rPr>
                <w:sz w:val="18"/>
              </w:rPr>
              <w:t>Evidence of shared polygenic architecture between migraine-related and vertigo-related phenotypes</w:t>
            </w:r>
          </w:p>
        </w:tc>
        <w:tc>
          <w:tcPr>
            <w:tcW w:w="2494" w:type="dxa"/>
            <w:tcBorders>
              <w:left w:val="nil"/>
              <w:bottom w:val="nil"/>
              <w:right w:val="nil"/>
            </w:tcBorders>
            <w:tcMar>
              <w:top w:w="80" w:type="dxa"/>
              <w:left w:w="100" w:type="dxa"/>
              <w:bottom w:w="80" w:type="dxa"/>
              <w:right w:w="100" w:type="dxa"/>
            </w:tcMar>
            <w:vAlign w:val="center"/>
          </w:tcPr>
          <w:p w14:paraId="6361CB50" w14:textId="77777777" w:rsidR="00007BCE" w:rsidRPr="00160297" w:rsidRDefault="00000000">
            <w:pPr>
              <w:spacing w:line="259" w:lineRule="auto"/>
            </w:pPr>
            <w:r w:rsidRPr="00160297">
              <w:rPr>
                <w:sz w:val="18"/>
              </w:rPr>
              <w:t>Direct identification of clinically adjudicated VM or proof of disease identity</w:t>
            </w:r>
          </w:p>
        </w:tc>
        <w:tc>
          <w:tcPr>
            <w:tcW w:w="1247" w:type="dxa"/>
            <w:tcBorders>
              <w:left w:val="nil"/>
              <w:bottom w:val="nil"/>
              <w:right w:val="nil"/>
            </w:tcBorders>
            <w:tcMar>
              <w:top w:w="80" w:type="dxa"/>
              <w:left w:w="100" w:type="dxa"/>
              <w:bottom w:w="80" w:type="dxa"/>
              <w:right w:w="100" w:type="dxa"/>
            </w:tcMar>
            <w:vAlign w:val="center"/>
          </w:tcPr>
          <w:p w14:paraId="39C1AC4E" w14:textId="77777777" w:rsidR="00007BCE" w:rsidRPr="00160297" w:rsidRDefault="00000000">
            <w:pPr>
              <w:spacing w:line="259" w:lineRule="auto"/>
            </w:pPr>
            <w:r w:rsidRPr="00160297">
              <w:rPr>
                <w:sz w:val="18"/>
              </w:rPr>
              <w:t>High</w:t>
            </w:r>
          </w:p>
        </w:tc>
        <w:tc>
          <w:tcPr>
            <w:tcW w:w="1701" w:type="dxa"/>
            <w:tcBorders>
              <w:left w:val="nil"/>
              <w:bottom w:val="nil"/>
              <w:right w:val="nil"/>
            </w:tcBorders>
            <w:tcMar>
              <w:top w:w="80" w:type="dxa"/>
              <w:left w:w="100" w:type="dxa"/>
              <w:bottom w:w="80" w:type="dxa"/>
              <w:right w:w="100" w:type="dxa"/>
            </w:tcMar>
            <w:vAlign w:val="center"/>
          </w:tcPr>
          <w:p w14:paraId="55FC09EC" w14:textId="77777777" w:rsidR="00007BCE" w:rsidRPr="00160297" w:rsidRDefault="00000000">
            <w:pPr>
              <w:spacing w:line="259" w:lineRule="auto"/>
            </w:pPr>
            <w:r w:rsidRPr="00160297">
              <w:rPr>
                <w:sz w:val="18"/>
              </w:rPr>
              <w:t>"supports shared liability"</w:t>
            </w:r>
          </w:p>
        </w:tc>
      </w:tr>
      <w:tr w:rsidR="00160297" w:rsidRPr="00160297" w14:paraId="28ACF8A9" w14:textId="77777777" w:rsidTr="00160297">
        <w:trPr>
          <w:jc w:val="center"/>
        </w:trPr>
        <w:tc>
          <w:tcPr>
            <w:tcW w:w="1701" w:type="dxa"/>
            <w:tcBorders>
              <w:top w:val="nil"/>
              <w:left w:val="nil"/>
              <w:bottom w:val="nil"/>
              <w:right w:val="nil"/>
            </w:tcBorders>
            <w:tcMar>
              <w:top w:w="80" w:type="dxa"/>
              <w:left w:w="100" w:type="dxa"/>
              <w:bottom w:w="80" w:type="dxa"/>
              <w:right w:w="100" w:type="dxa"/>
            </w:tcMar>
            <w:vAlign w:val="center"/>
          </w:tcPr>
          <w:p w14:paraId="6F984DBD" w14:textId="77777777" w:rsidR="00007BCE" w:rsidRPr="00160297" w:rsidRDefault="00000000">
            <w:pPr>
              <w:spacing w:line="259" w:lineRule="auto"/>
            </w:pPr>
            <w:r w:rsidRPr="00160297">
              <w:rPr>
                <w:sz w:val="18"/>
              </w:rPr>
              <w:t>Local overlap / shared-liability loci</w:t>
            </w:r>
          </w:p>
        </w:tc>
        <w:tc>
          <w:tcPr>
            <w:tcW w:w="2494" w:type="dxa"/>
            <w:tcBorders>
              <w:top w:val="nil"/>
              <w:left w:val="nil"/>
              <w:bottom w:val="nil"/>
              <w:right w:val="nil"/>
            </w:tcBorders>
            <w:tcMar>
              <w:top w:w="80" w:type="dxa"/>
              <w:left w:w="100" w:type="dxa"/>
              <w:bottom w:w="80" w:type="dxa"/>
              <w:right w:w="100" w:type="dxa"/>
            </w:tcMar>
            <w:vAlign w:val="center"/>
          </w:tcPr>
          <w:p w14:paraId="40EB2C9E" w14:textId="77777777" w:rsidR="00007BCE" w:rsidRPr="00160297" w:rsidRDefault="00000000">
            <w:pPr>
              <w:spacing w:line="259" w:lineRule="auto"/>
            </w:pPr>
            <w:r w:rsidRPr="00160297">
              <w:rPr>
                <w:sz w:val="18"/>
              </w:rPr>
              <w:t>Regional convergence beyond diffuse background polygenicity; prioritization of candidate loci for follow-up</w:t>
            </w:r>
          </w:p>
        </w:tc>
        <w:tc>
          <w:tcPr>
            <w:tcW w:w="2494" w:type="dxa"/>
            <w:tcBorders>
              <w:top w:val="nil"/>
              <w:left w:val="nil"/>
              <w:bottom w:val="nil"/>
              <w:right w:val="nil"/>
            </w:tcBorders>
            <w:tcMar>
              <w:top w:w="80" w:type="dxa"/>
              <w:left w:w="100" w:type="dxa"/>
              <w:bottom w:w="80" w:type="dxa"/>
              <w:right w:w="100" w:type="dxa"/>
            </w:tcMar>
            <w:vAlign w:val="center"/>
          </w:tcPr>
          <w:p w14:paraId="191B850A" w14:textId="77777777" w:rsidR="00007BCE" w:rsidRPr="00160297" w:rsidRDefault="00000000">
            <w:pPr>
              <w:spacing w:line="259" w:lineRule="auto"/>
            </w:pPr>
            <w:r w:rsidRPr="00160297">
              <w:rPr>
                <w:sz w:val="18"/>
              </w:rPr>
              <w:t>Resolution of a single causal variant or proof that each locus is VM-specific</w:t>
            </w:r>
          </w:p>
        </w:tc>
        <w:tc>
          <w:tcPr>
            <w:tcW w:w="1247" w:type="dxa"/>
            <w:tcBorders>
              <w:top w:val="nil"/>
              <w:left w:val="nil"/>
              <w:bottom w:val="nil"/>
              <w:right w:val="nil"/>
            </w:tcBorders>
            <w:tcMar>
              <w:top w:w="80" w:type="dxa"/>
              <w:left w:w="100" w:type="dxa"/>
              <w:bottom w:w="80" w:type="dxa"/>
              <w:right w:w="100" w:type="dxa"/>
            </w:tcMar>
            <w:vAlign w:val="center"/>
          </w:tcPr>
          <w:p w14:paraId="4FCB89BA" w14:textId="77777777" w:rsidR="00007BCE" w:rsidRPr="00160297" w:rsidRDefault="00000000">
            <w:pPr>
              <w:spacing w:line="259" w:lineRule="auto"/>
            </w:pPr>
            <w:r w:rsidRPr="00160297">
              <w:rPr>
                <w:sz w:val="18"/>
              </w:rPr>
              <w:t>High</w:t>
            </w:r>
          </w:p>
        </w:tc>
        <w:tc>
          <w:tcPr>
            <w:tcW w:w="1701" w:type="dxa"/>
            <w:tcBorders>
              <w:top w:val="nil"/>
              <w:left w:val="nil"/>
              <w:bottom w:val="nil"/>
              <w:right w:val="nil"/>
            </w:tcBorders>
            <w:tcMar>
              <w:top w:w="80" w:type="dxa"/>
              <w:left w:w="100" w:type="dxa"/>
              <w:bottom w:w="80" w:type="dxa"/>
              <w:right w:w="100" w:type="dxa"/>
            </w:tcMar>
            <w:vAlign w:val="center"/>
          </w:tcPr>
          <w:p w14:paraId="4E6F8E25" w14:textId="77777777" w:rsidR="00007BCE" w:rsidRPr="00160297" w:rsidRDefault="00000000">
            <w:pPr>
              <w:spacing w:line="259" w:lineRule="auto"/>
            </w:pPr>
            <w:r w:rsidRPr="00160297">
              <w:rPr>
                <w:sz w:val="18"/>
              </w:rPr>
              <w:t>"supports regional convergence"</w:t>
            </w:r>
          </w:p>
        </w:tc>
      </w:tr>
      <w:tr w:rsidR="00160297" w:rsidRPr="00160297" w14:paraId="4973CCDF" w14:textId="77777777" w:rsidTr="00160297">
        <w:trPr>
          <w:jc w:val="center"/>
        </w:trPr>
        <w:tc>
          <w:tcPr>
            <w:tcW w:w="1701" w:type="dxa"/>
            <w:tcBorders>
              <w:top w:val="nil"/>
              <w:left w:val="nil"/>
              <w:bottom w:val="nil"/>
              <w:right w:val="nil"/>
            </w:tcBorders>
            <w:tcMar>
              <w:top w:w="80" w:type="dxa"/>
              <w:left w:w="100" w:type="dxa"/>
              <w:bottom w:w="80" w:type="dxa"/>
              <w:right w:w="100" w:type="dxa"/>
            </w:tcMar>
            <w:vAlign w:val="center"/>
          </w:tcPr>
          <w:p w14:paraId="0ECC2F5C" w14:textId="77777777" w:rsidR="00007BCE" w:rsidRPr="00160297" w:rsidRDefault="00000000">
            <w:pPr>
              <w:spacing w:line="259" w:lineRule="auto"/>
            </w:pPr>
            <w:r w:rsidRPr="00160297">
              <w:rPr>
                <w:sz w:val="18"/>
              </w:rPr>
              <w:t>External vertigo GWAS lookup</w:t>
            </w:r>
          </w:p>
        </w:tc>
        <w:tc>
          <w:tcPr>
            <w:tcW w:w="2494" w:type="dxa"/>
            <w:tcBorders>
              <w:top w:val="nil"/>
              <w:left w:val="nil"/>
              <w:bottom w:val="nil"/>
              <w:right w:val="nil"/>
            </w:tcBorders>
            <w:tcMar>
              <w:top w:w="80" w:type="dxa"/>
              <w:left w:w="100" w:type="dxa"/>
              <w:bottom w:w="80" w:type="dxa"/>
              <w:right w:w="100" w:type="dxa"/>
            </w:tcMar>
            <w:vAlign w:val="center"/>
          </w:tcPr>
          <w:p w14:paraId="4A41863B" w14:textId="77777777" w:rsidR="00007BCE" w:rsidRPr="00160297" w:rsidRDefault="00000000">
            <w:pPr>
              <w:spacing w:line="259" w:lineRule="auto"/>
            </w:pPr>
            <w:r w:rsidRPr="00160297">
              <w:rPr>
                <w:sz w:val="18"/>
              </w:rPr>
              <w:t>Cross-dataset consistency and supportive anchoring for discovery signals</w:t>
            </w:r>
          </w:p>
        </w:tc>
        <w:tc>
          <w:tcPr>
            <w:tcW w:w="2494" w:type="dxa"/>
            <w:tcBorders>
              <w:top w:val="nil"/>
              <w:left w:val="nil"/>
              <w:bottom w:val="nil"/>
              <w:right w:val="nil"/>
            </w:tcBorders>
            <w:tcMar>
              <w:top w:w="80" w:type="dxa"/>
              <w:left w:w="100" w:type="dxa"/>
              <w:bottom w:w="80" w:type="dxa"/>
              <w:right w:w="100" w:type="dxa"/>
            </w:tcMar>
            <w:vAlign w:val="center"/>
          </w:tcPr>
          <w:p w14:paraId="4EC76CE9" w14:textId="77777777" w:rsidR="00007BCE" w:rsidRPr="00160297" w:rsidRDefault="00000000">
            <w:pPr>
              <w:spacing w:line="259" w:lineRule="auto"/>
            </w:pPr>
            <w:r w:rsidRPr="00160297">
              <w:rPr>
                <w:sz w:val="18"/>
              </w:rPr>
              <w:t>Strict confirmatory replication of VM-specific associations</w:t>
            </w:r>
          </w:p>
        </w:tc>
        <w:tc>
          <w:tcPr>
            <w:tcW w:w="1247" w:type="dxa"/>
            <w:tcBorders>
              <w:top w:val="nil"/>
              <w:left w:val="nil"/>
              <w:bottom w:val="nil"/>
              <w:right w:val="nil"/>
            </w:tcBorders>
            <w:tcMar>
              <w:top w:w="80" w:type="dxa"/>
              <w:left w:w="100" w:type="dxa"/>
              <w:bottom w:w="80" w:type="dxa"/>
              <w:right w:w="100" w:type="dxa"/>
            </w:tcMar>
            <w:vAlign w:val="center"/>
          </w:tcPr>
          <w:p w14:paraId="53A9FA90" w14:textId="77777777" w:rsidR="00007BCE" w:rsidRPr="00160297" w:rsidRDefault="00000000">
            <w:pPr>
              <w:spacing w:line="259" w:lineRule="auto"/>
            </w:pPr>
            <w:r w:rsidRPr="00160297">
              <w:rPr>
                <w:sz w:val="18"/>
              </w:rPr>
              <w:t>Moderate</w:t>
            </w:r>
          </w:p>
        </w:tc>
        <w:tc>
          <w:tcPr>
            <w:tcW w:w="1701" w:type="dxa"/>
            <w:tcBorders>
              <w:top w:val="nil"/>
              <w:left w:val="nil"/>
              <w:bottom w:val="nil"/>
              <w:right w:val="nil"/>
            </w:tcBorders>
            <w:tcMar>
              <w:top w:w="80" w:type="dxa"/>
              <w:left w:w="100" w:type="dxa"/>
              <w:bottom w:w="80" w:type="dxa"/>
              <w:right w:w="100" w:type="dxa"/>
            </w:tcMar>
            <w:vAlign w:val="center"/>
          </w:tcPr>
          <w:p w14:paraId="3AFE50F0" w14:textId="77777777" w:rsidR="00007BCE" w:rsidRPr="00160297" w:rsidRDefault="00000000">
            <w:pPr>
              <w:spacing w:line="259" w:lineRule="auto"/>
            </w:pPr>
            <w:r w:rsidRPr="00160297">
              <w:rPr>
                <w:sz w:val="18"/>
              </w:rPr>
              <w:t>"supportive external anchoring"</w:t>
            </w:r>
          </w:p>
        </w:tc>
      </w:tr>
      <w:tr w:rsidR="00160297" w:rsidRPr="00160297" w14:paraId="26CEC862" w14:textId="77777777" w:rsidTr="00160297">
        <w:trPr>
          <w:jc w:val="center"/>
        </w:trPr>
        <w:tc>
          <w:tcPr>
            <w:tcW w:w="1701" w:type="dxa"/>
            <w:tcBorders>
              <w:top w:val="nil"/>
              <w:left w:val="nil"/>
              <w:bottom w:val="nil"/>
              <w:right w:val="nil"/>
            </w:tcBorders>
            <w:tcMar>
              <w:top w:w="80" w:type="dxa"/>
              <w:left w:w="100" w:type="dxa"/>
              <w:bottom w:w="80" w:type="dxa"/>
              <w:right w:w="100" w:type="dxa"/>
            </w:tcMar>
            <w:vAlign w:val="center"/>
          </w:tcPr>
          <w:p w14:paraId="7A875E00" w14:textId="77777777" w:rsidR="00007BCE" w:rsidRPr="00160297" w:rsidRDefault="00000000">
            <w:pPr>
              <w:spacing w:line="259" w:lineRule="auto"/>
            </w:pPr>
            <w:r w:rsidRPr="00160297">
              <w:rPr>
                <w:sz w:val="18"/>
              </w:rPr>
              <w:t>Cell-atlas localization</w:t>
            </w:r>
          </w:p>
        </w:tc>
        <w:tc>
          <w:tcPr>
            <w:tcW w:w="2494" w:type="dxa"/>
            <w:tcBorders>
              <w:top w:val="nil"/>
              <w:left w:val="nil"/>
              <w:bottom w:val="nil"/>
              <w:right w:val="nil"/>
            </w:tcBorders>
            <w:tcMar>
              <w:top w:w="80" w:type="dxa"/>
              <w:left w:w="100" w:type="dxa"/>
              <w:bottom w:w="80" w:type="dxa"/>
              <w:right w:w="100" w:type="dxa"/>
            </w:tcMar>
            <w:vAlign w:val="center"/>
          </w:tcPr>
          <w:p w14:paraId="362E21C8" w14:textId="77777777" w:rsidR="00007BCE" w:rsidRPr="00160297" w:rsidRDefault="00000000">
            <w:pPr>
              <w:spacing w:line="259" w:lineRule="auto"/>
            </w:pPr>
            <w:r w:rsidRPr="00160297">
              <w:rPr>
                <w:sz w:val="18"/>
              </w:rPr>
              <w:t>Biological localization of candidate programs to trigeminal and vestibular compartments</w:t>
            </w:r>
          </w:p>
        </w:tc>
        <w:tc>
          <w:tcPr>
            <w:tcW w:w="2494" w:type="dxa"/>
            <w:tcBorders>
              <w:top w:val="nil"/>
              <w:left w:val="nil"/>
              <w:bottom w:val="nil"/>
              <w:right w:val="nil"/>
            </w:tcBorders>
            <w:tcMar>
              <w:top w:w="80" w:type="dxa"/>
              <w:left w:w="100" w:type="dxa"/>
              <w:bottom w:w="80" w:type="dxa"/>
              <w:right w:w="100" w:type="dxa"/>
            </w:tcMar>
            <w:vAlign w:val="center"/>
          </w:tcPr>
          <w:p w14:paraId="22D2D232" w14:textId="77777777" w:rsidR="00007BCE" w:rsidRPr="00160297" w:rsidRDefault="00000000">
            <w:pPr>
              <w:spacing w:line="259" w:lineRule="auto"/>
            </w:pPr>
            <w:r w:rsidRPr="00160297">
              <w:rPr>
                <w:sz w:val="18"/>
              </w:rPr>
              <w:t>Proof of exclusive disease origin in any single cell state or direct causal mechanism</w:t>
            </w:r>
          </w:p>
        </w:tc>
        <w:tc>
          <w:tcPr>
            <w:tcW w:w="1247" w:type="dxa"/>
            <w:tcBorders>
              <w:top w:val="nil"/>
              <w:left w:val="nil"/>
              <w:bottom w:val="nil"/>
              <w:right w:val="nil"/>
            </w:tcBorders>
            <w:tcMar>
              <w:top w:w="80" w:type="dxa"/>
              <w:left w:w="100" w:type="dxa"/>
              <w:bottom w:w="80" w:type="dxa"/>
              <w:right w:w="100" w:type="dxa"/>
            </w:tcMar>
            <w:vAlign w:val="center"/>
          </w:tcPr>
          <w:p w14:paraId="0CD68828" w14:textId="77777777" w:rsidR="00007BCE" w:rsidRPr="00160297" w:rsidRDefault="00000000">
            <w:pPr>
              <w:spacing w:line="259" w:lineRule="auto"/>
            </w:pPr>
            <w:r w:rsidRPr="00160297">
              <w:rPr>
                <w:sz w:val="18"/>
              </w:rPr>
              <w:t>High-to-moderate</w:t>
            </w:r>
          </w:p>
        </w:tc>
        <w:tc>
          <w:tcPr>
            <w:tcW w:w="1701" w:type="dxa"/>
            <w:tcBorders>
              <w:top w:val="nil"/>
              <w:left w:val="nil"/>
              <w:bottom w:val="nil"/>
              <w:right w:val="nil"/>
            </w:tcBorders>
            <w:tcMar>
              <w:top w:w="80" w:type="dxa"/>
              <w:left w:w="100" w:type="dxa"/>
              <w:bottom w:w="80" w:type="dxa"/>
              <w:right w:w="100" w:type="dxa"/>
            </w:tcMar>
            <w:vAlign w:val="center"/>
          </w:tcPr>
          <w:p w14:paraId="1D321EA8" w14:textId="77777777" w:rsidR="00007BCE" w:rsidRPr="00160297" w:rsidRDefault="00000000">
            <w:pPr>
              <w:spacing w:line="259" w:lineRule="auto"/>
            </w:pPr>
            <w:r w:rsidRPr="00160297">
              <w:rPr>
                <w:sz w:val="18"/>
              </w:rPr>
              <w:t>"supports a vestibulo-trigeminal landing pattern"</w:t>
            </w:r>
          </w:p>
        </w:tc>
      </w:tr>
      <w:tr w:rsidR="00160297" w:rsidRPr="00160297" w14:paraId="35DECECE" w14:textId="77777777" w:rsidTr="00160297">
        <w:trPr>
          <w:jc w:val="center"/>
        </w:trPr>
        <w:tc>
          <w:tcPr>
            <w:tcW w:w="1701" w:type="dxa"/>
            <w:tcBorders>
              <w:top w:val="nil"/>
              <w:left w:val="nil"/>
              <w:bottom w:val="nil"/>
              <w:right w:val="nil"/>
            </w:tcBorders>
            <w:tcMar>
              <w:top w:w="80" w:type="dxa"/>
              <w:left w:w="100" w:type="dxa"/>
              <w:bottom w:w="80" w:type="dxa"/>
              <w:right w:w="100" w:type="dxa"/>
            </w:tcMar>
            <w:vAlign w:val="center"/>
          </w:tcPr>
          <w:p w14:paraId="65EA17AA" w14:textId="77777777" w:rsidR="00007BCE" w:rsidRPr="00160297" w:rsidRDefault="00000000">
            <w:pPr>
              <w:spacing w:line="259" w:lineRule="auto"/>
            </w:pPr>
            <w:proofErr w:type="spellStart"/>
            <w:r w:rsidRPr="00160297">
              <w:rPr>
                <w:sz w:val="18"/>
              </w:rPr>
              <w:t>GTEx</w:t>
            </w:r>
            <w:proofErr w:type="spellEnd"/>
            <w:r w:rsidRPr="00160297">
              <w:rPr>
                <w:sz w:val="18"/>
              </w:rPr>
              <w:t xml:space="preserve"> expression summary</w:t>
            </w:r>
          </w:p>
        </w:tc>
        <w:tc>
          <w:tcPr>
            <w:tcW w:w="2494" w:type="dxa"/>
            <w:tcBorders>
              <w:top w:val="nil"/>
              <w:left w:val="nil"/>
              <w:bottom w:val="nil"/>
              <w:right w:val="nil"/>
            </w:tcBorders>
            <w:tcMar>
              <w:top w:w="80" w:type="dxa"/>
              <w:left w:w="100" w:type="dxa"/>
              <w:bottom w:w="80" w:type="dxa"/>
              <w:right w:w="100" w:type="dxa"/>
            </w:tcMar>
            <w:vAlign w:val="center"/>
          </w:tcPr>
          <w:p w14:paraId="609ABA36" w14:textId="77777777" w:rsidR="00007BCE" w:rsidRPr="00160297" w:rsidRDefault="00000000">
            <w:pPr>
              <w:spacing w:line="259" w:lineRule="auto"/>
            </w:pPr>
            <w:r w:rsidRPr="00160297">
              <w:rPr>
                <w:sz w:val="18"/>
              </w:rPr>
              <w:t>Contextual expression support for candidate genes</w:t>
            </w:r>
          </w:p>
        </w:tc>
        <w:tc>
          <w:tcPr>
            <w:tcW w:w="2494" w:type="dxa"/>
            <w:tcBorders>
              <w:top w:val="nil"/>
              <w:left w:val="nil"/>
              <w:bottom w:val="nil"/>
              <w:right w:val="nil"/>
            </w:tcBorders>
            <w:tcMar>
              <w:top w:w="80" w:type="dxa"/>
              <w:left w:w="100" w:type="dxa"/>
              <w:bottom w:w="80" w:type="dxa"/>
              <w:right w:w="100" w:type="dxa"/>
            </w:tcMar>
            <w:vAlign w:val="center"/>
          </w:tcPr>
          <w:p w14:paraId="2AE68136" w14:textId="77777777" w:rsidR="00007BCE" w:rsidRPr="00160297" w:rsidRDefault="00000000">
            <w:pPr>
              <w:spacing w:line="259" w:lineRule="auto"/>
            </w:pPr>
            <w:r w:rsidRPr="00160297">
              <w:rPr>
                <w:sz w:val="18"/>
              </w:rPr>
              <w:t>Vestibular tissue specificity or disease-specific mechanism</w:t>
            </w:r>
          </w:p>
        </w:tc>
        <w:tc>
          <w:tcPr>
            <w:tcW w:w="1247" w:type="dxa"/>
            <w:tcBorders>
              <w:top w:val="nil"/>
              <w:left w:val="nil"/>
              <w:bottom w:val="nil"/>
              <w:right w:val="nil"/>
            </w:tcBorders>
            <w:tcMar>
              <w:top w:w="80" w:type="dxa"/>
              <w:left w:w="100" w:type="dxa"/>
              <w:bottom w:w="80" w:type="dxa"/>
              <w:right w:w="100" w:type="dxa"/>
            </w:tcMar>
            <w:vAlign w:val="center"/>
          </w:tcPr>
          <w:p w14:paraId="67F7B50E" w14:textId="77777777" w:rsidR="00007BCE" w:rsidRPr="00160297" w:rsidRDefault="00000000">
            <w:pPr>
              <w:spacing w:line="259" w:lineRule="auto"/>
            </w:pPr>
            <w:r w:rsidRPr="00160297">
              <w:rPr>
                <w:sz w:val="18"/>
              </w:rPr>
              <w:t>Low-to-moderate</w:t>
            </w:r>
          </w:p>
        </w:tc>
        <w:tc>
          <w:tcPr>
            <w:tcW w:w="1701" w:type="dxa"/>
            <w:tcBorders>
              <w:top w:val="nil"/>
              <w:left w:val="nil"/>
              <w:bottom w:val="nil"/>
              <w:right w:val="nil"/>
            </w:tcBorders>
            <w:tcMar>
              <w:top w:w="80" w:type="dxa"/>
              <w:left w:w="100" w:type="dxa"/>
              <w:bottom w:w="80" w:type="dxa"/>
              <w:right w:w="100" w:type="dxa"/>
            </w:tcMar>
            <w:vAlign w:val="center"/>
          </w:tcPr>
          <w:p w14:paraId="24E9BC05" w14:textId="77777777" w:rsidR="00007BCE" w:rsidRPr="00160297" w:rsidRDefault="00000000">
            <w:pPr>
              <w:spacing w:line="259" w:lineRule="auto"/>
            </w:pPr>
            <w:r w:rsidRPr="00160297">
              <w:rPr>
                <w:sz w:val="18"/>
              </w:rPr>
              <w:t>"auxiliary expression support"</w:t>
            </w:r>
          </w:p>
        </w:tc>
      </w:tr>
      <w:tr w:rsidR="00160297" w:rsidRPr="00160297" w14:paraId="04057070" w14:textId="77777777" w:rsidTr="00160297">
        <w:trPr>
          <w:jc w:val="center"/>
        </w:trPr>
        <w:tc>
          <w:tcPr>
            <w:tcW w:w="1701" w:type="dxa"/>
            <w:tcBorders>
              <w:top w:val="nil"/>
              <w:left w:val="nil"/>
              <w:bottom w:val="nil"/>
              <w:right w:val="nil"/>
            </w:tcBorders>
            <w:tcMar>
              <w:top w:w="80" w:type="dxa"/>
              <w:left w:w="100" w:type="dxa"/>
              <w:bottom w:w="80" w:type="dxa"/>
              <w:right w:w="100" w:type="dxa"/>
            </w:tcMar>
            <w:vAlign w:val="center"/>
          </w:tcPr>
          <w:p w14:paraId="3FB07726" w14:textId="77777777" w:rsidR="00007BCE" w:rsidRPr="00160297" w:rsidRDefault="00000000">
            <w:pPr>
              <w:spacing w:line="259" w:lineRule="auto"/>
            </w:pPr>
            <w:r w:rsidRPr="00160297">
              <w:rPr>
                <w:sz w:val="18"/>
              </w:rPr>
              <w:t>Bulk PBMC summary</w:t>
            </w:r>
          </w:p>
        </w:tc>
        <w:tc>
          <w:tcPr>
            <w:tcW w:w="2494" w:type="dxa"/>
            <w:tcBorders>
              <w:top w:val="nil"/>
              <w:left w:val="nil"/>
              <w:bottom w:val="nil"/>
              <w:right w:val="nil"/>
            </w:tcBorders>
            <w:tcMar>
              <w:top w:w="80" w:type="dxa"/>
              <w:left w:w="100" w:type="dxa"/>
              <w:bottom w:w="80" w:type="dxa"/>
              <w:right w:w="100" w:type="dxa"/>
            </w:tcMar>
            <w:vAlign w:val="center"/>
          </w:tcPr>
          <w:p w14:paraId="6FD7BD20" w14:textId="77777777" w:rsidR="00007BCE" w:rsidRPr="00160297" w:rsidRDefault="00000000">
            <w:pPr>
              <w:spacing w:line="259" w:lineRule="auto"/>
            </w:pPr>
            <w:r w:rsidRPr="00160297">
              <w:rPr>
                <w:sz w:val="18"/>
              </w:rPr>
              <w:t>Potential supportive evidence of disease relevance if interpretable</w:t>
            </w:r>
          </w:p>
        </w:tc>
        <w:tc>
          <w:tcPr>
            <w:tcW w:w="2494" w:type="dxa"/>
            <w:tcBorders>
              <w:top w:val="nil"/>
              <w:left w:val="nil"/>
              <w:bottom w:val="nil"/>
              <w:right w:val="nil"/>
            </w:tcBorders>
            <w:tcMar>
              <w:top w:w="80" w:type="dxa"/>
              <w:left w:w="100" w:type="dxa"/>
              <w:bottom w:w="80" w:type="dxa"/>
              <w:right w:w="100" w:type="dxa"/>
            </w:tcMar>
            <w:vAlign w:val="center"/>
          </w:tcPr>
          <w:p w14:paraId="427F6A0A" w14:textId="77777777" w:rsidR="00007BCE" w:rsidRPr="00160297" w:rsidRDefault="00000000">
            <w:pPr>
              <w:spacing w:line="259" w:lineRule="auto"/>
            </w:pPr>
            <w:r w:rsidRPr="00160297">
              <w:rPr>
                <w:sz w:val="18"/>
              </w:rPr>
              <w:t>Primary biological inference, tissue origin, or disease definition</w:t>
            </w:r>
          </w:p>
        </w:tc>
        <w:tc>
          <w:tcPr>
            <w:tcW w:w="1247" w:type="dxa"/>
            <w:tcBorders>
              <w:top w:val="nil"/>
              <w:left w:val="nil"/>
              <w:bottom w:val="nil"/>
              <w:right w:val="nil"/>
            </w:tcBorders>
            <w:tcMar>
              <w:top w:w="80" w:type="dxa"/>
              <w:left w:w="100" w:type="dxa"/>
              <w:bottom w:w="80" w:type="dxa"/>
              <w:right w:w="100" w:type="dxa"/>
            </w:tcMar>
            <w:vAlign w:val="center"/>
          </w:tcPr>
          <w:p w14:paraId="2D13CD63" w14:textId="77777777" w:rsidR="00007BCE" w:rsidRPr="00160297" w:rsidRDefault="00000000">
            <w:pPr>
              <w:spacing w:line="259" w:lineRule="auto"/>
            </w:pPr>
            <w:r w:rsidRPr="00160297">
              <w:rPr>
                <w:sz w:val="18"/>
              </w:rPr>
              <w:t>Low in this version</w:t>
            </w:r>
          </w:p>
        </w:tc>
        <w:tc>
          <w:tcPr>
            <w:tcW w:w="1701" w:type="dxa"/>
            <w:tcBorders>
              <w:top w:val="nil"/>
              <w:left w:val="nil"/>
              <w:bottom w:val="nil"/>
              <w:right w:val="nil"/>
            </w:tcBorders>
            <w:tcMar>
              <w:top w:w="80" w:type="dxa"/>
              <w:left w:w="100" w:type="dxa"/>
              <w:bottom w:w="80" w:type="dxa"/>
              <w:right w:w="100" w:type="dxa"/>
            </w:tcMar>
            <w:vAlign w:val="center"/>
          </w:tcPr>
          <w:p w14:paraId="6BBB1AF1" w14:textId="77777777" w:rsidR="00007BCE" w:rsidRPr="00160297" w:rsidRDefault="00000000">
            <w:pPr>
              <w:spacing w:line="259" w:lineRule="auto"/>
            </w:pPr>
            <w:r w:rsidRPr="00160297">
              <w:rPr>
                <w:sz w:val="18"/>
              </w:rPr>
              <w:t>"did not contribute interpretable support"</w:t>
            </w:r>
          </w:p>
        </w:tc>
      </w:tr>
      <w:tr w:rsidR="00160297" w:rsidRPr="00160297" w14:paraId="60F4646F" w14:textId="77777777" w:rsidTr="00160297">
        <w:trPr>
          <w:jc w:val="center"/>
        </w:trPr>
        <w:tc>
          <w:tcPr>
            <w:tcW w:w="1701" w:type="dxa"/>
            <w:tcBorders>
              <w:top w:val="nil"/>
              <w:left w:val="nil"/>
              <w:bottom w:val="nil"/>
              <w:right w:val="nil"/>
            </w:tcBorders>
            <w:tcMar>
              <w:top w:w="80" w:type="dxa"/>
              <w:left w:w="100" w:type="dxa"/>
              <w:bottom w:w="80" w:type="dxa"/>
              <w:right w:w="100" w:type="dxa"/>
            </w:tcMar>
            <w:vAlign w:val="center"/>
          </w:tcPr>
          <w:p w14:paraId="5FB726EB" w14:textId="77777777" w:rsidR="00007BCE" w:rsidRPr="00160297" w:rsidRDefault="00000000">
            <w:pPr>
              <w:spacing w:line="259" w:lineRule="auto"/>
            </w:pPr>
            <w:r w:rsidRPr="00160297">
              <w:rPr>
                <w:sz w:val="18"/>
              </w:rPr>
              <w:t xml:space="preserve">Donor-level </w:t>
            </w:r>
            <w:proofErr w:type="spellStart"/>
            <w:r w:rsidRPr="00160297">
              <w:rPr>
                <w:sz w:val="18"/>
              </w:rPr>
              <w:t>scRNA</w:t>
            </w:r>
            <w:proofErr w:type="spellEnd"/>
            <w:r w:rsidRPr="00160297">
              <w:rPr>
                <w:sz w:val="18"/>
              </w:rPr>
              <w:t xml:space="preserve"> PBMC summary</w:t>
            </w:r>
          </w:p>
        </w:tc>
        <w:tc>
          <w:tcPr>
            <w:tcW w:w="2494" w:type="dxa"/>
            <w:tcBorders>
              <w:top w:val="nil"/>
              <w:left w:val="nil"/>
              <w:bottom w:val="nil"/>
              <w:right w:val="nil"/>
            </w:tcBorders>
            <w:tcMar>
              <w:top w:w="80" w:type="dxa"/>
              <w:left w:w="100" w:type="dxa"/>
              <w:bottom w:w="80" w:type="dxa"/>
              <w:right w:w="100" w:type="dxa"/>
            </w:tcMar>
            <w:vAlign w:val="center"/>
          </w:tcPr>
          <w:p w14:paraId="105CE1FC" w14:textId="77777777" w:rsidR="00007BCE" w:rsidRPr="00160297" w:rsidRDefault="00000000">
            <w:pPr>
              <w:spacing w:line="259" w:lineRule="auto"/>
            </w:pPr>
            <w:r w:rsidRPr="00160297">
              <w:rPr>
                <w:sz w:val="18"/>
              </w:rPr>
              <w:t>Directional disease relevance support in clinically labeled samples</w:t>
            </w:r>
          </w:p>
        </w:tc>
        <w:tc>
          <w:tcPr>
            <w:tcW w:w="2494" w:type="dxa"/>
            <w:tcBorders>
              <w:top w:val="nil"/>
              <w:left w:val="nil"/>
              <w:bottom w:val="nil"/>
              <w:right w:val="nil"/>
            </w:tcBorders>
            <w:tcMar>
              <w:top w:w="80" w:type="dxa"/>
              <w:left w:w="100" w:type="dxa"/>
              <w:bottom w:w="80" w:type="dxa"/>
              <w:right w:w="100" w:type="dxa"/>
            </w:tcMar>
            <w:vAlign w:val="center"/>
          </w:tcPr>
          <w:p w14:paraId="56564781" w14:textId="77777777" w:rsidR="00007BCE" w:rsidRPr="00160297" w:rsidRDefault="00000000">
            <w:pPr>
              <w:spacing w:line="259" w:lineRule="auto"/>
            </w:pPr>
            <w:r w:rsidRPr="00160297">
              <w:rPr>
                <w:sz w:val="18"/>
              </w:rPr>
              <w:t>Definition of VM biology, tissue origin, or standalone validation</w:t>
            </w:r>
          </w:p>
        </w:tc>
        <w:tc>
          <w:tcPr>
            <w:tcW w:w="1247" w:type="dxa"/>
            <w:tcBorders>
              <w:top w:val="nil"/>
              <w:left w:val="nil"/>
              <w:bottom w:val="nil"/>
              <w:right w:val="nil"/>
            </w:tcBorders>
            <w:tcMar>
              <w:top w:w="80" w:type="dxa"/>
              <w:left w:w="100" w:type="dxa"/>
              <w:bottom w:w="80" w:type="dxa"/>
              <w:right w:w="100" w:type="dxa"/>
            </w:tcMar>
            <w:vAlign w:val="center"/>
          </w:tcPr>
          <w:p w14:paraId="4701FA3A" w14:textId="77777777" w:rsidR="00007BCE" w:rsidRPr="00160297" w:rsidRDefault="00000000">
            <w:pPr>
              <w:spacing w:line="259" w:lineRule="auto"/>
            </w:pPr>
            <w:r w:rsidRPr="00160297">
              <w:rPr>
                <w:sz w:val="18"/>
              </w:rPr>
              <w:t>Moderate but explicitly limited</w:t>
            </w:r>
          </w:p>
        </w:tc>
        <w:tc>
          <w:tcPr>
            <w:tcW w:w="1701" w:type="dxa"/>
            <w:tcBorders>
              <w:top w:val="nil"/>
              <w:left w:val="nil"/>
              <w:bottom w:val="nil"/>
              <w:right w:val="nil"/>
            </w:tcBorders>
            <w:tcMar>
              <w:top w:w="80" w:type="dxa"/>
              <w:left w:w="100" w:type="dxa"/>
              <w:bottom w:w="80" w:type="dxa"/>
              <w:right w:w="100" w:type="dxa"/>
            </w:tcMar>
            <w:vAlign w:val="center"/>
          </w:tcPr>
          <w:p w14:paraId="31E95F29" w14:textId="77777777" w:rsidR="00007BCE" w:rsidRPr="00160297" w:rsidRDefault="00000000">
            <w:pPr>
              <w:spacing w:line="259" w:lineRule="auto"/>
            </w:pPr>
            <w:r w:rsidRPr="00160297">
              <w:rPr>
                <w:sz w:val="18"/>
              </w:rPr>
              <w:t>"directionally supportive but limited"</w:t>
            </w:r>
          </w:p>
        </w:tc>
      </w:tr>
      <w:tr w:rsidR="00160297" w:rsidRPr="00160297" w14:paraId="0A8C4F62" w14:textId="77777777" w:rsidTr="00160297">
        <w:trPr>
          <w:jc w:val="center"/>
        </w:trPr>
        <w:tc>
          <w:tcPr>
            <w:tcW w:w="1701" w:type="dxa"/>
            <w:tcBorders>
              <w:top w:val="nil"/>
              <w:left w:val="nil"/>
              <w:right w:val="nil"/>
            </w:tcBorders>
            <w:tcMar>
              <w:top w:w="80" w:type="dxa"/>
              <w:left w:w="100" w:type="dxa"/>
              <w:bottom w:w="80" w:type="dxa"/>
              <w:right w:w="100" w:type="dxa"/>
            </w:tcMar>
            <w:vAlign w:val="center"/>
          </w:tcPr>
          <w:p w14:paraId="1ABDED8A" w14:textId="77777777" w:rsidR="00007BCE" w:rsidRPr="00160297" w:rsidRDefault="00000000">
            <w:pPr>
              <w:spacing w:line="259" w:lineRule="auto"/>
            </w:pPr>
            <w:r w:rsidRPr="00160297">
              <w:rPr>
                <w:sz w:val="18"/>
              </w:rPr>
              <w:t>Integrated evidence matrix</w:t>
            </w:r>
          </w:p>
        </w:tc>
        <w:tc>
          <w:tcPr>
            <w:tcW w:w="2494" w:type="dxa"/>
            <w:tcBorders>
              <w:top w:val="nil"/>
              <w:left w:val="nil"/>
              <w:right w:val="nil"/>
            </w:tcBorders>
            <w:tcMar>
              <w:top w:w="80" w:type="dxa"/>
              <w:left w:w="100" w:type="dxa"/>
              <w:bottom w:w="80" w:type="dxa"/>
              <w:right w:w="100" w:type="dxa"/>
            </w:tcMar>
            <w:vAlign w:val="center"/>
          </w:tcPr>
          <w:p w14:paraId="034E7A3D" w14:textId="77777777" w:rsidR="00007BCE" w:rsidRPr="00160297" w:rsidRDefault="00000000">
            <w:pPr>
              <w:spacing w:line="259" w:lineRule="auto"/>
            </w:pPr>
            <w:r w:rsidRPr="00160297">
              <w:rPr>
                <w:sz w:val="18"/>
              </w:rPr>
              <w:t>Cross-layer prioritization of a compact candidate set under prespecified evidentiary roles</w:t>
            </w:r>
          </w:p>
        </w:tc>
        <w:tc>
          <w:tcPr>
            <w:tcW w:w="2494" w:type="dxa"/>
            <w:tcBorders>
              <w:top w:val="nil"/>
              <w:left w:val="nil"/>
              <w:right w:val="nil"/>
            </w:tcBorders>
            <w:tcMar>
              <w:top w:w="80" w:type="dxa"/>
              <w:left w:w="100" w:type="dxa"/>
              <w:bottom w:w="80" w:type="dxa"/>
              <w:right w:w="100" w:type="dxa"/>
            </w:tcMar>
            <w:vAlign w:val="center"/>
          </w:tcPr>
          <w:p w14:paraId="74B424FD" w14:textId="77777777" w:rsidR="00007BCE" w:rsidRPr="00160297" w:rsidRDefault="00000000">
            <w:pPr>
              <w:spacing w:line="259" w:lineRule="auto"/>
            </w:pPr>
            <w:r w:rsidRPr="00160297">
              <w:rPr>
                <w:sz w:val="18"/>
              </w:rPr>
              <w:t>Formal causal proof or exhaustive ranking of all possible VM genes</w:t>
            </w:r>
          </w:p>
        </w:tc>
        <w:tc>
          <w:tcPr>
            <w:tcW w:w="1247" w:type="dxa"/>
            <w:tcBorders>
              <w:top w:val="nil"/>
              <w:left w:val="nil"/>
              <w:right w:val="nil"/>
            </w:tcBorders>
            <w:tcMar>
              <w:top w:w="80" w:type="dxa"/>
              <w:left w:w="100" w:type="dxa"/>
              <w:bottom w:w="80" w:type="dxa"/>
              <w:right w:w="100" w:type="dxa"/>
            </w:tcMar>
            <w:vAlign w:val="center"/>
          </w:tcPr>
          <w:p w14:paraId="3DFBEBE8" w14:textId="77777777" w:rsidR="00007BCE" w:rsidRPr="00160297" w:rsidRDefault="00000000">
            <w:pPr>
              <w:spacing w:line="259" w:lineRule="auto"/>
            </w:pPr>
            <w:r w:rsidRPr="00160297">
              <w:rPr>
                <w:sz w:val="18"/>
              </w:rPr>
              <w:t>High for final narrative synthesis</w:t>
            </w:r>
          </w:p>
        </w:tc>
        <w:tc>
          <w:tcPr>
            <w:tcW w:w="1701" w:type="dxa"/>
            <w:tcBorders>
              <w:top w:val="nil"/>
              <w:left w:val="nil"/>
              <w:right w:val="nil"/>
            </w:tcBorders>
            <w:tcMar>
              <w:top w:w="80" w:type="dxa"/>
              <w:left w:w="100" w:type="dxa"/>
              <w:bottom w:w="80" w:type="dxa"/>
              <w:right w:w="100" w:type="dxa"/>
            </w:tcMar>
            <w:vAlign w:val="center"/>
          </w:tcPr>
          <w:p w14:paraId="049606B7" w14:textId="77777777" w:rsidR="00007BCE" w:rsidRPr="00160297" w:rsidRDefault="00000000">
            <w:pPr>
              <w:spacing w:line="259" w:lineRule="auto"/>
            </w:pPr>
            <w:r w:rsidRPr="00160297">
              <w:rPr>
                <w:sz w:val="18"/>
              </w:rPr>
              <w:t>"supports a biologically bounded VM framework"</w:t>
            </w:r>
          </w:p>
        </w:tc>
      </w:tr>
    </w:tbl>
    <w:p w14:paraId="43CE1F38" w14:textId="77777777" w:rsidR="00007BCE" w:rsidRPr="00160297" w:rsidRDefault="00007BCE"/>
    <w:p w14:paraId="55907F29" w14:textId="77777777" w:rsidR="00007BCE" w:rsidRPr="00160297" w:rsidRDefault="00000000">
      <w:r w:rsidRPr="00160297">
        <w:t>Interpretive principle. These evidentiary roles were prespecified so that claims in the manuscript remain matched to what each layer can support on its own and in cross-layer combination.</w:t>
      </w:r>
    </w:p>
    <w:p w14:paraId="236B1D3D" w14:textId="77777777" w:rsidR="00007BCE" w:rsidRPr="00160297" w:rsidRDefault="00000000">
      <w:pPr>
        <w:pStyle w:val="21"/>
        <w:rPr>
          <w:color w:val="auto"/>
        </w:rPr>
      </w:pPr>
      <w:r w:rsidRPr="00160297">
        <w:rPr>
          <w:color w:val="auto"/>
        </w:rPr>
        <w:t>Supplementary Table S3. Data layers and analytic hierarchy</w:t>
      </w:r>
    </w:p>
    <w:tbl>
      <w:tblPr>
        <w:tblStyle w:val="aff1"/>
        <w:tblW w:w="0" w:type="auto"/>
        <w:jc w:val="center"/>
        <w:tblLayout w:type="fixed"/>
        <w:tblLook w:val="04A0" w:firstRow="1" w:lastRow="0" w:firstColumn="1" w:lastColumn="0" w:noHBand="0" w:noVBand="1"/>
      </w:tblPr>
      <w:tblGrid>
        <w:gridCol w:w="1587"/>
        <w:gridCol w:w="1984"/>
        <w:gridCol w:w="2948"/>
        <w:gridCol w:w="1587"/>
      </w:tblGrid>
      <w:tr w:rsidR="00160297" w:rsidRPr="00160297" w14:paraId="062091AB" w14:textId="77777777" w:rsidTr="00160297">
        <w:trPr>
          <w:tblHeader/>
          <w:jc w:val="center"/>
        </w:trPr>
        <w:tc>
          <w:tcPr>
            <w:tcW w:w="1587" w:type="dxa"/>
            <w:tcBorders>
              <w:left w:val="nil"/>
              <w:bottom w:val="single" w:sz="4" w:space="0" w:color="auto"/>
              <w:right w:val="nil"/>
            </w:tcBorders>
            <w:shd w:val="clear" w:color="auto" w:fill="D9E2F3"/>
            <w:tcMar>
              <w:top w:w="80" w:type="dxa"/>
              <w:left w:w="100" w:type="dxa"/>
              <w:bottom w:w="80" w:type="dxa"/>
              <w:right w:w="100" w:type="dxa"/>
            </w:tcMar>
            <w:vAlign w:val="center"/>
          </w:tcPr>
          <w:p w14:paraId="5F4D82BA" w14:textId="77777777" w:rsidR="00007BCE" w:rsidRPr="00160297" w:rsidRDefault="00000000">
            <w:pPr>
              <w:spacing w:line="259" w:lineRule="auto"/>
              <w:jc w:val="center"/>
            </w:pPr>
            <w:r w:rsidRPr="00160297">
              <w:rPr>
                <w:b/>
                <w:sz w:val="18"/>
              </w:rPr>
              <w:t>Layer</w:t>
            </w:r>
          </w:p>
        </w:tc>
        <w:tc>
          <w:tcPr>
            <w:tcW w:w="1984" w:type="dxa"/>
            <w:tcBorders>
              <w:left w:val="nil"/>
              <w:bottom w:val="single" w:sz="4" w:space="0" w:color="auto"/>
              <w:right w:val="nil"/>
            </w:tcBorders>
            <w:shd w:val="clear" w:color="auto" w:fill="D9E2F3"/>
            <w:tcMar>
              <w:top w:w="80" w:type="dxa"/>
              <w:left w:w="100" w:type="dxa"/>
              <w:bottom w:w="80" w:type="dxa"/>
              <w:right w:w="100" w:type="dxa"/>
            </w:tcMar>
            <w:vAlign w:val="center"/>
          </w:tcPr>
          <w:p w14:paraId="3B9D040B" w14:textId="77777777" w:rsidR="00007BCE" w:rsidRPr="00160297" w:rsidRDefault="00000000">
            <w:pPr>
              <w:spacing w:line="259" w:lineRule="auto"/>
              <w:jc w:val="center"/>
            </w:pPr>
            <w:r w:rsidRPr="00160297">
              <w:rPr>
                <w:b/>
                <w:sz w:val="18"/>
              </w:rPr>
              <w:t>Primary resources</w:t>
            </w:r>
          </w:p>
        </w:tc>
        <w:tc>
          <w:tcPr>
            <w:tcW w:w="2948" w:type="dxa"/>
            <w:tcBorders>
              <w:left w:val="nil"/>
              <w:bottom w:val="single" w:sz="4" w:space="0" w:color="auto"/>
              <w:right w:val="nil"/>
            </w:tcBorders>
            <w:shd w:val="clear" w:color="auto" w:fill="D9E2F3"/>
            <w:tcMar>
              <w:top w:w="80" w:type="dxa"/>
              <w:left w:w="100" w:type="dxa"/>
              <w:bottom w:w="80" w:type="dxa"/>
              <w:right w:w="100" w:type="dxa"/>
            </w:tcMar>
            <w:vAlign w:val="center"/>
          </w:tcPr>
          <w:p w14:paraId="11B0F81C" w14:textId="77777777" w:rsidR="00007BCE" w:rsidRPr="00160297" w:rsidRDefault="00000000">
            <w:pPr>
              <w:spacing w:line="259" w:lineRule="auto"/>
              <w:jc w:val="center"/>
            </w:pPr>
            <w:r w:rsidRPr="00160297">
              <w:rPr>
                <w:b/>
                <w:sz w:val="18"/>
              </w:rPr>
              <w:t>Role in inference</w:t>
            </w:r>
          </w:p>
        </w:tc>
        <w:tc>
          <w:tcPr>
            <w:tcW w:w="1587" w:type="dxa"/>
            <w:tcBorders>
              <w:left w:val="nil"/>
              <w:bottom w:val="single" w:sz="4" w:space="0" w:color="auto"/>
              <w:right w:val="nil"/>
            </w:tcBorders>
            <w:shd w:val="clear" w:color="auto" w:fill="D9E2F3"/>
            <w:tcMar>
              <w:top w:w="80" w:type="dxa"/>
              <w:left w:w="100" w:type="dxa"/>
              <w:bottom w:w="80" w:type="dxa"/>
              <w:right w:w="100" w:type="dxa"/>
            </w:tcMar>
            <w:vAlign w:val="center"/>
          </w:tcPr>
          <w:p w14:paraId="4D2B030B" w14:textId="77777777" w:rsidR="00007BCE" w:rsidRPr="00160297" w:rsidRDefault="00000000">
            <w:pPr>
              <w:spacing w:line="259" w:lineRule="auto"/>
              <w:jc w:val="center"/>
            </w:pPr>
            <w:r w:rsidRPr="00160297">
              <w:rPr>
                <w:b/>
                <w:sz w:val="18"/>
              </w:rPr>
              <w:t>Interpretive weight</w:t>
            </w:r>
          </w:p>
        </w:tc>
      </w:tr>
      <w:tr w:rsidR="00160297" w:rsidRPr="00160297" w14:paraId="5030B894" w14:textId="77777777" w:rsidTr="00160297">
        <w:trPr>
          <w:jc w:val="center"/>
        </w:trPr>
        <w:tc>
          <w:tcPr>
            <w:tcW w:w="1587" w:type="dxa"/>
            <w:tcBorders>
              <w:left w:val="nil"/>
              <w:bottom w:val="nil"/>
              <w:right w:val="nil"/>
            </w:tcBorders>
            <w:tcMar>
              <w:top w:w="80" w:type="dxa"/>
              <w:left w:w="100" w:type="dxa"/>
              <w:bottom w:w="80" w:type="dxa"/>
              <w:right w:w="100" w:type="dxa"/>
            </w:tcMar>
            <w:vAlign w:val="center"/>
          </w:tcPr>
          <w:p w14:paraId="2A810A57" w14:textId="77777777" w:rsidR="00007BCE" w:rsidRPr="00160297" w:rsidRDefault="00000000">
            <w:pPr>
              <w:spacing w:line="259" w:lineRule="auto"/>
            </w:pPr>
            <w:r w:rsidRPr="00160297">
              <w:rPr>
                <w:sz w:val="18"/>
              </w:rPr>
              <w:t>Discovery genetics</w:t>
            </w:r>
          </w:p>
        </w:tc>
        <w:tc>
          <w:tcPr>
            <w:tcW w:w="1984" w:type="dxa"/>
            <w:tcBorders>
              <w:left w:val="nil"/>
              <w:bottom w:val="nil"/>
              <w:right w:val="nil"/>
            </w:tcBorders>
            <w:tcMar>
              <w:top w:w="80" w:type="dxa"/>
              <w:left w:w="100" w:type="dxa"/>
              <w:bottom w:w="80" w:type="dxa"/>
              <w:right w:w="100" w:type="dxa"/>
            </w:tcMar>
            <w:vAlign w:val="center"/>
          </w:tcPr>
          <w:p w14:paraId="33766E71" w14:textId="77777777" w:rsidR="00007BCE" w:rsidRPr="00160297" w:rsidRDefault="00000000">
            <w:pPr>
              <w:spacing w:line="259" w:lineRule="auto"/>
            </w:pPr>
            <w:r w:rsidRPr="00160297">
              <w:rPr>
                <w:sz w:val="18"/>
              </w:rPr>
              <w:t>FinnGen migraine and vertigo summary statistics; formal LDSC layer</w:t>
            </w:r>
          </w:p>
        </w:tc>
        <w:tc>
          <w:tcPr>
            <w:tcW w:w="2948" w:type="dxa"/>
            <w:tcBorders>
              <w:left w:val="nil"/>
              <w:bottom w:val="nil"/>
              <w:right w:val="nil"/>
            </w:tcBorders>
            <w:tcMar>
              <w:top w:w="80" w:type="dxa"/>
              <w:left w:w="100" w:type="dxa"/>
              <w:bottom w:w="80" w:type="dxa"/>
              <w:right w:w="100" w:type="dxa"/>
            </w:tcMar>
            <w:vAlign w:val="center"/>
          </w:tcPr>
          <w:p w14:paraId="6177BFCA" w14:textId="77777777" w:rsidR="00007BCE" w:rsidRPr="00160297" w:rsidRDefault="00000000">
            <w:pPr>
              <w:spacing w:line="259" w:lineRule="auto"/>
            </w:pPr>
            <w:r w:rsidRPr="00160297">
              <w:rPr>
                <w:sz w:val="18"/>
              </w:rPr>
              <w:t>Defines genome-wide correlation, local overlap, and shared-liability candidate space</w:t>
            </w:r>
          </w:p>
        </w:tc>
        <w:tc>
          <w:tcPr>
            <w:tcW w:w="1587" w:type="dxa"/>
            <w:tcBorders>
              <w:left w:val="nil"/>
              <w:bottom w:val="nil"/>
              <w:right w:val="nil"/>
            </w:tcBorders>
            <w:tcMar>
              <w:top w:w="80" w:type="dxa"/>
              <w:left w:w="100" w:type="dxa"/>
              <w:bottom w:w="80" w:type="dxa"/>
              <w:right w:w="100" w:type="dxa"/>
            </w:tcMar>
            <w:vAlign w:val="center"/>
          </w:tcPr>
          <w:p w14:paraId="4A0580F3" w14:textId="77777777" w:rsidR="00007BCE" w:rsidRPr="00160297" w:rsidRDefault="00000000">
            <w:pPr>
              <w:spacing w:line="259" w:lineRule="auto"/>
            </w:pPr>
            <w:r w:rsidRPr="00160297">
              <w:rPr>
                <w:sz w:val="18"/>
              </w:rPr>
              <w:t>Highest</w:t>
            </w:r>
          </w:p>
        </w:tc>
      </w:tr>
      <w:tr w:rsidR="00160297" w:rsidRPr="00160297" w14:paraId="35ADB714" w14:textId="77777777" w:rsidTr="00160297">
        <w:trPr>
          <w:jc w:val="center"/>
        </w:trPr>
        <w:tc>
          <w:tcPr>
            <w:tcW w:w="1587" w:type="dxa"/>
            <w:tcBorders>
              <w:top w:val="nil"/>
              <w:left w:val="nil"/>
              <w:bottom w:val="nil"/>
              <w:right w:val="nil"/>
            </w:tcBorders>
            <w:tcMar>
              <w:top w:w="80" w:type="dxa"/>
              <w:left w:w="100" w:type="dxa"/>
              <w:bottom w:w="80" w:type="dxa"/>
              <w:right w:w="100" w:type="dxa"/>
            </w:tcMar>
            <w:vAlign w:val="center"/>
          </w:tcPr>
          <w:p w14:paraId="7825D87C" w14:textId="77777777" w:rsidR="00007BCE" w:rsidRPr="00160297" w:rsidRDefault="00000000">
            <w:pPr>
              <w:spacing w:line="259" w:lineRule="auto"/>
            </w:pPr>
            <w:r w:rsidRPr="00160297">
              <w:rPr>
                <w:sz w:val="18"/>
              </w:rPr>
              <w:t>External anchoring</w:t>
            </w:r>
          </w:p>
        </w:tc>
        <w:tc>
          <w:tcPr>
            <w:tcW w:w="1984" w:type="dxa"/>
            <w:tcBorders>
              <w:top w:val="nil"/>
              <w:left w:val="nil"/>
              <w:bottom w:val="nil"/>
              <w:right w:val="nil"/>
            </w:tcBorders>
            <w:tcMar>
              <w:top w:w="80" w:type="dxa"/>
              <w:left w:w="100" w:type="dxa"/>
              <w:bottom w:w="80" w:type="dxa"/>
              <w:right w:w="100" w:type="dxa"/>
            </w:tcMar>
            <w:vAlign w:val="center"/>
          </w:tcPr>
          <w:p w14:paraId="5EEEFB44" w14:textId="77777777" w:rsidR="00007BCE" w:rsidRPr="00160297" w:rsidRDefault="00000000">
            <w:pPr>
              <w:spacing w:line="259" w:lineRule="auto"/>
            </w:pPr>
            <w:r w:rsidRPr="00160297">
              <w:rPr>
                <w:sz w:val="18"/>
              </w:rPr>
              <w:t>Independent external vertigo GWAS meta-analysis</w:t>
            </w:r>
          </w:p>
        </w:tc>
        <w:tc>
          <w:tcPr>
            <w:tcW w:w="2948" w:type="dxa"/>
            <w:tcBorders>
              <w:top w:val="nil"/>
              <w:left w:val="nil"/>
              <w:bottom w:val="nil"/>
              <w:right w:val="nil"/>
            </w:tcBorders>
            <w:tcMar>
              <w:top w:w="80" w:type="dxa"/>
              <w:left w:w="100" w:type="dxa"/>
              <w:bottom w:w="80" w:type="dxa"/>
              <w:right w:w="100" w:type="dxa"/>
            </w:tcMar>
            <w:vAlign w:val="center"/>
          </w:tcPr>
          <w:p w14:paraId="112A410A" w14:textId="77777777" w:rsidR="00007BCE" w:rsidRPr="00160297" w:rsidRDefault="00000000">
            <w:pPr>
              <w:spacing w:line="259" w:lineRule="auto"/>
            </w:pPr>
            <w:r w:rsidRPr="00160297">
              <w:rPr>
                <w:sz w:val="18"/>
              </w:rPr>
              <w:t xml:space="preserve">Tests whether a meaningful subset of discovery loci </w:t>
            </w:r>
            <w:r w:rsidRPr="00160297">
              <w:rPr>
                <w:sz w:val="18"/>
              </w:rPr>
              <w:lastRenderedPageBreak/>
              <w:t>generalizes beyond the primary dataset</w:t>
            </w:r>
          </w:p>
        </w:tc>
        <w:tc>
          <w:tcPr>
            <w:tcW w:w="1587" w:type="dxa"/>
            <w:tcBorders>
              <w:top w:val="nil"/>
              <w:left w:val="nil"/>
              <w:bottom w:val="nil"/>
              <w:right w:val="nil"/>
            </w:tcBorders>
            <w:tcMar>
              <w:top w:w="80" w:type="dxa"/>
              <w:left w:w="100" w:type="dxa"/>
              <w:bottom w:w="80" w:type="dxa"/>
              <w:right w:w="100" w:type="dxa"/>
            </w:tcMar>
            <w:vAlign w:val="center"/>
          </w:tcPr>
          <w:p w14:paraId="1D0DCE3D" w14:textId="77777777" w:rsidR="00007BCE" w:rsidRPr="00160297" w:rsidRDefault="00000000">
            <w:pPr>
              <w:spacing w:line="259" w:lineRule="auto"/>
            </w:pPr>
            <w:r w:rsidRPr="00160297">
              <w:rPr>
                <w:sz w:val="18"/>
              </w:rPr>
              <w:lastRenderedPageBreak/>
              <w:t>High but supportive</w:t>
            </w:r>
          </w:p>
        </w:tc>
      </w:tr>
      <w:tr w:rsidR="00160297" w:rsidRPr="00160297" w14:paraId="24C85732" w14:textId="77777777" w:rsidTr="00160297">
        <w:trPr>
          <w:jc w:val="center"/>
        </w:trPr>
        <w:tc>
          <w:tcPr>
            <w:tcW w:w="1587" w:type="dxa"/>
            <w:tcBorders>
              <w:top w:val="nil"/>
              <w:left w:val="nil"/>
              <w:bottom w:val="nil"/>
              <w:right w:val="nil"/>
            </w:tcBorders>
            <w:tcMar>
              <w:top w:w="80" w:type="dxa"/>
              <w:left w:w="100" w:type="dxa"/>
              <w:bottom w:w="80" w:type="dxa"/>
              <w:right w:w="100" w:type="dxa"/>
            </w:tcMar>
            <w:vAlign w:val="center"/>
          </w:tcPr>
          <w:p w14:paraId="64554797" w14:textId="77777777" w:rsidR="00007BCE" w:rsidRPr="00160297" w:rsidRDefault="00000000">
            <w:pPr>
              <w:spacing w:line="259" w:lineRule="auto"/>
            </w:pPr>
            <w:r w:rsidRPr="00160297">
              <w:rPr>
                <w:sz w:val="18"/>
              </w:rPr>
              <w:t>Mechanistic localization</w:t>
            </w:r>
          </w:p>
        </w:tc>
        <w:tc>
          <w:tcPr>
            <w:tcW w:w="1984" w:type="dxa"/>
            <w:tcBorders>
              <w:top w:val="nil"/>
              <w:left w:val="nil"/>
              <w:bottom w:val="nil"/>
              <w:right w:val="nil"/>
            </w:tcBorders>
            <w:tcMar>
              <w:top w:w="80" w:type="dxa"/>
              <w:left w:w="100" w:type="dxa"/>
              <w:bottom w:w="80" w:type="dxa"/>
              <w:right w:w="100" w:type="dxa"/>
            </w:tcMar>
            <w:vAlign w:val="center"/>
          </w:tcPr>
          <w:p w14:paraId="36A85714" w14:textId="77777777" w:rsidR="00007BCE" w:rsidRPr="00160297" w:rsidRDefault="00000000">
            <w:pPr>
              <w:spacing w:line="259" w:lineRule="auto"/>
            </w:pPr>
            <w:r w:rsidRPr="00160297">
              <w:rPr>
                <w:sz w:val="18"/>
              </w:rPr>
              <w:t>Human trigeminal ganglion and vestibular/inner-ear atlases</w:t>
            </w:r>
          </w:p>
        </w:tc>
        <w:tc>
          <w:tcPr>
            <w:tcW w:w="2948" w:type="dxa"/>
            <w:tcBorders>
              <w:top w:val="nil"/>
              <w:left w:val="nil"/>
              <w:bottom w:val="nil"/>
              <w:right w:val="nil"/>
            </w:tcBorders>
            <w:tcMar>
              <w:top w:w="80" w:type="dxa"/>
              <w:left w:w="100" w:type="dxa"/>
              <w:bottom w:w="80" w:type="dxa"/>
              <w:right w:w="100" w:type="dxa"/>
            </w:tcMar>
            <w:vAlign w:val="center"/>
          </w:tcPr>
          <w:p w14:paraId="73217154" w14:textId="77777777" w:rsidR="00007BCE" w:rsidRPr="00160297" w:rsidRDefault="00000000">
            <w:pPr>
              <w:spacing w:line="259" w:lineRule="auto"/>
            </w:pPr>
            <w:r w:rsidRPr="00160297">
              <w:rPr>
                <w:sz w:val="18"/>
              </w:rPr>
              <w:t>Maps shared-liability biology onto plausible vestibulo-trigeminal landing zones</w:t>
            </w:r>
          </w:p>
        </w:tc>
        <w:tc>
          <w:tcPr>
            <w:tcW w:w="1587" w:type="dxa"/>
            <w:tcBorders>
              <w:top w:val="nil"/>
              <w:left w:val="nil"/>
              <w:bottom w:val="nil"/>
              <w:right w:val="nil"/>
            </w:tcBorders>
            <w:tcMar>
              <w:top w:w="80" w:type="dxa"/>
              <w:left w:w="100" w:type="dxa"/>
              <w:bottom w:w="80" w:type="dxa"/>
              <w:right w:w="100" w:type="dxa"/>
            </w:tcMar>
            <w:vAlign w:val="center"/>
          </w:tcPr>
          <w:p w14:paraId="6505A643" w14:textId="77777777" w:rsidR="00007BCE" w:rsidRPr="00160297" w:rsidRDefault="00000000">
            <w:pPr>
              <w:spacing w:line="259" w:lineRule="auto"/>
            </w:pPr>
            <w:r w:rsidRPr="00160297">
              <w:rPr>
                <w:sz w:val="18"/>
              </w:rPr>
              <w:t>High</w:t>
            </w:r>
          </w:p>
        </w:tc>
      </w:tr>
      <w:tr w:rsidR="00160297" w:rsidRPr="00160297" w14:paraId="6E254D5F" w14:textId="77777777" w:rsidTr="00160297">
        <w:trPr>
          <w:jc w:val="center"/>
        </w:trPr>
        <w:tc>
          <w:tcPr>
            <w:tcW w:w="1587" w:type="dxa"/>
            <w:tcBorders>
              <w:top w:val="nil"/>
              <w:left w:val="nil"/>
              <w:right w:val="nil"/>
            </w:tcBorders>
            <w:tcMar>
              <w:top w:w="80" w:type="dxa"/>
              <w:left w:w="100" w:type="dxa"/>
              <w:bottom w:w="80" w:type="dxa"/>
              <w:right w:w="100" w:type="dxa"/>
            </w:tcMar>
            <w:vAlign w:val="center"/>
          </w:tcPr>
          <w:p w14:paraId="34C5E07F" w14:textId="77777777" w:rsidR="00007BCE" w:rsidRPr="00160297" w:rsidRDefault="00000000">
            <w:pPr>
              <w:spacing w:line="259" w:lineRule="auto"/>
            </w:pPr>
            <w:r w:rsidRPr="00160297">
              <w:rPr>
                <w:sz w:val="18"/>
              </w:rPr>
              <w:t>Disease-labeled validation</w:t>
            </w:r>
          </w:p>
        </w:tc>
        <w:tc>
          <w:tcPr>
            <w:tcW w:w="1984" w:type="dxa"/>
            <w:tcBorders>
              <w:top w:val="nil"/>
              <w:left w:val="nil"/>
              <w:right w:val="nil"/>
            </w:tcBorders>
            <w:tcMar>
              <w:top w:w="80" w:type="dxa"/>
              <w:left w:w="100" w:type="dxa"/>
              <w:bottom w:w="80" w:type="dxa"/>
              <w:right w:w="100" w:type="dxa"/>
            </w:tcMar>
            <w:vAlign w:val="center"/>
          </w:tcPr>
          <w:p w14:paraId="26423EFB" w14:textId="77777777" w:rsidR="00007BCE" w:rsidRPr="00160297" w:rsidRDefault="00000000">
            <w:pPr>
              <w:spacing w:line="259" w:lineRule="auto"/>
            </w:pPr>
            <w:r w:rsidRPr="00160297">
              <w:rPr>
                <w:sz w:val="18"/>
              </w:rPr>
              <w:t>PBMC bulk and single-cell transcriptomic / chromatin datasets</w:t>
            </w:r>
          </w:p>
        </w:tc>
        <w:tc>
          <w:tcPr>
            <w:tcW w:w="2948" w:type="dxa"/>
            <w:tcBorders>
              <w:top w:val="nil"/>
              <w:left w:val="nil"/>
              <w:right w:val="nil"/>
            </w:tcBorders>
            <w:tcMar>
              <w:top w:w="80" w:type="dxa"/>
              <w:left w:w="100" w:type="dxa"/>
              <w:bottom w:w="80" w:type="dxa"/>
              <w:right w:w="100" w:type="dxa"/>
            </w:tcMar>
            <w:vAlign w:val="center"/>
          </w:tcPr>
          <w:p w14:paraId="5676EAAA" w14:textId="77777777" w:rsidR="00007BCE" w:rsidRPr="00160297" w:rsidRDefault="00000000">
            <w:pPr>
              <w:spacing w:line="259" w:lineRule="auto"/>
            </w:pPr>
            <w:r w:rsidRPr="00160297">
              <w:rPr>
                <w:sz w:val="18"/>
              </w:rPr>
              <w:t>Assesses whether loci-derived programs show directionally concordant disease relevance</w:t>
            </w:r>
          </w:p>
        </w:tc>
        <w:tc>
          <w:tcPr>
            <w:tcW w:w="1587" w:type="dxa"/>
            <w:tcBorders>
              <w:top w:val="nil"/>
              <w:left w:val="nil"/>
              <w:right w:val="nil"/>
            </w:tcBorders>
            <w:tcMar>
              <w:top w:w="80" w:type="dxa"/>
              <w:left w:w="100" w:type="dxa"/>
              <w:bottom w:w="80" w:type="dxa"/>
              <w:right w:w="100" w:type="dxa"/>
            </w:tcMar>
            <w:vAlign w:val="center"/>
          </w:tcPr>
          <w:p w14:paraId="2B15608A" w14:textId="77777777" w:rsidR="00007BCE" w:rsidRPr="00160297" w:rsidRDefault="00000000">
            <w:pPr>
              <w:spacing w:line="259" w:lineRule="auto"/>
            </w:pPr>
            <w:r w:rsidRPr="00160297">
              <w:rPr>
                <w:sz w:val="18"/>
              </w:rPr>
              <w:t>Moderate, validation only</w:t>
            </w:r>
          </w:p>
        </w:tc>
      </w:tr>
    </w:tbl>
    <w:p w14:paraId="28161B0B" w14:textId="77777777" w:rsidR="00007BCE" w:rsidRPr="00160297" w:rsidRDefault="00007BCE"/>
    <w:p w14:paraId="73182D44" w14:textId="77777777" w:rsidR="00007BCE" w:rsidRPr="00160297" w:rsidRDefault="00000000">
      <w:pPr>
        <w:pStyle w:val="21"/>
        <w:rPr>
          <w:color w:val="auto"/>
        </w:rPr>
      </w:pPr>
      <w:r w:rsidRPr="00160297">
        <w:rPr>
          <w:color w:val="auto"/>
        </w:rPr>
        <w:t>Supplementary Table S4. Key discovery-layer summary results</w:t>
      </w:r>
    </w:p>
    <w:tbl>
      <w:tblPr>
        <w:tblStyle w:val="aff1"/>
        <w:tblW w:w="0" w:type="auto"/>
        <w:jc w:val="center"/>
        <w:tblLayout w:type="fixed"/>
        <w:tblLook w:val="04A0" w:firstRow="1" w:lastRow="0" w:firstColumn="1" w:lastColumn="0" w:noHBand="0" w:noVBand="1"/>
      </w:tblPr>
      <w:tblGrid>
        <w:gridCol w:w="1814"/>
        <w:gridCol w:w="1814"/>
        <w:gridCol w:w="1814"/>
        <w:gridCol w:w="1928"/>
        <w:gridCol w:w="1134"/>
      </w:tblGrid>
      <w:tr w:rsidR="00160297" w:rsidRPr="00160297" w14:paraId="6E99F2D6" w14:textId="77777777" w:rsidTr="00160297">
        <w:trPr>
          <w:tblHeader/>
          <w:jc w:val="center"/>
        </w:trPr>
        <w:tc>
          <w:tcPr>
            <w:tcW w:w="1814" w:type="dxa"/>
            <w:tcBorders>
              <w:left w:val="nil"/>
              <w:bottom w:val="single" w:sz="4" w:space="0" w:color="auto"/>
              <w:right w:val="nil"/>
            </w:tcBorders>
            <w:shd w:val="clear" w:color="auto" w:fill="D9E2F3"/>
            <w:tcMar>
              <w:top w:w="80" w:type="dxa"/>
              <w:left w:w="100" w:type="dxa"/>
              <w:bottom w:w="80" w:type="dxa"/>
              <w:right w:w="100" w:type="dxa"/>
            </w:tcMar>
            <w:vAlign w:val="center"/>
          </w:tcPr>
          <w:p w14:paraId="018D735B" w14:textId="77777777" w:rsidR="00007BCE" w:rsidRPr="00160297" w:rsidRDefault="00000000">
            <w:pPr>
              <w:spacing w:line="259" w:lineRule="auto"/>
              <w:jc w:val="center"/>
            </w:pPr>
            <w:r w:rsidRPr="00160297">
              <w:rPr>
                <w:b/>
                <w:sz w:val="18"/>
              </w:rPr>
              <w:t>Analysis component</w:t>
            </w:r>
          </w:p>
        </w:tc>
        <w:tc>
          <w:tcPr>
            <w:tcW w:w="1814" w:type="dxa"/>
            <w:tcBorders>
              <w:left w:val="nil"/>
              <w:bottom w:val="single" w:sz="4" w:space="0" w:color="auto"/>
              <w:right w:val="nil"/>
            </w:tcBorders>
            <w:shd w:val="clear" w:color="auto" w:fill="D9E2F3"/>
            <w:tcMar>
              <w:top w:w="80" w:type="dxa"/>
              <w:left w:w="100" w:type="dxa"/>
              <w:bottom w:w="80" w:type="dxa"/>
              <w:right w:w="100" w:type="dxa"/>
            </w:tcMar>
            <w:vAlign w:val="center"/>
          </w:tcPr>
          <w:p w14:paraId="2A8F2208" w14:textId="77777777" w:rsidR="00007BCE" w:rsidRPr="00160297" w:rsidRDefault="00000000">
            <w:pPr>
              <w:spacing w:line="259" w:lineRule="auto"/>
              <w:jc w:val="center"/>
            </w:pPr>
            <w:r w:rsidRPr="00160297">
              <w:rPr>
                <w:b/>
                <w:sz w:val="18"/>
              </w:rPr>
              <w:t>Result</w:t>
            </w:r>
          </w:p>
        </w:tc>
        <w:tc>
          <w:tcPr>
            <w:tcW w:w="1814" w:type="dxa"/>
            <w:tcBorders>
              <w:left w:val="nil"/>
              <w:bottom w:val="single" w:sz="4" w:space="0" w:color="auto"/>
              <w:right w:val="nil"/>
            </w:tcBorders>
            <w:shd w:val="clear" w:color="auto" w:fill="D9E2F3"/>
            <w:tcMar>
              <w:top w:w="80" w:type="dxa"/>
              <w:left w:w="100" w:type="dxa"/>
              <w:bottom w:w="80" w:type="dxa"/>
              <w:right w:w="100" w:type="dxa"/>
            </w:tcMar>
            <w:vAlign w:val="center"/>
          </w:tcPr>
          <w:p w14:paraId="50195AAF" w14:textId="77777777" w:rsidR="00007BCE" w:rsidRPr="00160297" w:rsidRDefault="00000000">
            <w:pPr>
              <w:spacing w:line="259" w:lineRule="auto"/>
              <w:jc w:val="center"/>
            </w:pPr>
            <w:r w:rsidRPr="00160297">
              <w:rPr>
                <w:b/>
                <w:sz w:val="18"/>
              </w:rPr>
              <w:t>Uncertainty</w:t>
            </w:r>
          </w:p>
        </w:tc>
        <w:tc>
          <w:tcPr>
            <w:tcW w:w="1928" w:type="dxa"/>
            <w:tcBorders>
              <w:left w:val="nil"/>
              <w:bottom w:val="single" w:sz="4" w:space="0" w:color="auto"/>
              <w:right w:val="nil"/>
            </w:tcBorders>
            <w:shd w:val="clear" w:color="auto" w:fill="D9E2F3"/>
            <w:tcMar>
              <w:top w:w="80" w:type="dxa"/>
              <w:left w:w="100" w:type="dxa"/>
              <w:bottom w:w="80" w:type="dxa"/>
              <w:right w:w="100" w:type="dxa"/>
            </w:tcMar>
            <w:vAlign w:val="center"/>
          </w:tcPr>
          <w:p w14:paraId="77B8BF61" w14:textId="77777777" w:rsidR="00007BCE" w:rsidRPr="00160297" w:rsidRDefault="00000000">
            <w:pPr>
              <w:spacing w:line="259" w:lineRule="auto"/>
              <w:jc w:val="center"/>
            </w:pPr>
            <w:r w:rsidRPr="00160297">
              <w:rPr>
                <w:b/>
                <w:sz w:val="18"/>
              </w:rPr>
              <w:t>Interpretation</w:t>
            </w:r>
          </w:p>
        </w:tc>
        <w:tc>
          <w:tcPr>
            <w:tcW w:w="1134" w:type="dxa"/>
            <w:tcBorders>
              <w:left w:val="nil"/>
              <w:bottom w:val="single" w:sz="4" w:space="0" w:color="auto"/>
              <w:right w:val="nil"/>
            </w:tcBorders>
            <w:shd w:val="clear" w:color="auto" w:fill="D9E2F3"/>
            <w:tcMar>
              <w:top w:w="80" w:type="dxa"/>
              <w:left w:w="100" w:type="dxa"/>
              <w:bottom w:w="80" w:type="dxa"/>
              <w:right w:w="100" w:type="dxa"/>
            </w:tcMar>
            <w:vAlign w:val="center"/>
          </w:tcPr>
          <w:p w14:paraId="0592DFA2" w14:textId="77777777" w:rsidR="00007BCE" w:rsidRPr="00160297" w:rsidRDefault="00000000">
            <w:pPr>
              <w:spacing w:line="259" w:lineRule="auto"/>
              <w:jc w:val="center"/>
            </w:pPr>
            <w:r w:rsidRPr="00160297">
              <w:rPr>
                <w:b/>
                <w:sz w:val="18"/>
              </w:rPr>
              <w:t>Placement</w:t>
            </w:r>
          </w:p>
        </w:tc>
      </w:tr>
      <w:tr w:rsidR="00160297" w:rsidRPr="00160297" w14:paraId="613D9E90" w14:textId="77777777" w:rsidTr="00160297">
        <w:trPr>
          <w:jc w:val="center"/>
        </w:trPr>
        <w:tc>
          <w:tcPr>
            <w:tcW w:w="1814" w:type="dxa"/>
            <w:tcBorders>
              <w:left w:val="nil"/>
              <w:bottom w:val="nil"/>
              <w:right w:val="nil"/>
            </w:tcBorders>
            <w:tcMar>
              <w:top w:w="80" w:type="dxa"/>
              <w:left w:w="100" w:type="dxa"/>
              <w:bottom w:w="80" w:type="dxa"/>
              <w:right w:w="100" w:type="dxa"/>
            </w:tcMar>
            <w:vAlign w:val="center"/>
          </w:tcPr>
          <w:p w14:paraId="2305E34C" w14:textId="77777777" w:rsidR="00007BCE" w:rsidRPr="00160297" w:rsidRDefault="00000000">
            <w:pPr>
              <w:spacing w:line="259" w:lineRule="auto"/>
            </w:pPr>
            <w:r w:rsidRPr="00160297">
              <w:rPr>
                <w:sz w:val="18"/>
              </w:rPr>
              <w:t>Genome-wide correlation</w:t>
            </w:r>
          </w:p>
        </w:tc>
        <w:tc>
          <w:tcPr>
            <w:tcW w:w="1814" w:type="dxa"/>
            <w:tcBorders>
              <w:left w:val="nil"/>
              <w:bottom w:val="nil"/>
              <w:right w:val="nil"/>
            </w:tcBorders>
            <w:tcMar>
              <w:top w:w="80" w:type="dxa"/>
              <w:left w:w="100" w:type="dxa"/>
              <w:bottom w:w="80" w:type="dxa"/>
              <w:right w:w="100" w:type="dxa"/>
            </w:tcMar>
            <w:vAlign w:val="center"/>
          </w:tcPr>
          <w:p w14:paraId="33ED8F49" w14:textId="77777777" w:rsidR="00007BCE" w:rsidRPr="00160297" w:rsidRDefault="00000000">
            <w:pPr>
              <w:spacing w:line="259" w:lineRule="auto"/>
            </w:pPr>
            <w:r w:rsidRPr="00160297">
              <w:rPr>
                <w:sz w:val="18"/>
              </w:rPr>
              <w:t>Migraine vs vertigo rg = 0.5277</w:t>
            </w:r>
          </w:p>
        </w:tc>
        <w:tc>
          <w:tcPr>
            <w:tcW w:w="1814" w:type="dxa"/>
            <w:tcBorders>
              <w:left w:val="nil"/>
              <w:bottom w:val="nil"/>
              <w:right w:val="nil"/>
            </w:tcBorders>
            <w:tcMar>
              <w:top w:w="80" w:type="dxa"/>
              <w:left w:w="100" w:type="dxa"/>
              <w:bottom w:w="80" w:type="dxa"/>
              <w:right w:w="100" w:type="dxa"/>
            </w:tcMar>
            <w:vAlign w:val="center"/>
          </w:tcPr>
          <w:p w14:paraId="3B9EB198" w14:textId="77777777" w:rsidR="00007BCE" w:rsidRPr="00160297" w:rsidRDefault="00000000">
            <w:pPr>
              <w:spacing w:line="259" w:lineRule="auto"/>
            </w:pPr>
            <w:r w:rsidRPr="00160297">
              <w:rPr>
                <w:sz w:val="18"/>
              </w:rPr>
              <w:t>SE 0.0525; p = 9.18 × 10^-24</w:t>
            </w:r>
          </w:p>
        </w:tc>
        <w:tc>
          <w:tcPr>
            <w:tcW w:w="1928" w:type="dxa"/>
            <w:tcBorders>
              <w:left w:val="nil"/>
              <w:bottom w:val="nil"/>
              <w:right w:val="nil"/>
            </w:tcBorders>
            <w:tcMar>
              <w:top w:w="80" w:type="dxa"/>
              <w:left w:w="100" w:type="dxa"/>
              <w:bottom w:w="80" w:type="dxa"/>
              <w:right w:w="100" w:type="dxa"/>
            </w:tcMar>
            <w:vAlign w:val="center"/>
          </w:tcPr>
          <w:p w14:paraId="520FF866" w14:textId="77777777" w:rsidR="00007BCE" w:rsidRPr="00160297" w:rsidRDefault="00000000">
            <w:pPr>
              <w:spacing w:line="259" w:lineRule="auto"/>
            </w:pPr>
            <w:r w:rsidRPr="00160297">
              <w:rPr>
                <w:sz w:val="18"/>
              </w:rPr>
              <w:t>Strong global polygenic overlap</w:t>
            </w:r>
          </w:p>
        </w:tc>
        <w:tc>
          <w:tcPr>
            <w:tcW w:w="1134" w:type="dxa"/>
            <w:tcBorders>
              <w:left w:val="nil"/>
              <w:bottom w:val="nil"/>
              <w:right w:val="nil"/>
            </w:tcBorders>
            <w:tcMar>
              <w:top w:w="80" w:type="dxa"/>
              <w:left w:w="100" w:type="dxa"/>
              <w:bottom w:w="80" w:type="dxa"/>
              <w:right w:w="100" w:type="dxa"/>
            </w:tcMar>
            <w:vAlign w:val="center"/>
          </w:tcPr>
          <w:p w14:paraId="49B93546" w14:textId="77777777" w:rsidR="00007BCE" w:rsidRPr="00160297" w:rsidRDefault="00000000">
            <w:pPr>
              <w:spacing w:line="259" w:lineRule="auto"/>
            </w:pPr>
            <w:r w:rsidRPr="00160297">
              <w:rPr>
                <w:sz w:val="18"/>
              </w:rPr>
              <w:t>Main text</w:t>
            </w:r>
          </w:p>
        </w:tc>
      </w:tr>
      <w:tr w:rsidR="00160297" w:rsidRPr="00160297" w14:paraId="313703F6" w14:textId="77777777" w:rsidTr="00160297">
        <w:trPr>
          <w:jc w:val="center"/>
        </w:trPr>
        <w:tc>
          <w:tcPr>
            <w:tcW w:w="1814" w:type="dxa"/>
            <w:tcBorders>
              <w:top w:val="nil"/>
              <w:left w:val="nil"/>
              <w:bottom w:val="nil"/>
              <w:right w:val="nil"/>
            </w:tcBorders>
            <w:tcMar>
              <w:top w:w="80" w:type="dxa"/>
              <w:left w:w="100" w:type="dxa"/>
              <w:bottom w:w="80" w:type="dxa"/>
              <w:right w:w="100" w:type="dxa"/>
            </w:tcMar>
            <w:vAlign w:val="center"/>
          </w:tcPr>
          <w:p w14:paraId="13F8D5E1" w14:textId="77777777" w:rsidR="00007BCE" w:rsidRPr="00160297" w:rsidRDefault="00000000">
            <w:pPr>
              <w:spacing w:line="259" w:lineRule="auto"/>
            </w:pPr>
            <w:r w:rsidRPr="00160297">
              <w:rPr>
                <w:sz w:val="18"/>
              </w:rPr>
              <w:t>Genome-wide correlation</w:t>
            </w:r>
          </w:p>
        </w:tc>
        <w:tc>
          <w:tcPr>
            <w:tcW w:w="1814" w:type="dxa"/>
            <w:tcBorders>
              <w:top w:val="nil"/>
              <w:left w:val="nil"/>
              <w:bottom w:val="nil"/>
              <w:right w:val="nil"/>
            </w:tcBorders>
            <w:tcMar>
              <w:top w:w="80" w:type="dxa"/>
              <w:left w:w="100" w:type="dxa"/>
              <w:bottom w:w="80" w:type="dxa"/>
              <w:right w:w="100" w:type="dxa"/>
            </w:tcMar>
            <w:vAlign w:val="center"/>
          </w:tcPr>
          <w:p w14:paraId="4C31CADD" w14:textId="77777777" w:rsidR="00007BCE" w:rsidRPr="00160297" w:rsidRDefault="00000000">
            <w:pPr>
              <w:spacing w:line="259" w:lineRule="auto"/>
            </w:pPr>
            <w:r w:rsidRPr="00160297">
              <w:rPr>
                <w:sz w:val="18"/>
              </w:rPr>
              <w:t>Migraine with aura vs vertigo rg = 0.5698</w:t>
            </w:r>
          </w:p>
        </w:tc>
        <w:tc>
          <w:tcPr>
            <w:tcW w:w="1814" w:type="dxa"/>
            <w:tcBorders>
              <w:top w:val="nil"/>
              <w:left w:val="nil"/>
              <w:bottom w:val="nil"/>
              <w:right w:val="nil"/>
            </w:tcBorders>
            <w:tcMar>
              <w:top w:w="80" w:type="dxa"/>
              <w:left w:w="100" w:type="dxa"/>
              <w:bottom w:w="80" w:type="dxa"/>
              <w:right w:w="100" w:type="dxa"/>
            </w:tcMar>
            <w:vAlign w:val="center"/>
          </w:tcPr>
          <w:p w14:paraId="2D406DFB" w14:textId="77777777" w:rsidR="00007BCE" w:rsidRPr="00160297" w:rsidRDefault="00000000">
            <w:pPr>
              <w:spacing w:line="259" w:lineRule="auto"/>
            </w:pPr>
            <w:r w:rsidRPr="00160297">
              <w:rPr>
                <w:sz w:val="18"/>
              </w:rPr>
              <w:t>SE 0.0734; p = 8.61 × 10^-15</w:t>
            </w:r>
          </w:p>
        </w:tc>
        <w:tc>
          <w:tcPr>
            <w:tcW w:w="1928" w:type="dxa"/>
            <w:tcBorders>
              <w:top w:val="nil"/>
              <w:left w:val="nil"/>
              <w:bottom w:val="nil"/>
              <w:right w:val="nil"/>
            </w:tcBorders>
            <w:tcMar>
              <w:top w:w="80" w:type="dxa"/>
              <w:left w:w="100" w:type="dxa"/>
              <w:bottom w:w="80" w:type="dxa"/>
              <w:right w:w="100" w:type="dxa"/>
            </w:tcMar>
            <w:vAlign w:val="center"/>
          </w:tcPr>
          <w:p w14:paraId="1BC80D07" w14:textId="77777777" w:rsidR="00007BCE" w:rsidRPr="00160297" w:rsidRDefault="00000000">
            <w:pPr>
              <w:spacing w:line="259" w:lineRule="auto"/>
            </w:pPr>
            <w:r w:rsidRPr="00160297">
              <w:rPr>
                <w:sz w:val="18"/>
              </w:rPr>
              <w:t>Subtype-defined overlap preserved</w:t>
            </w:r>
          </w:p>
        </w:tc>
        <w:tc>
          <w:tcPr>
            <w:tcW w:w="1134" w:type="dxa"/>
            <w:tcBorders>
              <w:top w:val="nil"/>
              <w:left w:val="nil"/>
              <w:bottom w:val="nil"/>
              <w:right w:val="nil"/>
            </w:tcBorders>
            <w:tcMar>
              <w:top w:w="80" w:type="dxa"/>
              <w:left w:w="100" w:type="dxa"/>
              <w:bottom w:w="80" w:type="dxa"/>
              <w:right w:w="100" w:type="dxa"/>
            </w:tcMar>
            <w:vAlign w:val="center"/>
          </w:tcPr>
          <w:p w14:paraId="64A88D06" w14:textId="77777777" w:rsidR="00007BCE" w:rsidRPr="00160297" w:rsidRDefault="00000000">
            <w:pPr>
              <w:spacing w:line="259" w:lineRule="auto"/>
            </w:pPr>
            <w:r w:rsidRPr="00160297">
              <w:rPr>
                <w:sz w:val="18"/>
              </w:rPr>
              <w:t>Main text</w:t>
            </w:r>
          </w:p>
        </w:tc>
      </w:tr>
      <w:tr w:rsidR="00160297" w:rsidRPr="00160297" w14:paraId="31F40049" w14:textId="77777777" w:rsidTr="00160297">
        <w:trPr>
          <w:jc w:val="center"/>
        </w:trPr>
        <w:tc>
          <w:tcPr>
            <w:tcW w:w="1814" w:type="dxa"/>
            <w:tcBorders>
              <w:top w:val="nil"/>
              <w:left w:val="nil"/>
              <w:bottom w:val="nil"/>
              <w:right w:val="nil"/>
            </w:tcBorders>
            <w:tcMar>
              <w:top w:w="80" w:type="dxa"/>
              <w:left w:w="100" w:type="dxa"/>
              <w:bottom w:w="80" w:type="dxa"/>
              <w:right w:w="100" w:type="dxa"/>
            </w:tcMar>
            <w:vAlign w:val="center"/>
          </w:tcPr>
          <w:p w14:paraId="269FB39C" w14:textId="77777777" w:rsidR="00007BCE" w:rsidRPr="00160297" w:rsidRDefault="00000000">
            <w:pPr>
              <w:spacing w:line="259" w:lineRule="auto"/>
            </w:pPr>
            <w:r w:rsidRPr="00160297">
              <w:rPr>
                <w:sz w:val="18"/>
              </w:rPr>
              <w:t>Genome-wide correlation</w:t>
            </w:r>
          </w:p>
        </w:tc>
        <w:tc>
          <w:tcPr>
            <w:tcW w:w="1814" w:type="dxa"/>
            <w:tcBorders>
              <w:top w:val="nil"/>
              <w:left w:val="nil"/>
              <w:bottom w:val="nil"/>
              <w:right w:val="nil"/>
            </w:tcBorders>
            <w:tcMar>
              <w:top w:w="80" w:type="dxa"/>
              <w:left w:w="100" w:type="dxa"/>
              <w:bottom w:w="80" w:type="dxa"/>
              <w:right w:w="100" w:type="dxa"/>
            </w:tcMar>
            <w:vAlign w:val="center"/>
          </w:tcPr>
          <w:p w14:paraId="57BA26D6" w14:textId="77777777" w:rsidR="00007BCE" w:rsidRPr="00160297" w:rsidRDefault="00000000">
            <w:pPr>
              <w:spacing w:line="259" w:lineRule="auto"/>
            </w:pPr>
            <w:r w:rsidRPr="00160297">
              <w:rPr>
                <w:sz w:val="18"/>
              </w:rPr>
              <w:t>Migraine without aura vs vertigo rg = 0.4710</w:t>
            </w:r>
          </w:p>
        </w:tc>
        <w:tc>
          <w:tcPr>
            <w:tcW w:w="1814" w:type="dxa"/>
            <w:tcBorders>
              <w:top w:val="nil"/>
              <w:left w:val="nil"/>
              <w:bottom w:val="nil"/>
              <w:right w:val="nil"/>
            </w:tcBorders>
            <w:tcMar>
              <w:top w:w="80" w:type="dxa"/>
              <w:left w:w="100" w:type="dxa"/>
              <w:bottom w:w="80" w:type="dxa"/>
              <w:right w:w="100" w:type="dxa"/>
            </w:tcMar>
            <w:vAlign w:val="center"/>
          </w:tcPr>
          <w:p w14:paraId="1B70BE4E" w14:textId="77777777" w:rsidR="00007BCE" w:rsidRPr="00160297" w:rsidRDefault="00000000">
            <w:pPr>
              <w:spacing w:line="259" w:lineRule="auto"/>
            </w:pPr>
            <w:r w:rsidRPr="00160297">
              <w:rPr>
                <w:sz w:val="18"/>
              </w:rPr>
              <w:t>SE 0.0615; p = 1.90 × 10^-14</w:t>
            </w:r>
          </w:p>
        </w:tc>
        <w:tc>
          <w:tcPr>
            <w:tcW w:w="1928" w:type="dxa"/>
            <w:tcBorders>
              <w:top w:val="nil"/>
              <w:left w:val="nil"/>
              <w:bottom w:val="nil"/>
              <w:right w:val="nil"/>
            </w:tcBorders>
            <w:tcMar>
              <w:top w:w="80" w:type="dxa"/>
              <w:left w:w="100" w:type="dxa"/>
              <w:bottom w:w="80" w:type="dxa"/>
              <w:right w:w="100" w:type="dxa"/>
            </w:tcMar>
            <w:vAlign w:val="center"/>
          </w:tcPr>
          <w:p w14:paraId="4F4172A7" w14:textId="77777777" w:rsidR="00007BCE" w:rsidRPr="00160297" w:rsidRDefault="00000000">
            <w:pPr>
              <w:spacing w:line="259" w:lineRule="auto"/>
            </w:pPr>
            <w:r w:rsidRPr="00160297">
              <w:rPr>
                <w:sz w:val="18"/>
              </w:rPr>
              <w:t>Overlap not restricted to aura subtype</w:t>
            </w:r>
          </w:p>
        </w:tc>
        <w:tc>
          <w:tcPr>
            <w:tcW w:w="1134" w:type="dxa"/>
            <w:tcBorders>
              <w:top w:val="nil"/>
              <w:left w:val="nil"/>
              <w:bottom w:val="nil"/>
              <w:right w:val="nil"/>
            </w:tcBorders>
            <w:tcMar>
              <w:top w:w="80" w:type="dxa"/>
              <w:left w:w="100" w:type="dxa"/>
              <w:bottom w:w="80" w:type="dxa"/>
              <w:right w:w="100" w:type="dxa"/>
            </w:tcMar>
            <w:vAlign w:val="center"/>
          </w:tcPr>
          <w:p w14:paraId="1CD852FA" w14:textId="77777777" w:rsidR="00007BCE" w:rsidRPr="00160297" w:rsidRDefault="00000000">
            <w:pPr>
              <w:spacing w:line="259" w:lineRule="auto"/>
            </w:pPr>
            <w:r w:rsidRPr="00160297">
              <w:rPr>
                <w:sz w:val="18"/>
              </w:rPr>
              <w:t>Main text</w:t>
            </w:r>
          </w:p>
        </w:tc>
      </w:tr>
      <w:tr w:rsidR="00160297" w:rsidRPr="00160297" w14:paraId="2EE40C96" w14:textId="77777777" w:rsidTr="00160297">
        <w:trPr>
          <w:jc w:val="center"/>
        </w:trPr>
        <w:tc>
          <w:tcPr>
            <w:tcW w:w="1814" w:type="dxa"/>
            <w:tcBorders>
              <w:top w:val="nil"/>
              <w:left w:val="nil"/>
              <w:bottom w:val="nil"/>
              <w:right w:val="nil"/>
            </w:tcBorders>
            <w:tcMar>
              <w:top w:w="80" w:type="dxa"/>
              <w:left w:w="100" w:type="dxa"/>
              <w:bottom w:w="80" w:type="dxa"/>
              <w:right w:w="100" w:type="dxa"/>
            </w:tcMar>
            <w:vAlign w:val="center"/>
          </w:tcPr>
          <w:p w14:paraId="78BBC496" w14:textId="77777777" w:rsidR="00007BCE" w:rsidRPr="00160297" w:rsidRDefault="00000000">
            <w:pPr>
              <w:spacing w:line="259" w:lineRule="auto"/>
            </w:pPr>
            <w:r w:rsidRPr="00160297">
              <w:rPr>
                <w:sz w:val="18"/>
              </w:rPr>
              <w:t>Local overlap</w:t>
            </w:r>
          </w:p>
        </w:tc>
        <w:tc>
          <w:tcPr>
            <w:tcW w:w="1814" w:type="dxa"/>
            <w:tcBorders>
              <w:top w:val="nil"/>
              <w:left w:val="nil"/>
              <w:bottom w:val="nil"/>
              <w:right w:val="nil"/>
            </w:tcBorders>
            <w:tcMar>
              <w:top w:w="80" w:type="dxa"/>
              <w:left w:w="100" w:type="dxa"/>
              <w:bottom w:w="80" w:type="dxa"/>
              <w:right w:w="100" w:type="dxa"/>
            </w:tcMar>
            <w:vAlign w:val="center"/>
          </w:tcPr>
          <w:p w14:paraId="5671A70D" w14:textId="77777777" w:rsidR="00007BCE" w:rsidRPr="00160297" w:rsidRDefault="00000000">
            <w:pPr>
              <w:spacing w:line="259" w:lineRule="auto"/>
            </w:pPr>
            <w:r w:rsidRPr="00160297">
              <w:rPr>
                <w:sz w:val="18"/>
              </w:rPr>
              <w:t>8 blocks</w:t>
            </w:r>
          </w:p>
        </w:tc>
        <w:tc>
          <w:tcPr>
            <w:tcW w:w="1814" w:type="dxa"/>
            <w:tcBorders>
              <w:top w:val="nil"/>
              <w:left w:val="nil"/>
              <w:bottom w:val="nil"/>
              <w:right w:val="nil"/>
            </w:tcBorders>
            <w:tcMar>
              <w:top w:w="80" w:type="dxa"/>
              <w:left w:w="100" w:type="dxa"/>
              <w:bottom w:w="80" w:type="dxa"/>
              <w:right w:w="100" w:type="dxa"/>
            </w:tcMar>
            <w:vAlign w:val="center"/>
          </w:tcPr>
          <w:p w14:paraId="6122819A" w14:textId="77777777" w:rsidR="00007BCE" w:rsidRPr="00160297" w:rsidRDefault="00000000">
            <w:pPr>
              <w:spacing w:line="259" w:lineRule="auto"/>
            </w:pPr>
            <w:r w:rsidRPr="00160297">
              <w:rPr>
                <w:sz w:val="18"/>
              </w:rPr>
              <w:t>Block-level concordance modestly positive overall</w:t>
            </w:r>
          </w:p>
        </w:tc>
        <w:tc>
          <w:tcPr>
            <w:tcW w:w="1928" w:type="dxa"/>
            <w:tcBorders>
              <w:top w:val="nil"/>
              <w:left w:val="nil"/>
              <w:bottom w:val="nil"/>
              <w:right w:val="nil"/>
            </w:tcBorders>
            <w:tcMar>
              <w:top w:w="80" w:type="dxa"/>
              <w:left w:w="100" w:type="dxa"/>
              <w:bottom w:w="80" w:type="dxa"/>
              <w:right w:w="100" w:type="dxa"/>
            </w:tcMar>
            <w:vAlign w:val="center"/>
          </w:tcPr>
          <w:p w14:paraId="03D2CFA9" w14:textId="77777777" w:rsidR="00007BCE" w:rsidRPr="00160297" w:rsidRDefault="00000000">
            <w:pPr>
              <w:spacing w:line="259" w:lineRule="auto"/>
            </w:pPr>
            <w:r w:rsidRPr="00160297">
              <w:rPr>
                <w:sz w:val="18"/>
              </w:rPr>
              <w:t>Supports localized shared architecture</w:t>
            </w:r>
          </w:p>
        </w:tc>
        <w:tc>
          <w:tcPr>
            <w:tcW w:w="1134" w:type="dxa"/>
            <w:tcBorders>
              <w:top w:val="nil"/>
              <w:left w:val="nil"/>
              <w:bottom w:val="nil"/>
              <w:right w:val="nil"/>
            </w:tcBorders>
            <w:tcMar>
              <w:top w:w="80" w:type="dxa"/>
              <w:left w:w="100" w:type="dxa"/>
              <w:bottom w:w="80" w:type="dxa"/>
              <w:right w:w="100" w:type="dxa"/>
            </w:tcMar>
            <w:vAlign w:val="center"/>
          </w:tcPr>
          <w:p w14:paraId="49752A49" w14:textId="77777777" w:rsidR="00007BCE" w:rsidRPr="00160297" w:rsidRDefault="00000000">
            <w:pPr>
              <w:spacing w:line="259" w:lineRule="auto"/>
            </w:pPr>
            <w:r w:rsidRPr="00160297">
              <w:rPr>
                <w:sz w:val="18"/>
              </w:rPr>
              <w:t>Main text / supplement</w:t>
            </w:r>
          </w:p>
        </w:tc>
      </w:tr>
      <w:tr w:rsidR="00160297" w:rsidRPr="00160297" w14:paraId="3732FD6F" w14:textId="77777777" w:rsidTr="00160297">
        <w:trPr>
          <w:jc w:val="center"/>
        </w:trPr>
        <w:tc>
          <w:tcPr>
            <w:tcW w:w="1814" w:type="dxa"/>
            <w:tcBorders>
              <w:top w:val="nil"/>
              <w:left w:val="nil"/>
              <w:bottom w:val="nil"/>
              <w:right w:val="nil"/>
            </w:tcBorders>
            <w:tcMar>
              <w:top w:w="80" w:type="dxa"/>
              <w:left w:w="100" w:type="dxa"/>
              <w:bottom w:w="80" w:type="dxa"/>
              <w:right w:w="100" w:type="dxa"/>
            </w:tcMar>
            <w:vAlign w:val="center"/>
          </w:tcPr>
          <w:p w14:paraId="7DC396B4" w14:textId="77777777" w:rsidR="00007BCE" w:rsidRPr="00160297" w:rsidRDefault="00000000">
            <w:pPr>
              <w:spacing w:line="259" w:lineRule="auto"/>
            </w:pPr>
            <w:r w:rsidRPr="00160297">
              <w:rPr>
                <w:sz w:val="18"/>
              </w:rPr>
              <w:t>Shared-liability loci</w:t>
            </w:r>
          </w:p>
        </w:tc>
        <w:tc>
          <w:tcPr>
            <w:tcW w:w="1814" w:type="dxa"/>
            <w:tcBorders>
              <w:top w:val="nil"/>
              <w:left w:val="nil"/>
              <w:bottom w:val="nil"/>
              <w:right w:val="nil"/>
            </w:tcBorders>
            <w:tcMar>
              <w:top w:w="80" w:type="dxa"/>
              <w:left w:w="100" w:type="dxa"/>
              <w:bottom w:w="80" w:type="dxa"/>
              <w:right w:w="100" w:type="dxa"/>
            </w:tcMar>
            <w:vAlign w:val="center"/>
          </w:tcPr>
          <w:p w14:paraId="53796AC8" w14:textId="77777777" w:rsidR="00007BCE" w:rsidRPr="00160297" w:rsidRDefault="00000000">
            <w:pPr>
              <w:spacing w:line="259" w:lineRule="auto"/>
            </w:pPr>
            <w:r w:rsidRPr="00160297">
              <w:rPr>
                <w:sz w:val="18"/>
              </w:rPr>
              <w:t>204 candidate loci</w:t>
            </w:r>
          </w:p>
        </w:tc>
        <w:tc>
          <w:tcPr>
            <w:tcW w:w="1814" w:type="dxa"/>
            <w:tcBorders>
              <w:top w:val="nil"/>
              <w:left w:val="nil"/>
              <w:bottom w:val="nil"/>
              <w:right w:val="nil"/>
            </w:tcBorders>
            <w:tcMar>
              <w:top w:w="80" w:type="dxa"/>
              <w:left w:w="100" w:type="dxa"/>
              <w:bottom w:w="80" w:type="dxa"/>
              <w:right w:w="100" w:type="dxa"/>
            </w:tcMar>
            <w:vAlign w:val="center"/>
          </w:tcPr>
          <w:p w14:paraId="74024A01" w14:textId="77777777" w:rsidR="00007BCE" w:rsidRPr="00160297" w:rsidRDefault="00000000">
            <w:pPr>
              <w:spacing w:line="259" w:lineRule="auto"/>
            </w:pPr>
            <w:r w:rsidRPr="00160297">
              <w:rPr>
                <w:sz w:val="18"/>
              </w:rPr>
              <w:t>Top signals supported by multi-variant concordance</w:t>
            </w:r>
          </w:p>
        </w:tc>
        <w:tc>
          <w:tcPr>
            <w:tcW w:w="1928" w:type="dxa"/>
            <w:tcBorders>
              <w:top w:val="nil"/>
              <w:left w:val="nil"/>
              <w:bottom w:val="nil"/>
              <w:right w:val="nil"/>
            </w:tcBorders>
            <w:tcMar>
              <w:top w:w="80" w:type="dxa"/>
              <w:left w:w="100" w:type="dxa"/>
              <w:bottom w:w="80" w:type="dxa"/>
              <w:right w:w="100" w:type="dxa"/>
            </w:tcMar>
            <w:vAlign w:val="center"/>
          </w:tcPr>
          <w:p w14:paraId="16DDEFEB" w14:textId="77777777" w:rsidR="00007BCE" w:rsidRPr="00160297" w:rsidRDefault="00000000">
            <w:pPr>
              <w:spacing w:line="259" w:lineRule="auto"/>
            </w:pPr>
            <w:r w:rsidRPr="00160297">
              <w:rPr>
                <w:sz w:val="18"/>
              </w:rPr>
              <w:t>Defines discovery candidate space</w:t>
            </w:r>
          </w:p>
        </w:tc>
        <w:tc>
          <w:tcPr>
            <w:tcW w:w="1134" w:type="dxa"/>
            <w:tcBorders>
              <w:top w:val="nil"/>
              <w:left w:val="nil"/>
              <w:bottom w:val="nil"/>
              <w:right w:val="nil"/>
            </w:tcBorders>
            <w:tcMar>
              <w:top w:w="80" w:type="dxa"/>
              <w:left w:w="100" w:type="dxa"/>
              <w:bottom w:w="80" w:type="dxa"/>
              <w:right w:w="100" w:type="dxa"/>
            </w:tcMar>
            <w:vAlign w:val="center"/>
          </w:tcPr>
          <w:p w14:paraId="5B49BF0B" w14:textId="77777777" w:rsidR="00007BCE" w:rsidRPr="00160297" w:rsidRDefault="00000000">
            <w:pPr>
              <w:spacing w:line="259" w:lineRule="auto"/>
            </w:pPr>
            <w:r w:rsidRPr="00160297">
              <w:rPr>
                <w:sz w:val="18"/>
              </w:rPr>
              <w:t>Main text</w:t>
            </w:r>
          </w:p>
        </w:tc>
      </w:tr>
      <w:tr w:rsidR="00160297" w:rsidRPr="00160297" w14:paraId="770D85F9" w14:textId="77777777" w:rsidTr="00160297">
        <w:trPr>
          <w:jc w:val="center"/>
        </w:trPr>
        <w:tc>
          <w:tcPr>
            <w:tcW w:w="1814" w:type="dxa"/>
            <w:tcBorders>
              <w:top w:val="nil"/>
              <w:left w:val="nil"/>
              <w:right w:val="nil"/>
            </w:tcBorders>
            <w:tcMar>
              <w:top w:w="80" w:type="dxa"/>
              <w:left w:w="100" w:type="dxa"/>
              <w:bottom w:w="80" w:type="dxa"/>
              <w:right w:w="100" w:type="dxa"/>
            </w:tcMar>
            <w:vAlign w:val="center"/>
          </w:tcPr>
          <w:p w14:paraId="3A316F81" w14:textId="77777777" w:rsidR="00007BCE" w:rsidRPr="00160297" w:rsidRDefault="00000000">
            <w:pPr>
              <w:spacing w:line="259" w:lineRule="auto"/>
            </w:pPr>
            <w:r w:rsidRPr="00160297">
              <w:rPr>
                <w:sz w:val="18"/>
              </w:rPr>
              <w:t>External anchoring</w:t>
            </w:r>
          </w:p>
        </w:tc>
        <w:tc>
          <w:tcPr>
            <w:tcW w:w="1814" w:type="dxa"/>
            <w:tcBorders>
              <w:top w:val="nil"/>
              <w:left w:val="nil"/>
              <w:right w:val="nil"/>
            </w:tcBorders>
            <w:tcMar>
              <w:top w:w="80" w:type="dxa"/>
              <w:left w:w="100" w:type="dxa"/>
              <w:bottom w:w="80" w:type="dxa"/>
              <w:right w:w="100" w:type="dxa"/>
            </w:tcMar>
            <w:vAlign w:val="center"/>
          </w:tcPr>
          <w:p w14:paraId="158F7C16" w14:textId="77777777" w:rsidR="00007BCE" w:rsidRPr="00160297" w:rsidRDefault="00000000">
            <w:pPr>
              <w:spacing w:line="259" w:lineRule="auto"/>
            </w:pPr>
            <w:r w:rsidRPr="00160297">
              <w:rPr>
                <w:sz w:val="18"/>
              </w:rPr>
              <w:t>133 matched; 19 nominal; 71.3% direction concordance</w:t>
            </w:r>
          </w:p>
        </w:tc>
        <w:tc>
          <w:tcPr>
            <w:tcW w:w="1814" w:type="dxa"/>
            <w:tcBorders>
              <w:top w:val="nil"/>
              <w:left w:val="nil"/>
              <w:right w:val="nil"/>
            </w:tcBorders>
            <w:tcMar>
              <w:top w:w="80" w:type="dxa"/>
              <w:left w:w="100" w:type="dxa"/>
              <w:bottom w:w="80" w:type="dxa"/>
              <w:right w:w="100" w:type="dxa"/>
            </w:tcMar>
            <w:vAlign w:val="center"/>
          </w:tcPr>
          <w:p w14:paraId="3C9811C3" w14:textId="77777777" w:rsidR="00007BCE" w:rsidRPr="00160297" w:rsidRDefault="00000000">
            <w:pPr>
              <w:spacing w:line="259" w:lineRule="auto"/>
            </w:pPr>
            <w:r w:rsidRPr="00160297">
              <w:rPr>
                <w:sz w:val="18"/>
              </w:rPr>
              <w:t>Supportive rather than confirmatory</w:t>
            </w:r>
          </w:p>
        </w:tc>
        <w:tc>
          <w:tcPr>
            <w:tcW w:w="1928" w:type="dxa"/>
            <w:tcBorders>
              <w:top w:val="nil"/>
              <w:left w:val="nil"/>
              <w:right w:val="nil"/>
            </w:tcBorders>
            <w:tcMar>
              <w:top w:w="80" w:type="dxa"/>
              <w:left w:w="100" w:type="dxa"/>
              <w:bottom w:w="80" w:type="dxa"/>
              <w:right w:w="100" w:type="dxa"/>
            </w:tcMar>
            <w:vAlign w:val="center"/>
          </w:tcPr>
          <w:p w14:paraId="30EE4167" w14:textId="77777777" w:rsidR="00007BCE" w:rsidRPr="00160297" w:rsidRDefault="00000000">
            <w:pPr>
              <w:spacing w:line="259" w:lineRule="auto"/>
            </w:pPr>
            <w:r w:rsidRPr="00160297">
              <w:rPr>
                <w:sz w:val="18"/>
              </w:rPr>
              <w:t>Anchors generalizability beyond FinnGen</w:t>
            </w:r>
          </w:p>
        </w:tc>
        <w:tc>
          <w:tcPr>
            <w:tcW w:w="1134" w:type="dxa"/>
            <w:tcBorders>
              <w:top w:val="nil"/>
              <w:left w:val="nil"/>
              <w:right w:val="nil"/>
            </w:tcBorders>
            <w:tcMar>
              <w:top w:w="80" w:type="dxa"/>
              <w:left w:w="100" w:type="dxa"/>
              <w:bottom w:w="80" w:type="dxa"/>
              <w:right w:w="100" w:type="dxa"/>
            </w:tcMar>
            <w:vAlign w:val="center"/>
          </w:tcPr>
          <w:p w14:paraId="3F4FE4E9" w14:textId="77777777" w:rsidR="00007BCE" w:rsidRPr="00160297" w:rsidRDefault="00000000">
            <w:pPr>
              <w:spacing w:line="259" w:lineRule="auto"/>
            </w:pPr>
            <w:r w:rsidRPr="00160297">
              <w:rPr>
                <w:sz w:val="18"/>
              </w:rPr>
              <w:t>Main text</w:t>
            </w:r>
          </w:p>
        </w:tc>
      </w:tr>
    </w:tbl>
    <w:p w14:paraId="5CD99EA9" w14:textId="77777777" w:rsidR="00007BCE" w:rsidRPr="00160297" w:rsidRDefault="00007BCE"/>
    <w:p w14:paraId="23A8A751" w14:textId="77777777" w:rsidR="00007BCE" w:rsidRPr="00160297" w:rsidRDefault="00000000">
      <w:pPr>
        <w:pStyle w:val="21"/>
        <w:rPr>
          <w:color w:val="auto"/>
        </w:rPr>
      </w:pPr>
      <w:r w:rsidRPr="00160297">
        <w:rPr>
          <w:color w:val="auto"/>
        </w:rPr>
        <w:t>Supplementary Table S5. Final prioritized candidates and confidence classification</w:t>
      </w:r>
    </w:p>
    <w:tbl>
      <w:tblPr>
        <w:tblStyle w:val="aff1"/>
        <w:tblW w:w="0" w:type="auto"/>
        <w:jc w:val="center"/>
        <w:tblLayout w:type="fixed"/>
        <w:tblLook w:val="04A0" w:firstRow="1" w:lastRow="0" w:firstColumn="1" w:lastColumn="0" w:noHBand="0" w:noVBand="1"/>
      </w:tblPr>
      <w:tblGrid>
        <w:gridCol w:w="1531"/>
        <w:gridCol w:w="1474"/>
        <w:gridCol w:w="5216"/>
      </w:tblGrid>
      <w:tr w:rsidR="00160297" w:rsidRPr="00160297" w14:paraId="26131D93" w14:textId="77777777" w:rsidTr="00DA220B">
        <w:trPr>
          <w:tblHeader/>
          <w:jc w:val="center"/>
        </w:trPr>
        <w:tc>
          <w:tcPr>
            <w:tcW w:w="1531" w:type="dxa"/>
            <w:tcBorders>
              <w:left w:val="nil"/>
              <w:bottom w:val="single" w:sz="4" w:space="0" w:color="auto"/>
              <w:right w:val="nil"/>
            </w:tcBorders>
            <w:shd w:val="clear" w:color="auto" w:fill="D9E2F3"/>
            <w:tcMar>
              <w:top w:w="80" w:type="dxa"/>
              <w:left w:w="100" w:type="dxa"/>
              <w:bottom w:w="80" w:type="dxa"/>
              <w:right w:w="100" w:type="dxa"/>
            </w:tcMar>
            <w:vAlign w:val="center"/>
          </w:tcPr>
          <w:p w14:paraId="182793D0" w14:textId="77777777" w:rsidR="00007BCE" w:rsidRPr="00160297" w:rsidRDefault="00000000">
            <w:pPr>
              <w:spacing w:line="259" w:lineRule="auto"/>
              <w:jc w:val="center"/>
            </w:pPr>
            <w:r w:rsidRPr="00160297">
              <w:rPr>
                <w:b/>
                <w:sz w:val="18"/>
              </w:rPr>
              <w:t>Candidate</w:t>
            </w:r>
          </w:p>
        </w:tc>
        <w:tc>
          <w:tcPr>
            <w:tcW w:w="1474" w:type="dxa"/>
            <w:tcBorders>
              <w:left w:val="nil"/>
              <w:bottom w:val="single" w:sz="4" w:space="0" w:color="auto"/>
              <w:right w:val="nil"/>
            </w:tcBorders>
            <w:shd w:val="clear" w:color="auto" w:fill="D9E2F3"/>
            <w:tcMar>
              <w:top w:w="80" w:type="dxa"/>
              <w:left w:w="100" w:type="dxa"/>
              <w:bottom w:w="80" w:type="dxa"/>
              <w:right w:w="100" w:type="dxa"/>
            </w:tcMar>
            <w:vAlign w:val="center"/>
          </w:tcPr>
          <w:p w14:paraId="415E4DAE" w14:textId="77777777" w:rsidR="00007BCE" w:rsidRPr="00160297" w:rsidRDefault="00000000">
            <w:pPr>
              <w:spacing w:line="259" w:lineRule="auto"/>
              <w:jc w:val="center"/>
            </w:pPr>
            <w:r w:rsidRPr="00160297">
              <w:rPr>
                <w:b/>
                <w:sz w:val="18"/>
              </w:rPr>
              <w:t>Confidence class</w:t>
            </w:r>
          </w:p>
        </w:tc>
        <w:tc>
          <w:tcPr>
            <w:tcW w:w="5216" w:type="dxa"/>
            <w:tcBorders>
              <w:left w:val="nil"/>
              <w:bottom w:val="single" w:sz="4" w:space="0" w:color="auto"/>
              <w:right w:val="nil"/>
            </w:tcBorders>
            <w:shd w:val="clear" w:color="auto" w:fill="D9E2F3"/>
            <w:tcMar>
              <w:top w:w="80" w:type="dxa"/>
              <w:left w:w="100" w:type="dxa"/>
              <w:bottom w:w="80" w:type="dxa"/>
              <w:right w:w="100" w:type="dxa"/>
            </w:tcMar>
            <w:vAlign w:val="center"/>
          </w:tcPr>
          <w:p w14:paraId="59D6F21D" w14:textId="77777777" w:rsidR="00007BCE" w:rsidRPr="00160297" w:rsidRDefault="00000000">
            <w:pPr>
              <w:spacing w:line="259" w:lineRule="auto"/>
              <w:jc w:val="center"/>
            </w:pPr>
            <w:r w:rsidRPr="00160297">
              <w:rPr>
                <w:b/>
                <w:sz w:val="18"/>
              </w:rPr>
              <w:t>Interpretive note</w:t>
            </w:r>
          </w:p>
        </w:tc>
      </w:tr>
      <w:tr w:rsidR="00160297" w:rsidRPr="00160297" w14:paraId="0C668EFB" w14:textId="77777777" w:rsidTr="00DA220B">
        <w:trPr>
          <w:jc w:val="center"/>
        </w:trPr>
        <w:tc>
          <w:tcPr>
            <w:tcW w:w="1531" w:type="dxa"/>
            <w:tcBorders>
              <w:left w:val="nil"/>
              <w:bottom w:val="nil"/>
              <w:right w:val="nil"/>
            </w:tcBorders>
            <w:tcMar>
              <w:top w:w="80" w:type="dxa"/>
              <w:left w:w="100" w:type="dxa"/>
              <w:bottom w:w="80" w:type="dxa"/>
              <w:right w:w="100" w:type="dxa"/>
            </w:tcMar>
            <w:vAlign w:val="center"/>
          </w:tcPr>
          <w:p w14:paraId="46625E7A" w14:textId="77777777" w:rsidR="00007BCE" w:rsidRPr="00160297" w:rsidRDefault="00000000">
            <w:pPr>
              <w:spacing w:line="259" w:lineRule="auto"/>
            </w:pPr>
            <w:r w:rsidRPr="00160297">
              <w:rPr>
                <w:sz w:val="18"/>
              </w:rPr>
              <w:t>ARMC9</w:t>
            </w:r>
          </w:p>
        </w:tc>
        <w:tc>
          <w:tcPr>
            <w:tcW w:w="1474" w:type="dxa"/>
            <w:tcBorders>
              <w:left w:val="nil"/>
              <w:bottom w:val="nil"/>
              <w:right w:val="nil"/>
            </w:tcBorders>
            <w:tcMar>
              <w:top w:w="80" w:type="dxa"/>
              <w:left w:w="100" w:type="dxa"/>
              <w:bottom w:w="80" w:type="dxa"/>
              <w:right w:w="100" w:type="dxa"/>
            </w:tcMar>
            <w:vAlign w:val="center"/>
          </w:tcPr>
          <w:p w14:paraId="46CF5280" w14:textId="77777777" w:rsidR="00007BCE" w:rsidRPr="00160297" w:rsidRDefault="00000000">
            <w:pPr>
              <w:spacing w:line="259" w:lineRule="auto"/>
            </w:pPr>
            <w:r w:rsidRPr="00160297">
              <w:rPr>
                <w:sz w:val="18"/>
              </w:rPr>
              <w:t>High confidence</w:t>
            </w:r>
          </w:p>
        </w:tc>
        <w:tc>
          <w:tcPr>
            <w:tcW w:w="5216" w:type="dxa"/>
            <w:tcBorders>
              <w:left w:val="nil"/>
              <w:bottom w:val="nil"/>
              <w:right w:val="nil"/>
            </w:tcBorders>
            <w:tcMar>
              <w:top w:w="80" w:type="dxa"/>
              <w:left w:w="100" w:type="dxa"/>
              <w:bottom w:w="80" w:type="dxa"/>
              <w:right w:w="100" w:type="dxa"/>
            </w:tcMar>
            <w:vAlign w:val="center"/>
          </w:tcPr>
          <w:p w14:paraId="1A9CCCB9" w14:textId="77777777" w:rsidR="00007BCE" w:rsidRPr="00160297" w:rsidRDefault="00000000">
            <w:pPr>
              <w:spacing w:line="259" w:lineRule="auto"/>
            </w:pPr>
            <w:r w:rsidRPr="00160297">
              <w:rPr>
                <w:sz w:val="18"/>
              </w:rPr>
              <w:t>Retained after cross-layer integration; not interpreted as disease-exclusive on its own</w:t>
            </w:r>
          </w:p>
        </w:tc>
      </w:tr>
      <w:tr w:rsidR="00160297" w:rsidRPr="00160297" w14:paraId="032EF992" w14:textId="77777777" w:rsidTr="00DA220B">
        <w:trPr>
          <w:jc w:val="center"/>
        </w:trPr>
        <w:tc>
          <w:tcPr>
            <w:tcW w:w="1531" w:type="dxa"/>
            <w:tcBorders>
              <w:top w:val="nil"/>
              <w:left w:val="nil"/>
              <w:bottom w:val="nil"/>
              <w:right w:val="nil"/>
            </w:tcBorders>
            <w:tcMar>
              <w:top w:w="80" w:type="dxa"/>
              <w:left w:w="100" w:type="dxa"/>
              <w:bottom w:w="80" w:type="dxa"/>
              <w:right w:w="100" w:type="dxa"/>
            </w:tcMar>
            <w:vAlign w:val="center"/>
          </w:tcPr>
          <w:p w14:paraId="5587E862" w14:textId="77777777" w:rsidR="00007BCE" w:rsidRPr="00160297" w:rsidRDefault="00000000">
            <w:pPr>
              <w:spacing w:line="259" w:lineRule="auto"/>
            </w:pPr>
            <w:r w:rsidRPr="00160297">
              <w:rPr>
                <w:sz w:val="18"/>
              </w:rPr>
              <w:t>OTOG</w:t>
            </w:r>
          </w:p>
        </w:tc>
        <w:tc>
          <w:tcPr>
            <w:tcW w:w="1474" w:type="dxa"/>
            <w:tcBorders>
              <w:top w:val="nil"/>
              <w:left w:val="nil"/>
              <w:bottom w:val="nil"/>
              <w:right w:val="nil"/>
            </w:tcBorders>
            <w:tcMar>
              <w:top w:w="80" w:type="dxa"/>
              <w:left w:w="100" w:type="dxa"/>
              <w:bottom w:w="80" w:type="dxa"/>
              <w:right w:w="100" w:type="dxa"/>
            </w:tcMar>
            <w:vAlign w:val="center"/>
          </w:tcPr>
          <w:p w14:paraId="59EAD017" w14:textId="77777777" w:rsidR="00007BCE" w:rsidRPr="00160297" w:rsidRDefault="00000000">
            <w:pPr>
              <w:spacing w:line="259" w:lineRule="auto"/>
            </w:pPr>
            <w:r w:rsidRPr="00160297">
              <w:rPr>
                <w:sz w:val="18"/>
              </w:rPr>
              <w:t>High confidence</w:t>
            </w:r>
          </w:p>
        </w:tc>
        <w:tc>
          <w:tcPr>
            <w:tcW w:w="5216" w:type="dxa"/>
            <w:tcBorders>
              <w:top w:val="nil"/>
              <w:left w:val="nil"/>
              <w:bottom w:val="nil"/>
              <w:right w:val="nil"/>
            </w:tcBorders>
            <w:tcMar>
              <w:top w:w="80" w:type="dxa"/>
              <w:left w:w="100" w:type="dxa"/>
              <w:bottom w:w="80" w:type="dxa"/>
              <w:right w:w="100" w:type="dxa"/>
            </w:tcMar>
            <w:vAlign w:val="center"/>
          </w:tcPr>
          <w:p w14:paraId="203DF00E" w14:textId="77777777" w:rsidR="00007BCE" w:rsidRPr="00160297" w:rsidRDefault="00000000">
            <w:pPr>
              <w:spacing w:line="259" w:lineRule="auto"/>
            </w:pPr>
            <w:r w:rsidRPr="00160297">
              <w:rPr>
                <w:sz w:val="18"/>
              </w:rPr>
              <w:t>Supports preferential vestibular landing rather than a purely peripheral disease model</w:t>
            </w:r>
          </w:p>
        </w:tc>
      </w:tr>
      <w:tr w:rsidR="00160297" w:rsidRPr="00160297" w14:paraId="759F41CB" w14:textId="77777777" w:rsidTr="00DA220B">
        <w:trPr>
          <w:jc w:val="center"/>
        </w:trPr>
        <w:tc>
          <w:tcPr>
            <w:tcW w:w="1531" w:type="dxa"/>
            <w:tcBorders>
              <w:top w:val="nil"/>
              <w:left w:val="nil"/>
              <w:bottom w:val="nil"/>
              <w:right w:val="nil"/>
            </w:tcBorders>
            <w:tcMar>
              <w:top w:w="80" w:type="dxa"/>
              <w:left w:w="100" w:type="dxa"/>
              <w:bottom w:w="80" w:type="dxa"/>
              <w:right w:w="100" w:type="dxa"/>
            </w:tcMar>
            <w:vAlign w:val="center"/>
          </w:tcPr>
          <w:p w14:paraId="3C28F728" w14:textId="77777777" w:rsidR="00007BCE" w:rsidRPr="00160297" w:rsidRDefault="00000000">
            <w:pPr>
              <w:spacing w:line="259" w:lineRule="auto"/>
            </w:pPr>
            <w:r w:rsidRPr="00160297">
              <w:rPr>
                <w:sz w:val="18"/>
              </w:rPr>
              <w:lastRenderedPageBreak/>
              <w:t>OTOGL</w:t>
            </w:r>
          </w:p>
        </w:tc>
        <w:tc>
          <w:tcPr>
            <w:tcW w:w="1474" w:type="dxa"/>
            <w:tcBorders>
              <w:top w:val="nil"/>
              <w:left w:val="nil"/>
              <w:bottom w:val="nil"/>
              <w:right w:val="nil"/>
            </w:tcBorders>
            <w:tcMar>
              <w:top w:w="80" w:type="dxa"/>
              <w:left w:w="100" w:type="dxa"/>
              <w:bottom w:w="80" w:type="dxa"/>
              <w:right w:w="100" w:type="dxa"/>
            </w:tcMar>
            <w:vAlign w:val="center"/>
          </w:tcPr>
          <w:p w14:paraId="0A9E9E51" w14:textId="77777777" w:rsidR="00007BCE" w:rsidRPr="00160297" w:rsidRDefault="00000000">
            <w:pPr>
              <w:spacing w:line="259" w:lineRule="auto"/>
            </w:pPr>
            <w:r w:rsidRPr="00160297">
              <w:rPr>
                <w:sz w:val="18"/>
              </w:rPr>
              <w:t>High confidence</w:t>
            </w:r>
          </w:p>
        </w:tc>
        <w:tc>
          <w:tcPr>
            <w:tcW w:w="5216" w:type="dxa"/>
            <w:tcBorders>
              <w:top w:val="nil"/>
              <w:left w:val="nil"/>
              <w:bottom w:val="nil"/>
              <w:right w:val="nil"/>
            </w:tcBorders>
            <w:tcMar>
              <w:top w:w="80" w:type="dxa"/>
              <w:left w:w="100" w:type="dxa"/>
              <w:bottom w:w="80" w:type="dxa"/>
              <w:right w:w="100" w:type="dxa"/>
            </w:tcMar>
            <w:vAlign w:val="center"/>
          </w:tcPr>
          <w:p w14:paraId="022C394F" w14:textId="77777777" w:rsidR="00007BCE" w:rsidRPr="00160297" w:rsidRDefault="00000000">
            <w:pPr>
              <w:spacing w:line="259" w:lineRule="auto"/>
            </w:pPr>
            <w:r w:rsidRPr="00160297">
              <w:rPr>
                <w:sz w:val="18"/>
              </w:rPr>
              <w:t>Consistent with inner-ear support/interface biology within a shared-liability framework</w:t>
            </w:r>
          </w:p>
        </w:tc>
      </w:tr>
      <w:tr w:rsidR="00160297" w:rsidRPr="00160297" w14:paraId="14534BA8" w14:textId="77777777" w:rsidTr="00DA220B">
        <w:trPr>
          <w:jc w:val="center"/>
        </w:trPr>
        <w:tc>
          <w:tcPr>
            <w:tcW w:w="1531" w:type="dxa"/>
            <w:tcBorders>
              <w:top w:val="nil"/>
              <w:left w:val="nil"/>
              <w:bottom w:val="nil"/>
              <w:right w:val="nil"/>
            </w:tcBorders>
            <w:tcMar>
              <w:top w:w="80" w:type="dxa"/>
              <w:left w:w="100" w:type="dxa"/>
              <w:bottom w:w="80" w:type="dxa"/>
              <w:right w:w="100" w:type="dxa"/>
            </w:tcMar>
            <w:vAlign w:val="center"/>
          </w:tcPr>
          <w:p w14:paraId="79AC0E7E" w14:textId="77777777" w:rsidR="00007BCE" w:rsidRPr="00160297" w:rsidRDefault="00000000">
            <w:pPr>
              <w:spacing w:line="259" w:lineRule="auto"/>
            </w:pPr>
            <w:r w:rsidRPr="00160297">
              <w:rPr>
                <w:sz w:val="18"/>
              </w:rPr>
              <w:t>TECTA</w:t>
            </w:r>
          </w:p>
        </w:tc>
        <w:tc>
          <w:tcPr>
            <w:tcW w:w="1474" w:type="dxa"/>
            <w:tcBorders>
              <w:top w:val="nil"/>
              <w:left w:val="nil"/>
              <w:bottom w:val="nil"/>
              <w:right w:val="nil"/>
            </w:tcBorders>
            <w:tcMar>
              <w:top w:w="80" w:type="dxa"/>
              <w:left w:w="100" w:type="dxa"/>
              <w:bottom w:w="80" w:type="dxa"/>
              <w:right w:w="100" w:type="dxa"/>
            </w:tcMar>
            <w:vAlign w:val="center"/>
          </w:tcPr>
          <w:p w14:paraId="58B4F162" w14:textId="77777777" w:rsidR="00007BCE" w:rsidRPr="00160297" w:rsidRDefault="00000000">
            <w:pPr>
              <w:spacing w:line="259" w:lineRule="auto"/>
            </w:pPr>
            <w:r w:rsidRPr="00160297">
              <w:rPr>
                <w:sz w:val="18"/>
              </w:rPr>
              <w:t>High confidence</w:t>
            </w:r>
          </w:p>
        </w:tc>
        <w:tc>
          <w:tcPr>
            <w:tcW w:w="5216" w:type="dxa"/>
            <w:tcBorders>
              <w:top w:val="nil"/>
              <w:left w:val="nil"/>
              <w:bottom w:val="nil"/>
              <w:right w:val="nil"/>
            </w:tcBorders>
            <w:tcMar>
              <w:top w:w="80" w:type="dxa"/>
              <w:left w:w="100" w:type="dxa"/>
              <w:bottom w:w="80" w:type="dxa"/>
              <w:right w:w="100" w:type="dxa"/>
            </w:tcMar>
            <w:vAlign w:val="center"/>
          </w:tcPr>
          <w:p w14:paraId="309D0EF3" w14:textId="77777777" w:rsidR="00007BCE" w:rsidRPr="00160297" w:rsidRDefault="00000000">
            <w:pPr>
              <w:spacing w:line="259" w:lineRule="auto"/>
            </w:pPr>
            <w:r w:rsidRPr="00160297">
              <w:rPr>
                <w:sz w:val="18"/>
              </w:rPr>
              <w:t>Interpreted as supportive of vestibular localization, not as proof of pure cochlear pathology</w:t>
            </w:r>
          </w:p>
        </w:tc>
      </w:tr>
      <w:tr w:rsidR="00160297" w:rsidRPr="00160297" w14:paraId="652094F9" w14:textId="77777777" w:rsidTr="00DA220B">
        <w:trPr>
          <w:jc w:val="center"/>
        </w:trPr>
        <w:tc>
          <w:tcPr>
            <w:tcW w:w="1531" w:type="dxa"/>
            <w:tcBorders>
              <w:top w:val="nil"/>
              <w:left w:val="nil"/>
              <w:bottom w:val="nil"/>
              <w:right w:val="nil"/>
            </w:tcBorders>
            <w:tcMar>
              <w:top w:w="80" w:type="dxa"/>
              <w:left w:w="100" w:type="dxa"/>
              <w:bottom w:w="80" w:type="dxa"/>
              <w:right w:w="100" w:type="dxa"/>
            </w:tcMar>
            <w:vAlign w:val="center"/>
          </w:tcPr>
          <w:p w14:paraId="5A8A3B87" w14:textId="77777777" w:rsidR="00007BCE" w:rsidRPr="00160297" w:rsidRDefault="00000000">
            <w:pPr>
              <w:spacing w:line="259" w:lineRule="auto"/>
            </w:pPr>
            <w:r w:rsidRPr="00160297">
              <w:rPr>
                <w:sz w:val="18"/>
              </w:rPr>
              <w:t>ZNF91</w:t>
            </w:r>
          </w:p>
        </w:tc>
        <w:tc>
          <w:tcPr>
            <w:tcW w:w="1474" w:type="dxa"/>
            <w:tcBorders>
              <w:top w:val="nil"/>
              <w:left w:val="nil"/>
              <w:bottom w:val="nil"/>
              <w:right w:val="nil"/>
            </w:tcBorders>
            <w:tcMar>
              <w:top w:w="80" w:type="dxa"/>
              <w:left w:w="100" w:type="dxa"/>
              <w:bottom w:w="80" w:type="dxa"/>
              <w:right w:w="100" w:type="dxa"/>
            </w:tcMar>
            <w:vAlign w:val="center"/>
          </w:tcPr>
          <w:p w14:paraId="041A9F89" w14:textId="77777777" w:rsidR="00007BCE" w:rsidRPr="00160297" w:rsidRDefault="00000000">
            <w:pPr>
              <w:spacing w:line="259" w:lineRule="auto"/>
            </w:pPr>
            <w:r w:rsidRPr="00160297">
              <w:rPr>
                <w:sz w:val="18"/>
              </w:rPr>
              <w:t>High confidence</w:t>
            </w:r>
          </w:p>
        </w:tc>
        <w:tc>
          <w:tcPr>
            <w:tcW w:w="5216" w:type="dxa"/>
            <w:tcBorders>
              <w:top w:val="nil"/>
              <w:left w:val="nil"/>
              <w:bottom w:val="nil"/>
              <w:right w:val="nil"/>
            </w:tcBorders>
            <w:tcMar>
              <w:top w:w="80" w:type="dxa"/>
              <w:left w:w="100" w:type="dxa"/>
              <w:bottom w:w="80" w:type="dxa"/>
              <w:right w:w="100" w:type="dxa"/>
            </w:tcMar>
            <w:vAlign w:val="center"/>
          </w:tcPr>
          <w:p w14:paraId="0C66F70E" w14:textId="77777777" w:rsidR="00007BCE" w:rsidRPr="00160297" w:rsidRDefault="00000000">
            <w:pPr>
              <w:spacing w:line="259" w:lineRule="auto"/>
            </w:pPr>
            <w:r w:rsidRPr="00160297">
              <w:rPr>
                <w:sz w:val="18"/>
              </w:rPr>
              <w:t>Prioritized through integrative evidence rather than single-layer nominal significance</w:t>
            </w:r>
          </w:p>
        </w:tc>
      </w:tr>
      <w:tr w:rsidR="00160297" w:rsidRPr="00160297" w14:paraId="22E48250" w14:textId="77777777" w:rsidTr="00DA220B">
        <w:trPr>
          <w:jc w:val="center"/>
        </w:trPr>
        <w:tc>
          <w:tcPr>
            <w:tcW w:w="1531" w:type="dxa"/>
            <w:tcBorders>
              <w:top w:val="nil"/>
              <w:left w:val="nil"/>
              <w:right w:val="nil"/>
            </w:tcBorders>
            <w:tcMar>
              <w:top w:w="80" w:type="dxa"/>
              <w:left w:w="100" w:type="dxa"/>
              <w:bottom w:w="80" w:type="dxa"/>
              <w:right w:w="100" w:type="dxa"/>
            </w:tcMar>
            <w:vAlign w:val="center"/>
          </w:tcPr>
          <w:p w14:paraId="2DFFF9D6" w14:textId="77777777" w:rsidR="00007BCE" w:rsidRPr="00160297" w:rsidRDefault="00000000">
            <w:pPr>
              <w:spacing w:line="259" w:lineRule="auto"/>
            </w:pPr>
            <w:r w:rsidRPr="00160297">
              <w:rPr>
                <w:sz w:val="18"/>
              </w:rPr>
              <w:t>OTOP1</w:t>
            </w:r>
          </w:p>
        </w:tc>
        <w:tc>
          <w:tcPr>
            <w:tcW w:w="1474" w:type="dxa"/>
            <w:tcBorders>
              <w:top w:val="nil"/>
              <w:left w:val="nil"/>
              <w:right w:val="nil"/>
            </w:tcBorders>
            <w:tcMar>
              <w:top w:w="80" w:type="dxa"/>
              <w:left w:w="100" w:type="dxa"/>
              <w:bottom w:w="80" w:type="dxa"/>
              <w:right w:w="100" w:type="dxa"/>
            </w:tcMar>
            <w:vAlign w:val="center"/>
          </w:tcPr>
          <w:p w14:paraId="5020575D" w14:textId="77777777" w:rsidR="00007BCE" w:rsidRPr="00160297" w:rsidRDefault="00000000">
            <w:pPr>
              <w:spacing w:line="259" w:lineRule="auto"/>
            </w:pPr>
            <w:r w:rsidRPr="00160297">
              <w:rPr>
                <w:sz w:val="18"/>
              </w:rPr>
              <w:t>Moderate confidence</w:t>
            </w:r>
          </w:p>
        </w:tc>
        <w:tc>
          <w:tcPr>
            <w:tcW w:w="5216" w:type="dxa"/>
            <w:tcBorders>
              <w:top w:val="nil"/>
              <w:left w:val="nil"/>
              <w:right w:val="nil"/>
            </w:tcBorders>
            <w:tcMar>
              <w:top w:w="80" w:type="dxa"/>
              <w:left w:w="100" w:type="dxa"/>
              <w:bottom w:w="80" w:type="dxa"/>
              <w:right w:w="100" w:type="dxa"/>
            </w:tcMar>
            <w:vAlign w:val="center"/>
          </w:tcPr>
          <w:p w14:paraId="03C475B6" w14:textId="77777777" w:rsidR="00007BCE" w:rsidRPr="00160297" w:rsidRDefault="00000000">
            <w:pPr>
              <w:spacing w:line="259" w:lineRule="auto"/>
            </w:pPr>
            <w:r w:rsidRPr="00160297">
              <w:rPr>
                <w:sz w:val="18"/>
              </w:rPr>
              <w:t>Biologically plausible but supported by less complete convergence across layers</w:t>
            </w:r>
          </w:p>
        </w:tc>
      </w:tr>
    </w:tbl>
    <w:p w14:paraId="3367FD92" w14:textId="77777777" w:rsidR="00007BCE" w:rsidRPr="00160297" w:rsidRDefault="00007BCE"/>
    <w:p w14:paraId="3777A0F5" w14:textId="77777777" w:rsidR="00007BCE" w:rsidRPr="00160297" w:rsidRDefault="00000000">
      <w:pPr>
        <w:pStyle w:val="1"/>
        <w:rPr>
          <w:color w:val="auto"/>
        </w:rPr>
      </w:pPr>
      <w:r w:rsidRPr="00160297">
        <w:rPr>
          <w:color w:val="auto"/>
        </w:rPr>
        <w:t>Supplementary overview</w:t>
      </w:r>
    </w:p>
    <w:p w14:paraId="0366A575" w14:textId="77777777" w:rsidR="00007BCE" w:rsidRPr="00160297" w:rsidRDefault="00000000">
      <w:pPr>
        <w:spacing w:after="120"/>
      </w:pPr>
      <w:r w:rsidRPr="00160297">
        <w:t>This appendix records the analytic hierarchy, interpretive boundaries, dataset inventory, and extended discovery-layer summary that sit behind the main manuscript. The study was designed as a multi-layer open-data triangulation analysis, not as a direct genome-wide association study of clinically adjudicated vestibular migraine (VM) [S2-S4].</w:t>
      </w:r>
    </w:p>
    <w:p w14:paraId="13E633CD" w14:textId="77777777" w:rsidR="00007BCE" w:rsidRPr="00160297" w:rsidRDefault="00000000">
      <w:pPr>
        <w:spacing w:after="120"/>
      </w:pPr>
      <w:r w:rsidRPr="00160297">
        <w:t>The appendix has three functions. It states what each analysis layer was meant to contribute, clarifies which claims the study does and does not support, and preserves a compact record of the discovery-layer results derived from the FinnGen backbone and the external vertigo resources [S3-S5,S8,S9].</w:t>
      </w:r>
    </w:p>
    <w:p w14:paraId="015DFF17" w14:textId="77777777" w:rsidR="00007BCE" w:rsidRPr="00160297" w:rsidRDefault="00000000">
      <w:pPr>
        <w:pStyle w:val="1"/>
        <w:rPr>
          <w:color w:val="auto"/>
        </w:rPr>
      </w:pPr>
      <w:r w:rsidRPr="00160297">
        <w:rPr>
          <w:color w:val="auto"/>
        </w:rPr>
        <w:t>Prespecified interpretive boundaries</w:t>
      </w:r>
    </w:p>
    <w:p w14:paraId="0E0FD100" w14:textId="77777777" w:rsidR="00007BCE" w:rsidRPr="00160297" w:rsidRDefault="00000000">
      <w:pPr>
        <w:pStyle w:val="a0"/>
      </w:pPr>
      <w:r w:rsidRPr="00160297">
        <w:t>The manuscript does not claim a direct GWAS of strictly adjudicated vestibular migraine [S1,S2].</w:t>
      </w:r>
    </w:p>
    <w:p w14:paraId="0FD1B6F5" w14:textId="77777777" w:rsidR="00007BCE" w:rsidRPr="00160297" w:rsidRDefault="00000000">
      <w:pPr>
        <w:pStyle w:val="a0"/>
      </w:pPr>
      <w:r w:rsidRPr="00160297">
        <w:t>Peripheral blood datasets are treated as disease-relevance validation layers and not as proof of tissue of origin [S10].</w:t>
      </w:r>
    </w:p>
    <w:p w14:paraId="7B649EB1" w14:textId="77777777" w:rsidR="00007BCE" w:rsidRPr="00160297" w:rsidRDefault="00000000">
      <w:pPr>
        <w:pStyle w:val="a0"/>
      </w:pPr>
      <w:r w:rsidRPr="00160297">
        <w:t>Cell-type enrichment is interpreted as a localization pattern across a vestibulo-trigeminal axis rather than as proof of a single exclusive disease cell type [S11,S12].</w:t>
      </w:r>
    </w:p>
    <w:p w14:paraId="5E28F202" w14:textId="77777777" w:rsidR="00007BCE" w:rsidRPr="00160297" w:rsidRDefault="00000000">
      <w:pPr>
        <w:pStyle w:val="a0"/>
      </w:pPr>
      <w:r w:rsidRPr="00160297">
        <w:t>Cross-layer convergence was weighted more heavily than nominal significance in any single analysis layer. That choice follows the logic of the study: broad vertigo GWAS resources contribute discovery or anchoring [S8], disease-labeled peripheral profiling contributes disease relevance [S10], and atlas resources contribute localization [S11-S12].</w:t>
      </w:r>
    </w:p>
    <w:p w14:paraId="63D92924" w14:textId="77777777" w:rsidR="00007BCE" w:rsidRPr="00160297" w:rsidRDefault="00000000">
      <w:pPr>
        <w:pStyle w:val="a0"/>
      </w:pPr>
      <w:r w:rsidRPr="00160297">
        <w:t>External vertigo GWAS results are interpreted as anchoring and support rather than as definitive replication of clinically adjudicated VM [S8,S9].</w:t>
      </w:r>
    </w:p>
    <w:p w14:paraId="1D0C31EE" w14:textId="77777777" w:rsidR="00007BCE" w:rsidRPr="00160297" w:rsidRDefault="00000000">
      <w:pPr>
        <w:pStyle w:val="1"/>
        <w:rPr>
          <w:color w:val="auto"/>
        </w:rPr>
      </w:pPr>
      <w:r w:rsidRPr="00160297">
        <w:rPr>
          <w:color w:val="auto"/>
        </w:rPr>
        <w:t>Optional expression-interpretation and LD reference resources are documented separately in the dataset manifest and were used only as supporting resources rather than as primary discovery layers [S13-S15].</w:t>
      </w:r>
    </w:p>
    <w:p w14:paraId="77E447DB" w14:textId="77777777" w:rsidR="00007BCE" w:rsidRPr="00160297" w:rsidRDefault="00000000">
      <w:pPr>
        <w:spacing w:after="120"/>
      </w:pPr>
      <w:r w:rsidRPr="00160297">
        <w:t xml:space="preserve">Formal LDSC analyses showed robust genome-wide correlation between migraine-related and vertigo-related phenotypes [S5,S16,S17]. Overall migraine versus vertigo showed rg = 0.5277 (SE 0.0525, z = 10.0501, p = 9.18 × 10^-24). Migraine with aura versus vertigo showed rg = 0.5698 (SE 0.0734, z = 7.7582, p = 8.61 × 10^-15), and migraine without aura versus vertigo showed rg = 0.4710 (SE 0.0615, z = 7.6574, p = 1.90 × 10^-14). Taken together, these results indicate substantial, but </w:t>
      </w:r>
      <w:r w:rsidRPr="00160297">
        <w:lastRenderedPageBreak/>
        <w:t>incomplete, shared polygenic architecture across both aggregate and subtype-defined migraine phenotypes.</w:t>
      </w:r>
    </w:p>
    <w:p w14:paraId="0BA598F1" w14:textId="77777777" w:rsidR="00007BCE" w:rsidRPr="00160297" w:rsidRDefault="00000000">
      <w:pPr>
        <w:spacing w:after="120"/>
      </w:pPr>
      <w:r w:rsidRPr="00160297">
        <w:t>Local overlap analysis identified 8 shared migraine-vertigo blocks with modest positive concordance across most regions. Shared-liability prioritization identified 204 candidate loci. In the external vertigo GWAS, 133 of these loci were matched, 19 showed nominal support, and 92 of 129 evaluable loci showed directionally concordant effects, corresponding to a concordance rate of 71.3% [S8,S9].</w:t>
      </w:r>
    </w:p>
    <w:p w14:paraId="6AE91D1B" w14:textId="77777777" w:rsidR="00007BCE" w:rsidRPr="00160297" w:rsidRDefault="00000000">
      <w:pPr>
        <w:pStyle w:val="1"/>
        <w:rPr>
          <w:color w:val="auto"/>
        </w:rPr>
      </w:pPr>
      <w:r w:rsidRPr="00160297">
        <w:rPr>
          <w:color w:val="auto"/>
        </w:rPr>
        <w:t>Final candidate prioritization</w:t>
      </w:r>
    </w:p>
    <w:p w14:paraId="0C0E808F" w14:textId="77777777" w:rsidR="00007BCE" w:rsidRPr="00160297" w:rsidRDefault="00000000">
      <w:pPr>
        <w:spacing w:after="120"/>
      </w:pPr>
      <w:r w:rsidRPr="00160297">
        <w:t>Cross-layer integration converged on six prioritized candidates. Five genes—ARMC9, OTOG, OTOGL, TECTA, and ZNF91—were retained as higher-confidence candidates, whereas OTOP1 remained moderate-confidence. The point is not only the list itself, but its size: the shared migraine-vertigo signal did not dissolve into a long, weakly structured candidate tail, but contracted to a limited set that could still be read against external and atlas-based evidence [S8-S9,S11-S12].</w:t>
      </w:r>
    </w:p>
    <w:p w14:paraId="2366A938" w14:textId="77777777" w:rsidR="00007BCE" w:rsidRPr="00160297" w:rsidRDefault="00000000">
      <w:pPr>
        <w:spacing w:after="120"/>
      </w:pPr>
      <w:r w:rsidRPr="00160297">
        <w:t>Several top-priority genes point toward vestibular-facing or interface biology when read against the atlas and integrative prioritization layers [S11,S12]. That should not be taken to mean that VM reduces to a purely peripheral vestibular disorder. A narrower interpretation fits better: shared migraine liability appears to land preferentially on vestibularly relevant substrates within a broader vestibulo-trigeminal disease architecture [S2,S4,S11,S12].</w:t>
      </w:r>
    </w:p>
    <w:p w14:paraId="347696D2" w14:textId="77777777" w:rsidR="00007BCE" w:rsidRPr="00160297" w:rsidRDefault="00000000">
      <w:pPr>
        <w:pStyle w:val="1"/>
        <w:rPr>
          <w:color w:val="auto"/>
        </w:rPr>
      </w:pPr>
      <w:r w:rsidRPr="00160297">
        <w:rPr>
          <w:color w:val="auto"/>
        </w:rPr>
        <w:t>Sensitivity, missingness, and robustness framework</w:t>
      </w:r>
    </w:p>
    <w:p w14:paraId="4484C916" w14:textId="77777777" w:rsidR="00007BCE" w:rsidRPr="00160297" w:rsidRDefault="00000000">
      <w:pPr>
        <w:spacing w:after="120"/>
      </w:pPr>
      <w:r w:rsidRPr="00160297">
        <w:t>Sensitivity analyses were prespecified across migraine subtype definitions, vestibular endpoint breadth, hearing-related locus influence, atlas annotation choice, and disease-labeled validation modalities. Missing support in one layer was not treated as automatic negative evidence when the remaining layers were coherent and biologically plausible. That rule follows the triangulation logic of the study and reflects the caution required when broad vertigo phenotypes are used as proxies for clinically adjudicated VM [S2,S4,S8,S10].</w:t>
      </w:r>
    </w:p>
    <w:p w14:paraId="35231FD1" w14:textId="77777777" w:rsidR="00007BCE" w:rsidRPr="00160297" w:rsidRDefault="00000000">
      <w:pPr>
        <w:spacing w:after="120"/>
      </w:pPr>
      <w:r w:rsidRPr="00160297">
        <w:t>Observed-scale SNP heritability estimates were used mainly as LDSC quality-control outputs and were interpreted more conservatively than the formal genetic-correlation estimates [S16,S17]. That distinction matters in settings where ascertainment structure, endpoint granularity, and scale assumptions can materially affect observed-scale h2 values.</w:t>
      </w:r>
    </w:p>
    <w:p w14:paraId="1F887210" w14:textId="77777777" w:rsidR="00007BCE" w:rsidRPr="00160297" w:rsidRDefault="00000000">
      <w:pPr>
        <w:spacing w:after="120"/>
      </w:pPr>
      <w:r w:rsidRPr="00160297">
        <w:t>Peripheral blood validation was not allowed to override stronger discovery-layer or localization-layer evidence. This was a deliberate design choice, intended to avoid over-interpreting modest peripheral shifts in datasets that are better suited to disease-relevance support than to tissue-of-origin inference [S3,S10-S12].</w:t>
      </w:r>
    </w:p>
    <w:p w14:paraId="508CA12F" w14:textId="77777777" w:rsidR="00007BCE" w:rsidRPr="00160297" w:rsidRDefault="00000000">
      <w:pPr>
        <w:pStyle w:val="1"/>
        <w:rPr>
          <w:color w:val="auto"/>
        </w:rPr>
      </w:pPr>
      <w:r w:rsidRPr="00160297">
        <w:rPr>
          <w:color w:val="auto"/>
        </w:rPr>
        <w:t>Reproducibility and deliverables</w:t>
      </w:r>
    </w:p>
    <w:p w14:paraId="3E106BF4" w14:textId="77777777" w:rsidR="00007BCE" w:rsidRPr="00160297" w:rsidRDefault="00000000">
      <w:pPr>
        <w:spacing w:after="120"/>
      </w:pPr>
      <w:r w:rsidRPr="00160297">
        <w:t>The project workflow preserves harmonized analysis-ready files, local overlap outputs, shared-liability locus tables, external anchoring summaries, integrated evidence matrices, and manuscript-linked tables. Formal LDSC outputs include environment checks, trait-level sample-size mapping, h2 summaries, rg summaries, and rg matrices [S5,S16-S18].</w:t>
      </w:r>
    </w:p>
    <w:p w14:paraId="170A4E5A" w14:textId="77777777" w:rsidR="00007BCE" w:rsidRPr="00160297" w:rsidRDefault="00000000">
      <w:pPr>
        <w:spacing w:after="120"/>
      </w:pPr>
      <w:r w:rsidRPr="00160297">
        <w:t xml:space="preserve">For review, the most relevant supplementary deliverables are the dataset inventories, trait_n_for_ldsc metadata, local_overlap_blocks, shared_candidate_loci, external_replication_summary tables, </w:t>
      </w:r>
      <w:r w:rsidRPr="00160297">
        <w:lastRenderedPageBreak/>
        <w:t>integrated evidence matrices, and formal LDSC h2/rg outputs. The public resources from which those deliverables were derived are listed in Supplementary Table S1.</w:t>
      </w:r>
    </w:p>
    <w:p w14:paraId="016C9CF4" w14:textId="77777777" w:rsidR="00007BCE" w:rsidRPr="00160297" w:rsidRDefault="00000000">
      <w:pPr>
        <w:pStyle w:val="1"/>
        <w:rPr>
          <w:color w:val="auto"/>
        </w:rPr>
      </w:pPr>
      <w:r w:rsidRPr="00160297">
        <w:rPr>
          <w:color w:val="auto"/>
        </w:rPr>
        <w:t>Supplementary note. Dataset-source documentation and repository provenance</w:t>
      </w:r>
    </w:p>
    <w:p w14:paraId="3ECDF057" w14:textId="77777777" w:rsidR="00007BCE" w:rsidRPr="00160297" w:rsidRDefault="00000000">
      <w:pPr>
        <w:pStyle w:val="a0"/>
      </w:pPr>
      <w:r w:rsidRPr="00160297">
        <w:t>Supplementary Table S1 includes the FinnGen release and phenotype-definition resources [S5-S7], the GWAS Catalog-linked external vertigo studies [S8,S9], the trigeminal and inner-ear atlas resources [S11,S12], the GTEx resource used for optional expression interpretation [S13,S14], and the 1000 Genomes Phase 3 resource used as the optional LD reference [S15].</w:t>
      </w:r>
    </w:p>
    <w:p w14:paraId="7D8A202E" w14:textId="77777777" w:rsidR="00007BCE" w:rsidRPr="00160297" w:rsidRDefault="00000000">
      <w:pPr>
        <w:pStyle w:val="a0"/>
      </w:pPr>
      <w:r w:rsidRPr="00160297">
        <w:t>The external vertigo anchoring layer draws on the published European-ancestry meta-analysis of vertigo and the more recent Asian population-based vertigo GWAS [S8,S9].</w:t>
      </w:r>
    </w:p>
    <w:p w14:paraId="37018391" w14:textId="77777777" w:rsidR="00007BCE" w:rsidRPr="00160297" w:rsidRDefault="00000000">
      <w:pPr>
        <w:pStyle w:val="a0"/>
      </w:pPr>
      <w:r w:rsidRPr="00160297">
        <w:t>For each disease-labeled peripheral dataset and each atlas resource, the appendix records the public accession identifier, repository, version or release when applicable, access date, and a brief note defining the resource's analytic role in the submitted study [S19-S23]. Disease-context interpretation of those resources follows the primary multiomic study [S10]. Selected classic inner-ear gene studies that contextualize prioritized candidates are listed separately in the Supplementary References [S24-S26].</w:t>
      </w:r>
    </w:p>
    <w:p w14:paraId="50211915" w14:textId="77777777" w:rsidR="00007BCE" w:rsidRPr="00160297" w:rsidRDefault="00000000">
      <w:pPr>
        <w:pStyle w:val="a0"/>
      </w:pPr>
      <w:r w:rsidRPr="00160297">
        <w:t>The codebase remains available on reasonable request, as stated in the main manuscript and related submission materials. If the analysis scripts are later deposited in a public repository, the code-availability statements in both the main manuscript and this appendix should be updated to include the stable repository link and release tag.</w:t>
      </w:r>
    </w:p>
    <w:p w14:paraId="20CC1871" w14:textId="77777777" w:rsidR="00007BCE" w:rsidRPr="00160297" w:rsidRDefault="00000000">
      <w:pPr>
        <w:jc w:val="center"/>
      </w:pPr>
      <w:r w:rsidRPr="00160297">
        <w:t>Supplementary References</w:t>
      </w:r>
    </w:p>
    <w:p w14:paraId="50D26A69" w14:textId="3BC273F1" w:rsidR="00007BCE" w:rsidRPr="00160297" w:rsidRDefault="00000000">
      <w:r w:rsidRPr="00160297">
        <w:t xml:space="preserve">S1. </w:t>
      </w:r>
      <w:r w:rsidR="00496266" w:rsidRPr="00496266">
        <w:t>Headache Classification Committee of the International Headache Society (IHS) The International Classification of Headache Disorders, 3rd edition. </w:t>
      </w:r>
      <w:r w:rsidR="00496266" w:rsidRPr="00496266">
        <w:rPr>
          <w:i/>
          <w:iCs/>
        </w:rPr>
        <w:t>Cephalalgia</w:t>
      </w:r>
      <w:r w:rsidR="00496266" w:rsidRPr="00496266">
        <w:t>. 2018;38(1):1-211. doi:10.1177/0333102417738202</w:t>
      </w:r>
      <w:r w:rsidRPr="00160297">
        <w:t>.</w:t>
      </w:r>
    </w:p>
    <w:p w14:paraId="3349234C" w14:textId="77777777" w:rsidR="00007BCE" w:rsidRPr="00160297" w:rsidRDefault="00000000">
      <w:r w:rsidRPr="00160297">
        <w:t>S2. Lempert T, von Brevern M. Vestibular migraine: diagnostic criteria (update): literature update 2021. J Vestib Res. 2022;32(1):1-6. doi:10.3233/VES-2015-0565.</w:t>
      </w:r>
    </w:p>
    <w:p w14:paraId="17DBFCB1" w14:textId="214E740B" w:rsidR="00007BCE" w:rsidRPr="00160297" w:rsidRDefault="00000000">
      <w:r w:rsidRPr="00160297">
        <w:t xml:space="preserve">S3. Mallampalli MP, Rizk HG, </w:t>
      </w:r>
      <w:proofErr w:type="spellStart"/>
      <w:r w:rsidRPr="00160297">
        <w:t>Kheradmand</w:t>
      </w:r>
      <w:proofErr w:type="spellEnd"/>
      <w:r w:rsidRPr="00160297">
        <w:t xml:space="preserve"> A, et al. Care Gaps and Recommendations in Vestibular Migraine: An Expert Panel Summit. Front Neurol. 2022;12:812678. doi:10.3389/fneur.2021.812678.</w:t>
      </w:r>
    </w:p>
    <w:p w14:paraId="6D79E339" w14:textId="77777777" w:rsidR="00007BCE" w:rsidRPr="00160297" w:rsidRDefault="00000000">
      <w:r w:rsidRPr="00160297">
        <w:t>S4. Villar-Martinez MD, Moreno-Ajona D, Goadsby PJ. Vestibular migraine: an update. Curr Opin Neurol. 2024;37(3):252-263. doi:10.1097/WCO.0000000000001267.</w:t>
      </w:r>
    </w:p>
    <w:p w14:paraId="780EE223" w14:textId="59C6A050" w:rsidR="00007BCE" w:rsidRPr="00160297" w:rsidRDefault="00000000">
      <w:r w:rsidRPr="00160297">
        <w:t>S5. Kurki MI, Karjalainen J, Palta P, Sipilä TP, et al. FinnGen provides genetic insights from a well-phenotyped isolated population. Nature. 2023;613(7944):508-518. doi:10.1038/s41586-022-05473-8.</w:t>
      </w:r>
    </w:p>
    <w:p w14:paraId="6E065039" w14:textId="257CBD0A" w:rsidR="00007BCE" w:rsidRPr="00160297" w:rsidRDefault="00000000">
      <w:r w:rsidRPr="00160297">
        <w:t>S6. FinnGen. Access results. Available from: https://www.finngen.fi/en/access_results.</w:t>
      </w:r>
    </w:p>
    <w:p w14:paraId="03409020" w14:textId="3D6CE540" w:rsidR="00007BCE" w:rsidRPr="00160297" w:rsidRDefault="00000000">
      <w:r w:rsidRPr="00160297">
        <w:t>S7. FinnGen. Clinical endpoints. Available from: https://www.finngen.fi/en/researchers/clinical-endpoints.</w:t>
      </w:r>
    </w:p>
    <w:p w14:paraId="5EE5C103" w14:textId="15A3A012" w:rsidR="00007BCE" w:rsidRPr="00160297" w:rsidRDefault="00000000">
      <w:r w:rsidRPr="00160297">
        <w:t>S8. Skuladottir AT, Bjornsdottir G, Thorleifsson G, et al. A genome-wide meta-analysis uncovers six sequence variants conferring risk of vertigo. Commun Biol. 2021;4(1):1148. doi:10.1038/s42003-021-02690-7.</w:t>
      </w:r>
    </w:p>
    <w:p w14:paraId="2F2A826F" w14:textId="41408185" w:rsidR="00007BCE" w:rsidRPr="00160297" w:rsidRDefault="00000000">
      <w:r w:rsidRPr="00160297">
        <w:lastRenderedPageBreak/>
        <w:t>S9. Chen SP, Hsu CL, Chen TH, et al. A genome-wide association study identifies novel loci of vertigo in an Asian population-based cohort. Commun Biol. 2024;7(1):1034. doi:10.1038/s42003-024-06603-w.</w:t>
      </w:r>
    </w:p>
    <w:p w14:paraId="0CDAADDA" w14:textId="62B5A0E2" w:rsidR="00007BCE" w:rsidRPr="00160297" w:rsidRDefault="00000000">
      <w:r w:rsidRPr="00160297">
        <w:t>S10. Cruz-Granados P, Frejo L, Perez-Carpena P, et al. Multiomic-based immune response profiling in migraine, vestibular migraine and Meniere's disease. Immunology. 2024;173(4):768-779. doi:10.1111/imm.13863.</w:t>
      </w:r>
    </w:p>
    <w:p w14:paraId="3C4C2949" w14:textId="6CE9E892" w:rsidR="00007BCE" w:rsidRPr="00160297" w:rsidRDefault="00000000">
      <w:r w:rsidRPr="00160297">
        <w:t>S11. Yang L, Xu M, Bhuiyan SA, et al. Human and mouse trigeminal ganglia cell atlas implicates multiple cell types in migraine. Neuron. 2022;110(11):1806-1821.e8. doi:10.1016/j.neuron.2022.03.003.</w:t>
      </w:r>
    </w:p>
    <w:p w14:paraId="50D8ABFC" w14:textId="648C2D83" w:rsidR="00007BCE" w:rsidRPr="00160297" w:rsidRDefault="00000000">
      <w:r w:rsidRPr="00160297">
        <w:t>S12. van der Valk WH, van Beelen ESA, Steinhart MR, et al. A single-cell level comparison of human inner ear organoids with the human cochlea and vestibular organs. Cell Rep. 2023;42(6):112623. doi:10.1016/j.celrep.2023.112623.</w:t>
      </w:r>
    </w:p>
    <w:p w14:paraId="234AD3EA" w14:textId="77777777" w:rsidR="00007BCE" w:rsidRPr="00160297" w:rsidRDefault="00000000">
      <w:r w:rsidRPr="00160297">
        <w:t>S13. GTEx Consortium. The GTEx Consortium atlas of genetic regulatory effects across human tissues. Science. 2020;369(6509):1318-1330. doi:10.1126/science.aaz1776.</w:t>
      </w:r>
    </w:p>
    <w:p w14:paraId="08B08B08" w14:textId="70BAD9D2" w:rsidR="00007BCE" w:rsidRPr="00160297" w:rsidRDefault="00000000">
      <w:r w:rsidRPr="00160297">
        <w:t xml:space="preserve">S14. GTEx Portal. Download Open Access Datasets. Available from: https://www.gtexportal.org/home/datasets. </w:t>
      </w:r>
    </w:p>
    <w:p w14:paraId="77D26F45" w14:textId="77777777" w:rsidR="00007BCE" w:rsidRPr="00160297" w:rsidRDefault="00000000">
      <w:r w:rsidRPr="00160297">
        <w:t>S15. 1000 Genomes Project Consortium. A global reference for human genetic variation. Nature. 2015;526(7571):68-74. doi:10.1038/nature15393.</w:t>
      </w:r>
    </w:p>
    <w:p w14:paraId="5F03A133" w14:textId="4B434852" w:rsidR="00007BCE" w:rsidRPr="00160297" w:rsidRDefault="00000000">
      <w:r w:rsidRPr="00160297">
        <w:t>S16. Bulik-Sullivan BK, Loh PR, Finucane HK, et al. LD Score regression distinguishes confounding from polygenicity in genome-wide association studies. Nat Genet. 2015;47(3):291-295. doi:10.1038/ng.3211.</w:t>
      </w:r>
    </w:p>
    <w:p w14:paraId="294C1A8A" w14:textId="6F3A5584" w:rsidR="00007BCE" w:rsidRPr="00160297" w:rsidRDefault="00000000">
      <w:r w:rsidRPr="00160297">
        <w:t>S17. Bulik-Sullivan B, Finucane HK, Anttila V, et al. An atlas of genetic correlations across human diseases and traits. Nat Genet. 2015;47(11):1236-1241. doi:10.1038/ng.3406.</w:t>
      </w:r>
    </w:p>
    <w:p w14:paraId="67A2E105" w14:textId="77777777" w:rsidR="00007BCE" w:rsidRPr="00160297" w:rsidRDefault="00000000">
      <w:r w:rsidRPr="00160297">
        <w:t>S18. Wakefield J. Bayes factors for genome-wide association studies: comparison with P-values. Genet Epidemiol. 2009;33(1):79-86. doi:10.1002/gepi.20359.</w:t>
      </w:r>
    </w:p>
    <w:p w14:paraId="6E9F6231" w14:textId="2BEFA017" w:rsidR="00007BCE" w:rsidRPr="00160297" w:rsidRDefault="00000000">
      <w:r w:rsidRPr="00160297">
        <w:t xml:space="preserve">S19. NCBI Gene Expression Omnibus. GSE109558: Proinflammatory cytokines and response to molds in mononuclear cells of patients with Meniere disease, vestibular migraine and healthy controls. Available from: https://www.ncbi.nlm.nih.gov/geo/query/acc.cgi?acc=GSE109558. </w:t>
      </w:r>
    </w:p>
    <w:p w14:paraId="7386E8C9" w14:textId="22DD6501" w:rsidR="00007BCE" w:rsidRPr="00160297" w:rsidRDefault="00000000">
      <w:r w:rsidRPr="00160297">
        <w:t xml:space="preserve">S20. NCBI Gene Expression Omnibus. GSE269117: Multiomic-based Immune Response Profiling in Migraine, Vestibular Migraine and Meniere's Disease. Available from: https://www.ncbi.nlm.nih.gov/geo/query/acc.cgi?acc=GSE269117. </w:t>
      </w:r>
    </w:p>
    <w:p w14:paraId="199D51F2" w14:textId="22789841" w:rsidR="00007BCE" w:rsidRPr="00160297" w:rsidRDefault="00000000">
      <w:r w:rsidRPr="00160297">
        <w:t xml:space="preserve">S21. NCBI Gene Expression Omnibus. GSE269114: Multiomic-based Immune Response Profiling in Migraine, Vestibular Migraine and Meniere's Disease [scATAC-Seq]. Available from: https://www.ncbi.nlm.nih.gov/geo/query/acc.cgi?acc=GSE269114. </w:t>
      </w:r>
    </w:p>
    <w:p w14:paraId="435D6C2F" w14:textId="0775B4A2" w:rsidR="00007BCE" w:rsidRPr="00160297" w:rsidRDefault="00000000">
      <w:r w:rsidRPr="00160297">
        <w:t xml:space="preserve">S22. NCBI Gene Expression Omnibus. GSE197289: Trigeminal ganglion cell atlas. Available from: https://www.ncbi.nlm.nih.gov/geo/query/acc.cgi?acc=GSE197289. </w:t>
      </w:r>
    </w:p>
    <w:p w14:paraId="720C148C" w14:textId="499F551C" w:rsidR="00007BCE" w:rsidRPr="00160297" w:rsidRDefault="00000000">
      <w:r w:rsidRPr="00160297">
        <w:t xml:space="preserve">S23. NCBI Gene Expression Omnibus. GSE213796: Human vestibular/inner-ear atlas. Available from: https://www.ncbi.nlm.nih.gov/geo/query/acc.cgi?acc=GSE213796. </w:t>
      </w:r>
    </w:p>
    <w:p w14:paraId="547D3804" w14:textId="0090FE19" w:rsidR="00007BCE" w:rsidRPr="00160297" w:rsidRDefault="00000000">
      <w:r w:rsidRPr="00160297">
        <w:lastRenderedPageBreak/>
        <w:t>S24. Simmler MC, Cohen-Salmon M, El-Amraoui A, et al. Targeted disruption of otog results in deafness and severe imbalance. Nat Genet. 2000;24(2):139-143. doi:10.1038/72793.</w:t>
      </w:r>
    </w:p>
    <w:p w14:paraId="62DAE6B7" w14:textId="5570C046" w:rsidR="00007BCE" w:rsidRPr="00160297" w:rsidRDefault="00000000">
      <w:r w:rsidRPr="00160297">
        <w:t>S25. Yariz KO, Duman D, Zazo Seco C, et al. Mutations in OTOGL, encoding the inner ear protein otogelin-like, cause moderate sensorineural hearing loss. Am J Hum Genet. 2012;91(5):872-882. doi:10.1016/j.ajhg.2012.09.011.</w:t>
      </w:r>
    </w:p>
    <w:p w14:paraId="02D1DE97" w14:textId="77777777" w:rsidR="00007BCE" w:rsidRPr="00160297" w:rsidRDefault="00000000">
      <w:r w:rsidRPr="00160297">
        <w:t>S26. Kim E, Hyrc KL, Speck J, Salles FT, Lundberg YW, Goldberg MP, et al. Missense mutations in Otopetrin 1 affect subcellular localization and inhibition of purinergic signaling in vestibular supporting cells. Mol Cell Neurosci. 2011;46(3):655-661. doi:10.1016/j.mcn.2010.12.010.</w:t>
      </w:r>
    </w:p>
    <w:p w14:paraId="4854EDBE" w14:textId="77777777" w:rsidR="00007BCE" w:rsidRPr="00160297" w:rsidRDefault="00000000">
      <w:r w:rsidRPr="00160297">
        <w:t>End of Supplementary Appendix</w:t>
      </w:r>
    </w:p>
    <w:sectPr w:rsidR="00007BCE" w:rsidRPr="00160297">
      <w:pgSz w:w="12240" w:h="15840"/>
      <w:pgMar w:top="1247" w:right="1361" w:bottom="1247"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758479019">
    <w:abstractNumId w:val="8"/>
  </w:num>
  <w:num w:numId="2" w16cid:durableId="774789468">
    <w:abstractNumId w:val="6"/>
  </w:num>
  <w:num w:numId="3" w16cid:durableId="1630041231">
    <w:abstractNumId w:val="5"/>
  </w:num>
  <w:num w:numId="4" w16cid:durableId="620648749">
    <w:abstractNumId w:val="4"/>
  </w:num>
  <w:num w:numId="5" w16cid:durableId="525095051">
    <w:abstractNumId w:val="7"/>
  </w:num>
  <w:num w:numId="6" w16cid:durableId="953245193">
    <w:abstractNumId w:val="3"/>
  </w:num>
  <w:num w:numId="7" w16cid:durableId="155461650">
    <w:abstractNumId w:val="2"/>
  </w:num>
  <w:num w:numId="8" w16cid:durableId="543953863">
    <w:abstractNumId w:val="1"/>
  </w:num>
  <w:num w:numId="9" w16cid:durableId="345520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BCE"/>
    <w:rsid w:val="00034616"/>
    <w:rsid w:val="0006063C"/>
    <w:rsid w:val="0015074B"/>
    <w:rsid w:val="00160297"/>
    <w:rsid w:val="00171D27"/>
    <w:rsid w:val="0029639D"/>
    <w:rsid w:val="00326F90"/>
    <w:rsid w:val="00496266"/>
    <w:rsid w:val="00A11AB9"/>
    <w:rsid w:val="00AA1D8D"/>
    <w:rsid w:val="00B47730"/>
    <w:rsid w:val="00CB0664"/>
    <w:rsid w:val="00CF084D"/>
    <w:rsid w:val="00DA220B"/>
    <w:rsid w:val="00DC269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70879C"/>
  <w14:defaultImageDpi w14:val="300"/>
  <w15:docId w15:val="{84A26916-107E-443B-BBB8-850EBE00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Arial" w:eastAsia="Arial" w:hAnsi="Arial"/>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1F4E79"/>
      <w:sz w:val="26"/>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1F4E79"/>
      <w:sz w:val="23"/>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2F2F2F"/>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3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3160</Words>
  <Characters>18012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21130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 li</dc:creator>
  <cp:keywords/>
  <dc:description>generated by python-docx</dc:description>
  <cp:lastModifiedBy>rui li</cp:lastModifiedBy>
  <cp:revision>3</cp:revision>
  <dcterms:created xsi:type="dcterms:W3CDTF">2026-04-07T12:11:00Z</dcterms:created>
  <dcterms:modified xsi:type="dcterms:W3CDTF">2026-04-08T12:25:00Z</dcterms:modified>
  <cp:category/>
</cp:coreProperties>
</file>