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B783F2" w14:textId="42518280" w:rsidR="007248D9" w:rsidRPr="00EE4749" w:rsidRDefault="0070688C" w:rsidP="007248D9">
      <w:pPr>
        <w:rPr>
          <w:rFonts w:ascii="Times New Roman" w:hAnsi="Times New Roman" w:cs="Times New Roman"/>
          <w:b/>
          <w:bCs/>
          <w:sz w:val="20"/>
          <w:szCs w:val="20"/>
        </w:rPr>
      </w:pPr>
      <w:r w:rsidRPr="00EE4749">
        <w:rPr>
          <w:rFonts w:ascii="Times New Roman" w:hAnsi="Times New Roman" w:cs="Times New Roman"/>
          <w:b/>
          <w:bCs/>
          <w:sz w:val="20"/>
          <w:szCs w:val="20"/>
        </w:rPr>
        <w:t xml:space="preserve">Appendix </w:t>
      </w:r>
      <w:r w:rsidR="00FA6214" w:rsidRPr="00EE4749">
        <w:rPr>
          <w:rFonts w:ascii="Times New Roman" w:hAnsi="Times New Roman" w:cs="Times New Roman"/>
          <w:b/>
          <w:bCs/>
          <w:sz w:val="20"/>
          <w:szCs w:val="20"/>
        </w:rPr>
        <w:t>Table 1</w:t>
      </w:r>
      <w:r w:rsidR="00416C8A" w:rsidRPr="00EE4749">
        <w:rPr>
          <w:rFonts w:ascii="Times New Roman" w:hAnsi="Times New Roman" w:cs="Times New Roman"/>
          <w:b/>
          <w:bCs/>
          <w:sz w:val="20"/>
          <w:szCs w:val="20"/>
        </w:rPr>
        <w:t>.</w:t>
      </w:r>
      <w:r w:rsidRPr="00EE4749">
        <w:rPr>
          <w:rFonts w:ascii="Times New Roman" w:hAnsi="Times New Roman" w:cs="Times New Roman"/>
          <w:b/>
          <w:bCs/>
          <w:sz w:val="20"/>
          <w:szCs w:val="20"/>
        </w:rPr>
        <w:t xml:space="preserve"> </w:t>
      </w:r>
      <w:r w:rsidR="007248D9" w:rsidRPr="00EE4749">
        <w:rPr>
          <w:rFonts w:ascii="Times New Roman" w:hAnsi="Times New Roman" w:cs="Times New Roman"/>
          <w:sz w:val="20"/>
          <w:szCs w:val="20"/>
        </w:rPr>
        <w:t>Cochrane Risk of Bias Tool</w:t>
      </w:r>
      <w:r w:rsidR="00295AA9" w:rsidRPr="00EE4749">
        <w:rPr>
          <w:rFonts w:ascii="Times New Roman" w:hAnsi="Times New Roman" w:cs="Times New Roman"/>
          <w:sz w:val="20"/>
          <w:szCs w:val="20"/>
        </w:rPr>
        <w:t xml:space="preserve"> for randomized controlled trials.</w:t>
      </w:r>
    </w:p>
    <w:tbl>
      <w:tblPr>
        <w:tblStyle w:val="TableGrid"/>
        <w:tblW w:w="13341" w:type="dxa"/>
        <w:tblInd w:w="-5" w:type="dxa"/>
        <w:tblLook w:val="04A0" w:firstRow="1" w:lastRow="0" w:firstColumn="1" w:lastColumn="0" w:noHBand="0" w:noVBand="1"/>
      </w:tblPr>
      <w:tblGrid>
        <w:gridCol w:w="1795"/>
        <w:gridCol w:w="1635"/>
        <w:gridCol w:w="1798"/>
        <w:gridCol w:w="1655"/>
        <w:gridCol w:w="1643"/>
        <w:gridCol w:w="1635"/>
        <w:gridCol w:w="1616"/>
        <w:gridCol w:w="1564"/>
      </w:tblGrid>
      <w:tr w:rsidR="00295AA9" w:rsidRPr="00EE4749" w14:paraId="2816E004" w14:textId="77777777" w:rsidTr="00295AA9">
        <w:trPr>
          <w:trHeight w:val="1085"/>
        </w:trPr>
        <w:tc>
          <w:tcPr>
            <w:tcW w:w="1795" w:type="dxa"/>
          </w:tcPr>
          <w:p w14:paraId="680E3BF3" w14:textId="6E11A5A2"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Study</w:t>
            </w:r>
          </w:p>
        </w:tc>
        <w:tc>
          <w:tcPr>
            <w:tcW w:w="1635" w:type="dxa"/>
          </w:tcPr>
          <w:p w14:paraId="051ED6B6" w14:textId="4B86B395"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Random Sequence Generation</w:t>
            </w:r>
          </w:p>
        </w:tc>
        <w:tc>
          <w:tcPr>
            <w:tcW w:w="1798" w:type="dxa"/>
          </w:tcPr>
          <w:p w14:paraId="0B1FBA25" w14:textId="2D191659"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Allocation Concealment</w:t>
            </w:r>
          </w:p>
        </w:tc>
        <w:tc>
          <w:tcPr>
            <w:tcW w:w="1655" w:type="dxa"/>
          </w:tcPr>
          <w:p w14:paraId="5B34CF7E" w14:textId="5B4A13FF"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Blinding of Participants and Personnel</w:t>
            </w:r>
          </w:p>
        </w:tc>
        <w:tc>
          <w:tcPr>
            <w:tcW w:w="1643" w:type="dxa"/>
          </w:tcPr>
          <w:p w14:paraId="1408FB81" w14:textId="570AAD98"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Blinding of Outcome Assessment</w:t>
            </w:r>
          </w:p>
        </w:tc>
        <w:tc>
          <w:tcPr>
            <w:tcW w:w="1635" w:type="dxa"/>
          </w:tcPr>
          <w:p w14:paraId="37A53877" w14:textId="772D8838"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Incomplete Outcome Data</w:t>
            </w:r>
          </w:p>
        </w:tc>
        <w:tc>
          <w:tcPr>
            <w:tcW w:w="1616" w:type="dxa"/>
          </w:tcPr>
          <w:p w14:paraId="5873F456" w14:textId="6AB7328D"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Selective Reporting</w:t>
            </w:r>
          </w:p>
        </w:tc>
        <w:tc>
          <w:tcPr>
            <w:tcW w:w="1564" w:type="dxa"/>
          </w:tcPr>
          <w:p w14:paraId="73716F8A" w14:textId="0B9D203C"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Other Bias</w:t>
            </w:r>
          </w:p>
        </w:tc>
      </w:tr>
      <w:tr w:rsidR="00295AA9" w:rsidRPr="00EE4749" w14:paraId="19661300" w14:textId="77777777" w:rsidTr="00295AA9">
        <w:trPr>
          <w:trHeight w:val="550"/>
        </w:trPr>
        <w:tc>
          <w:tcPr>
            <w:tcW w:w="1795" w:type="dxa"/>
          </w:tcPr>
          <w:p w14:paraId="109CCBF4" w14:textId="26ED399B"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lang w:val="en-US"/>
              </w:rPr>
              <w:t xml:space="preserve">Ryu et al., 2018 </w:t>
            </w:r>
            <w:bookmarkStart w:id="0" w:name="_Hlk67344240"/>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{"citationItems":[{"id":"ITEM-1","itemData":{"DOI":"10.5792/ksrr.17.006","ISSN":"2234-0726","abstract":"Purpose The purpose of this study is to compare the clinical and radiographic outcomes of high tibial osteotomy (HTO) and unicompartmental arthroplasty (UKA) in advanced medial compartment arthritis accompanied by kissing lesions in relatively young patients. Materials and Methods Forty-five patients were divided into the HTO (n=23) and UKA (n=22) groups. Clinically, we evaluated the Lysholm knee scoring scale, visual analogue scale, Hospital for Special Surgery, and Western Ontario and McMaster Universities Osteoarthritis index scores preoperatively, 6 and 12 months postoperatively, and at the final follow-up. Radiographically, we measured the femoral-tibial angle and mechanical axis deviation preoperatively and at the final follow-up. Results All clinical outcomes gradually improved in both groups from the postoperative period to the final follow-up. At the final follow-up, all clinical outcomes were slightly better in the UKA group than in the HTO group; however, differences were not statistically significant. Conclusions HTO is comparable to UKA in terms of clinical outcomes. Thus, the results of this study suggest that HTO might be a good alternative treatment to UKA for medial unicompartmental arthritis accompanied by kissing lesions in relatively young patients.","author":[{"dropping-particle":"","family":"Ryu","given":"Seung Min","non-dropping-particle":"","parse-names":false,"suffix":""},{"dropping-particle":"","family":"Park","given":"Jae Woo","non-dropping-particle":"","parse-names":false,"suffix":""},{"dropping-particle":"","family":"Na","given":"Ho Dong","non-dropping-particle":"","parse-names":false,"suffix":""},{"dropping-particle":"","family":"Shon","given":"Oog Jin","non-dropping-particle":"","parse-names":false,"suffix":""}],"container-title":"Knee Surgery and Related Research","id":"ITEM-1","issue":"1","issued":{"date-parts":[["2018"]]},"page":"17-22","title":"High Tibial Osteotomy versus Unicompartmental Knee Arthroplasty for Medial Compartment Arthrosis with Kissing Lesions in Relatively Young Patients","type":"article-journal","volume":"30"},"uris":["http://www.mendeley.com/documents/?uuid=9a67b8a8-22ef-410f-85ad-e36bfba4084b"]}],"mendeley":{"formattedCitation":"[1]","plainTextFormattedCitation":"[1]","previouslyFormattedCitation":"[1]"},"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[1]</w:t>
            </w:r>
            <w:r w:rsidRPr="00EE4749">
              <w:rPr>
                <w:rFonts w:ascii="Times New Roman" w:hAnsi="Times New Roman" w:cs="Times New Roman"/>
                <w:sz w:val="20"/>
                <w:szCs w:val="20"/>
                <w:lang w:val="en-US"/>
              </w:rPr>
              <w:fldChar w:fldCharType="end"/>
            </w:r>
            <w:bookmarkEnd w:id="0"/>
          </w:p>
        </w:tc>
        <w:tc>
          <w:tcPr>
            <w:tcW w:w="1635" w:type="dxa"/>
          </w:tcPr>
          <w:p w14:paraId="6A490297" w14:textId="2EF0062E"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798" w:type="dxa"/>
          </w:tcPr>
          <w:p w14:paraId="0DF5487B" w14:textId="74149233"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Unclear</w:t>
            </w:r>
          </w:p>
        </w:tc>
        <w:tc>
          <w:tcPr>
            <w:tcW w:w="1655" w:type="dxa"/>
          </w:tcPr>
          <w:p w14:paraId="15EA4032" w14:textId="45881C5E"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Low</w:t>
            </w:r>
          </w:p>
        </w:tc>
        <w:tc>
          <w:tcPr>
            <w:tcW w:w="1643" w:type="dxa"/>
          </w:tcPr>
          <w:p w14:paraId="56AD89C4" w14:textId="0667C18E"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Low</w:t>
            </w:r>
          </w:p>
        </w:tc>
        <w:tc>
          <w:tcPr>
            <w:tcW w:w="1635" w:type="dxa"/>
          </w:tcPr>
          <w:p w14:paraId="5A8B089B" w14:textId="02A98C26"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Low</w:t>
            </w:r>
          </w:p>
        </w:tc>
        <w:tc>
          <w:tcPr>
            <w:tcW w:w="1616" w:type="dxa"/>
          </w:tcPr>
          <w:p w14:paraId="22D60B6F" w14:textId="0F60F2A5"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Low</w:t>
            </w:r>
          </w:p>
        </w:tc>
        <w:tc>
          <w:tcPr>
            <w:tcW w:w="1564" w:type="dxa"/>
          </w:tcPr>
          <w:p w14:paraId="08817519" w14:textId="3284B70D"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Unclear</w:t>
            </w:r>
          </w:p>
        </w:tc>
      </w:tr>
      <w:tr w:rsidR="00295AA9" w:rsidRPr="00EE4749" w14:paraId="1191C4B2" w14:textId="77777777" w:rsidTr="00295AA9">
        <w:trPr>
          <w:trHeight w:val="534"/>
        </w:trPr>
        <w:tc>
          <w:tcPr>
            <w:tcW w:w="1795" w:type="dxa"/>
          </w:tcPr>
          <w:p w14:paraId="7BF39D2B" w14:textId="2C014C31"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lang w:val="en-US"/>
              </w:rPr>
              <w:t xml:space="preserve">Jeon et al., 2017 </w:t>
            </w:r>
            <w:bookmarkStart w:id="1" w:name="_Hlk67344223"/>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{"citationItems":[{"id":"ITEM-1","itemData":{"DOI":"10.1177/2309499016684092","ISSN":"23094990","PMID":"28176602","abstract":"Purpose: The purpose of this article was to assess the clinical outcome of high tibial osteotomy (HTO) with articular cartilage surgery compared with unicompartmental knee arthroplasty (UKA) in unicompartmental osteoarthritis (OA). Methods: We designed retrospective study and evaluated 47 patients with unicompartmental OA (Kellgren-Laurence [K-L] grade ≥ III OA). Two groups of patients underwent either HTO with articular cartilage surgery or UKA by the senior author between January 2010 and April 2013. The minimum follow-up period is 2 years. Clinical outcomes were assessed using Knee Injury and Osteoarthritis Outcome Scores, International Knee Documentation Committee (IKDC), and visual analog scale (VAS) score. And we evaluated the radiologic result of HTO and UKA by measuring mechanical axis at preoperative period and at last follow-up. Results: The IKDC score was significantly better in the UKA group than in the HTO group at 6 months but there was no significant difference in the two groups at 2 years. The VAS score was improved at the final follow-up compared to before surgery in both groups and did not show significant intergroup difference (p = 0.123). There was no significant difference in the preoperative mechanical axis in the two groups. But their mechanical axis at the final follow-up were significantly different (p = 0.0001). Conclusion: The clinical outcome was significantly better in the UKA group at 6 months. But in the two groups, there were no significant differences at 12 months and 2-year follow-up, and the mechanical axis correction effect is greater than the UKA group. Based on our research, HTO with articular cartilage surgery can be considered as the treatment of choice for more active and younger patients with unicompartmental OA.","author":[{"dropping-particle":"","family":"Jeon","given":"Yoon Sang","non-dropping-particle":"","parse-names":false,"suffix":""},{"dropping-particle":"","family":"Ahn","given":"Chi Hoon","non-dropping-particle":"","parse-names":false,"suffix":""},{"dropping-particle":"","family":"Kim","given":"Myung Ku","non-dropping-particle":"","parse-names":false,"suffix":""}],"container-title":"Journal of Orthopaedic Surgery","id":"ITEM-1","issue":"1","issued":{"date-parts":[["2017"]]},"page":"1-6","title":"Comparison of HTO with articular cartilage surgery and UKA in unicompartmental OA","type":"article-journal","volume":"25"},"uris":["http://www.mendeley.com/documents/?uuid=35c911fb-e4ad-4692-b235-b5413ed461c0"]}],"mendeley":{"formattedCitation":"[2]","plainTextFormattedCitation":"[2]","previouslyFormattedCitation":"[2]"},"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[2]</w:t>
            </w:r>
            <w:r w:rsidRPr="00EE4749">
              <w:rPr>
                <w:rFonts w:ascii="Times New Roman" w:hAnsi="Times New Roman" w:cs="Times New Roman"/>
                <w:sz w:val="20"/>
                <w:szCs w:val="20"/>
                <w:lang w:val="en-US"/>
              </w:rPr>
              <w:fldChar w:fldCharType="end"/>
            </w:r>
            <w:bookmarkEnd w:id="1"/>
          </w:p>
        </w:tc>
        <w:tc>
          <w:tcPr>
            <w:tcW w:w="1635" w:type="dxa"/>
          </w:tcPr>
          <w:p w14:paraId="4BE18756" w14:textId="7EDD86C9"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798" w:type="dxa"/>
          </w:tcPr>
          <w:p w14:paraId="2611CCE1" w14:textId="7E89247C"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Unclear</w:t>
            </w:r>
          </w:p>
        </w:tc>
        <w:tc>
          <w:tcPr>
            <w:tcW w:w="1655" w:type="dxa"/>
          </w:tcPr>
          <w:p w14:paraId="13ED9707" w14:textId="0BD5ED7F"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643" w:type="dxa"/>
          </w:tcPr>
          <w:p w14:paraId="1CC79F5E" w14:textId="252DD52D"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635" w:type="dxa"/>
          </w:tcPr>
          <w:p w14:paraId="313998FD" w14:textId="3504CB35"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Low</w:t>
            </w:r>
          </w:p>
        </w:tc>
        <w:tc>
          <w:tcPr>
            <w:tcW w:w="1616" w:type="dxa"/>
          </w:tcPr>
          <w:p w14:paraId="09AEF276" w14:textId="4833B2F1"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Low</w:t>
            </w:r>
          </w:p>
        </w:tc>
        <w:tc>
          <w:tcPr>
            <w:tcW w:w="1564" w:type="dxa"/>
          </w:tcPr>
          <w:p w14:paraId="17985676" w14:textId="2611D5F8"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Unclear</w:t>
            </w:r>
          </w:p>
        </w:tc>
      </w:tr>
      <w:tr w:rsidR="00295AA9" w:rsidRPr="00EE4749" w14:paraId="11E775A8" w14:textId="77777777" w:rsidTr="00295AA9">
        <w:trPr>
          <w:trHeight w:val="550"/>
        </w:trPr>
        <w:tc>
          <w:tcPr>
            <w:tcW w:w="1795" w:type="dxa"/>
          </w:tcPr>
          <w:p w14:paraId="20339D5C" w14:textId="1F371CD3" w:rsidR="00295AA9" w:rsidRPr="00EE4749" w:rsidRDefault="00295AA9" w:rsidP="007248D9">
            <w:pPr>
              <w:rPr>
                <w:rFonts w:ascii="Times New Roman" w:hAnsi="Times New Roman" w:cs="Times New Roman"/>
                <w:sz w:val="20"/>
                <w:szCs w:val="20"/>
              </w:rPr>
            </w:pPr>
            <w:proofErr w:type="spellStart"/>
            <w:r w:rsidRPr="00EE4749">
              <w:rPr>
                <w:rFonts w:ascii="Times New Roman" w:hAnsi="Times New Roman" w:cs="Times New Roman"/>
                <w:sz w:val="20"/>
                <w:szCs w:val="20"/>
                <w:lang w:val="en-US"/>
              </w:rPr>
              <w:t>Krych</w:t>
            </w:r>
            <w:proofErr w:type="spellEnd"/>
            <w:r w:rsidRPr="00EE4749">
              <w:rPr>
                <w:rFonts w:ascii="Times New Roman" w:hAnsi="Times New Roman" w:cs="Times New Roman"/>
                <w:sz w:val="20"/>
                <w:szCs w:val="20"/>
                <w:lang w:val="en-US"/>
              </w:rPr>
              <w:t xml:space="preserve"> et al., 2017 </w:t>
            </w:r>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{"citationItems":[{"id":"ITEM-1","itemData":{"DOI":"10.2106/JBJS.15.01031","ISSN":"15351386","PMID":"28099301","abstract":"Background: The cases of patients with medial compartment osteoarthritis who were £55 years old and had a proximal tibial osteotomy (PTO) or medial unicompartmental knee arthroplasty (UKA) were compared. Outcomes included postoperative activity level, function, and survivorship free of revision to total knee arthroplasty. Methods: Between 1998 and 2013, data were available for 240 patients between 18 and 55 years old with medial compartment arthritis and varus malalignment who were treated either with PTO (57 patients) or with UKA (183 patients). The mean age was 42.7 years for the 57 patients (41 men and 16 women) in the PTO group versus 49.2 years for the 183 patients (82 men and 101 women) in the UKA group. The Tegner activity level and Lysholm knee scores were evaluated at 3 months and at 1, 2, and 5 years postoperatively as well as at the time of the final follow-up. The end point for survival was defined as revision to total knee arthroplasty. A Wilcoxon rank-sum test was used to evaluate the difference between the groups with respect to the Tegner and Lysholm scores at the respective follow-up intervals. Multivariate regression was used to assess potential confounders. Results: Preoperatively, the PTO and UKA groups had similar Tegner (3.0 ± 1.3 and 2.6 ± 0.09, respectively) and Lysholm scores (69.5 ± 7.3 and 71.6 ± 5.4). Postoperatively, the UKA group had significantly superior mean Tegner scores compared with the PTO group at 3 months (3.82 and 2.02, respectively), at 2 years (4.33 and 3.75), and at the time of the final follow-up (4.48 and 3.08), while the Lysholm scores were higher at 3 months (88.0 and 76.3) and at the final follow-up (90.0 and 80.2) (p &gt; 0.01 for all). Multivariate analysis showed UKA to be an independent predictor of activity level at 3 months, 1 year, and 2 years, as well as at the final follow-up. The survivorship was 77% in the PTO group at an average of 7.2 years and 94% in the UKA group at an average of 5.8 years (p &gt; 0.01). The average time to failure was 98 months (range, 38 to 169 months) in the PTO group and 42 months (range, 2 to 123 months) in the UKA group (p &gt; 0.01). Conclusions: In this comparative cohort study of young patients with isolated unicompartmental arthritis, those treated with UKA reached a higher level of activity early after surgery and it persisted at mid-term follow-up. The UKA group had earlier, but less frequent, revision to total knee arthroplasty. Level of Evidence: Therapeutic Level III. …","author":[{"dropping-particle":"","family":"Krych","given":"Aaron J.","non-dropping-particle":"","parse-names":false,"suffix":""},{"dropping-particle":"","family":"Reardon","given":"Patrick","non-dropping-particle":"","parse-names":false,"suffix":""},{"dropping-particle":"","family":"Sousa","given":"Paul","non-dropping-particle":"","parse-names":false,"suffix":""},{"dropping-particle":"","family":"Pareek","given":"Ayoosh","non-dropping-particle":"","parse-names":false,"suffix":""},{"dropping-particle":"","family":"Stuart","given":"Michael","non-dropping-particle":"","parse-names":false,"suffix":""},{"dropping-particle":"","family":"Pagnano","given":"Mark","non-dropping-particle":"","parse-names":false,"suffix":""}],"container-title":"Journal of Bone and Joint Surgery - American Volume","id":"ITEM-1","issue":"2","issued":{"date-parts":[["2017"]]},"page":"113-122","title":"Unicompartmental knee arthroplasty provides higher activity and durability than valgus-producing proximal tibial osteotomy at 5 to 7 years","type":"article-journal","volume":"99"},"uris":["http://www.mendeley.com/documents/?uuid=c2de84f6-5fbf-4d18-8dc1-2509c7d1ccf9"]}],"mendeley":{"formattedCitation":"[3]","plainTextFormattedCitation":"[3]","previouslyFormattedCitation":"[3]"},"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[3]</w:t>
            </w:r>
            <w:r w:rsidRPr="00EE4749">
              <w:rPr>
                <w:rFonts w:ascii="Times New Roman" w:hAnsi="Times New Roman" w:cs="Times New Roman"/>
                <w:sz w:val="20"/>
                <w:szCs w:val="20"/>
                <w:lang w:val="en-US"/>
              </w:rPr>
              <w:fldChar w:fldCharType="end"/>
            </w:r>
          </w:p>
        </w:tc>
        <w:tc>
          <w:tcPr>
            <w:tcW w:w="1635" w:type="dxa"/>
          </w:tcPr>
          <w:p w14:paraId="77288AD7" w14:textId="62036F76"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798" w:type="dxa"/>
          </w:tcPr>
          <w:p w14:paraId="696351B0" w14:textId="38D7ED2A"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Unclear</w:t>
            </w:r>
          </w:p>
        </w:tc>
        <w:tc>
          <w:tcPr>
            <w:tcW w:w="1655" w:type="dxa"/>
          </w:tcPr>
          <w:p w14:paraId="2241C93F" w14:textId="4EB2424B"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643" w:type="dxa"/>
          </w:tcPr>
          <w:p w14:paraId="50D23679" w14:textId="27A60F83"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635" w:type="dxa"/>
          </w:tcPr>
          <w:p w14:paraId="2B80AFD4" w14:textId="28ADED62"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Low</w:t>
            </w:r>
          </w:p>
        </w:tc>
        <w:tc>
          <w:tcPr>
            <w:tcW w:w="1616" w:type="dxa"/>
          </w:tcPr>
          <w:p w14:paraId="02E612C3" w14:textId="33788572"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Low</w:t>
            </w:r>
          </w:p>
        </w:tc>
        <w:tc>
          <w:tcPr>
            <w:tcW w:w="1564" w:type="dxa"/>
          </w:tcPr>
          <w:p w14:paraId="4F6A85E6" w14:textId="31A42CC6"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Unclear</w:t>
            </w:r>
          </w:p>
        </w:tc>
      </w:tr>
      <w:tr w:rsidR="00295AA9" w:rsidRPr="00EE4749" w14:paraId="6D7A17EB" w14:textId="77777777" w:rsidTr="00295AA9">
        <w:trPr>
          <w:trHeight w:val="534"/>
        </w:trPr>
        <w:tc>
          <w:tcPr>
            <w:tcW w:w="1795" w:type="dxa"/>
          </w:tcPr>
          <w:p w14:paraId="77997702" w14:textId="1326B825"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lang w:val="en-US"/>
              </w:rPr>
              <w:t>Petersen et al., 2016</w:t>
            </w:r>
            <w:bookmarkStart w:id="2" w:name="_Hlk67344544"/>
            <w:r w:rsidRPr="00EE4749">
              <w:rPr>
                <w:rFonts w:ascii="Times New Roman" w:hAnsi="Times New Roman" w:cs="Times New Roman"/>
                <w:sz w:val="20"/>
                <w:szCs w:val="20"/>
                <w:lang w:val="en-US"/>
              </w:rPr>
              <w:t xml:space="preserve"> </w:t>
            </w:r>
            <w:bookmarkStart w:id="3" w:name="_Hlk67344188"/>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{"citationItems":[{"id":"ITEM-1","itemData":{"DOI":"10.1007/s00402-016-2465-1","ISSN":"14343916","PMID":"27154579","abstract":"Introduction: Aim of this study was to compare clinical results after open wedge HTO (OW-HTO and medial unicondylar joint replacement (UKA) in patients aged between 55 and 65. Materials and methods: Fifty-four patients aged between 55 and 65 years with medial OA and varus malalignement who had been treated by either OW-HTO or UKA could be included. Minimum follow up was 5 years. The HSS knee score and the KOOS were used to evaluate clinical outcome. Results: There was no difference in the revision rate, the HSS knee score and the KOOS subscales Sports/Rec and ADL between the OW-HTO and UKA group. However, the KOOS subscales pain, Symptoms and QoL were significantly better in the UKA group compared to the OW-HTO. Conclusions: The results of this study showed that 5 years after surgery patients after UKA had less residual pain and symptoms than patients after UKA. These advantages might result in a higher quality of life.","author":[{"dropping-particle":"","family":"Petersen","given":"Wolf","non-dropping-particle":"","parse-names":false,"suffix":""},{"dropping-particle":"","family":"Metzlaff","given":"Sebastian","non-dropping-particle":"","parse-names":false,"suffix":""}],"container-title":"Archives of Orthopaedic and Trauma Surgery","id":"ITEM-1","issue":"7","issued":{"date-parts":[["2016"]]},"page":"983-989","publisher":"Springer Berlin Heidelberg","title":"Open wedge high tibial osteotomy (HTO) versus mobile bearing unicondylar medial joint replacement: five years results","type":"article-journal","volume":"136"},"uris":["http://www.mendeley.com/documents/?uuid=c52e0a15-1ca7-43ec-bbbd-16f93516492b"]}],"mendeley":{"formattedCitation":"[4]","plainTextFormattedCitation":"[4]","previouslyFormattedCitation":"[4]"},"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[4]</w:t>
            </w:r>
            <w:r w:rsidRPr="00EE4749">
              <w:rPr>
                <w:rFonts w:ascii="Times New Roman" w:hAnsi="Times New Roman" w:cs="Times New Roman"/>
                <w:sz w:val="20"/>
                <w:szCs w:val="20"/>
                <w:lang w:val="en-US"/>
              </w:rPr>
              <w:fldChar w:fldCharType="end"/>
            </w:r>
            <w:bookmarkEnd w:id="2"/>
            <w:bookmarkEnd w:id="3"/>
          </w:p>
        </w:tc>
        <w:tc>
          <w:tcPr>
            <w:tcW w:w="1635" w:type="dxa"/>
          </w:tcPr>
          <w:p w14:paraId="557784C8" w14:textId="5EEFA8A6"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798" w:type="dxa"/>
          </w:tcPr>
          <w:p w14:paraId="652DCCA3" w14:textId="2B25BF5F"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Unclear</w:t>
            </w:r>
          </w:p>
        </w:tc>
        <w:tc>
          <w:tcPr>
            <w:tcW w:w="1655" w:type="dxa"/>
          </w:tcPr>
          <w:p w14:paraId="29107D35" w14:textId="622B7BE6"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643" w:type="dxa"/>
          </w:tcPr>
          <w:p w14:paraId="78A0149F" w14:textId="393CFEF9"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635" w:type="dxa"/>
          </w:tcPr>
          <w:p w14:paraId="304404B5" w14:textId="00558003"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Unclear</w:t>
            </w:r>
          </w:p>
        </w:tc>
        <w:tc>
          <w:tcPr>
            <w:tcW w:w="1616" w:type="dxa"/>
          </w:tcPr>
          <w:p w14:paraId="3C7571CA" w14:textId="554BF3B9"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Low</w:t>
            </w:r>
          </w:p>
        </w:tc>
        <w:tc>
          <w:tcPr>
            <w:tcW w:w="1564" w:type="dxa"/>
          </w:tcPr>
          <w:p w14:paraId="009B2AA7" w14:textId="5E999FCE"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Low</w:t>
            </w:r>
          </w:p>
        </w:tc>
      </w:tr>
      <w:tr w:rsidR="00295AA9" w:rsidRPr="00EE4749" w14:paraId="00FE365E" w14:textId="77777777" w:rsidTr="00295AA9">
        <w:trPr>
          <w:trHeight w:val="550"/>
        </w:trPr>
        <w:tc>
          <w:tcPr>
            <w:tcW w:w="1795" w:type="dxa"/>
          </w:tcPr>
          <w:p w14:paraId="7FF479B2" w14:textId="514E32FC" w:rsidR="00295AA9" w:rsidRPr="00EE4749" w:rsidRDefault="00295AA9" w:rsidP="007248D9">
            <w:pPr>
              <w:rPr>
                <w:rFonts w:ascii="Times New Roman" w:hAnsi="Times New Roman" w:cs="Times New Roman"/>
                <w:sz w:val="20"/>
                <w:szCs w:val="20"/>
              </w:rPr>
            </w:pPr>
            <w:proofErr w:type="spellStart"/>
            <w:r w:rsidRPr="00EE4749">
              <w:rPr>
                <w:rFonts w:ascii="Times New Roman" w:hAnsi="Times New Roman" w:cs="Times New Roman"/>
                <w:sz w:val="20"/>
                <w:szCs w:val="20"/>
                <w:lang w:val="en-US"/>
              </w:rPr>
              <w:t>Borjesson</w:t>
            </w:r>
            <w:proofErr w:type="spellEnd"/>
            <w:r w:rsidRPr="00EE4749">
              <w:rPr>
                <w:rFonts w:ascii="Times New Roman" w:hAnsi="Times New Roman" w:cs="Times New Roman"/>
                <w:sz w:val="20"/>
                <w:szCs w:val="20"/>
                <w:lang w:val="en-US"/>
              </w:rPr>
              <w:t xml:space="preserve"> et al., 2005 </w:t>
            </w:r>
            <w:bookmarkStart w:id="4" w:name="_Hlk67344596"/>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{"citationItems":[{"id":"ITEM-1","itemData":{"DOI":"10.1016/j.knee.2004.04.002","ISSN":"09680160","PMID":"15749447","abstract":"The aim of this prospective follow-up study was to determine if gait measurements and/or clinical measurements could detect differences in treatment outcome between two surgical interventions in patients with knee osteoarthritis (OA). The patients were followed for 5 years after surgery. Forty patients, 55-70 years of age, with unilateral knee OA were included. The patients were treated either with a high tibial osteotomy (HTO) (n=18) or a unicompartmental knee arthroplasty (UKA) (n=22). Clinical outcome measures were the British Orthopaedic Association (BOA) score, pain during walking, passive range of knee motion (PROM) and patients' subjective opinion. The gait variables were free walking speed, step frequency, step length and single and double-stance phase for each leg. The patients were examined before surgery and 3 months, 1 year and 5 years after surgery. The time-distance variables of gait could detect differences in treatment outcome, 3 months after surgery, while the clinical outcome measures, as given here, could not detect any differences between the two groups of patients. Measurements of free walking speed could be recommended for clinical evaluation, after surgical interventions, in patients with knee OA. © 2004 Elsevier B.V. All rights reserved.","author":[{"dropping-particle":"","family":"Börjesson","given":"M.","non-dropping-particle":"","parse-names":false,"suffix":""},{"dropping-particle":"","family":"Weidenhielm","given":"L.","non-dropping-particle":"","parse-names":false,"suffix":""},{"dropping-particle":"","family":"Mattsson","given":"E.","non-dropping-particle":"","parse-names":false,"suffix":""},{"dropping-particle":"","family":"Olsson","given":"E.","non-dropping-particle":"","parse-names":false,"suffix":""}],"container-title":"Knee","id":"ITEM-1","issue":"2","issued":{"date-parts":[["2005"]]},"page":"121-127","title":"Gait and clinical measurements in patients with knee osteoarthritis after surgery: A prospective 5-year follow-up study","type":"article-journal","volume":"12"},"uris":["http://www.mendeley.com/documents/?uuid=063013c7-048a-4cda-8df2-20b2d923e87d"]}],"mendeley":{"formattedCitation":"[5]","plainTextFormattedCitation":"[5]","previouslyFormattedCitation":"[5]"},"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[5]</w:t>
            </w:r>
            <w:r w:rsidRPr="00EE4749">
              <w:rPr>
                <w:rFonts w:ascii="Times New Roman" w:hAnsi="Times New Roman" w:cs="Times New Roman"/>
                <w:sz w:val="20"/>
                <w:szCs w:val="20"/>
                <w:lang w:val="en-US"/>
              </w:rPr>
              <w:fldChar w:fldCharType="end"/>
            </w:r>
            <w:bookmarkEnd w:id="4"/>
          </w:p>
        </w:tc>
        <w:tc>
          <w:tcPr>
            <w:tcW w:w="1635" w:type="dxa"/>
          </w:tcPr>
          <w:p w14:paraId="60ED8E15" w14:textId="4BBACF0A"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Low</w:t>
            </w:r>
          </w:p>
        </w:tc>
        <w:tc>
          <w:tcPr>
            <w:tcW w:w="1798" w:type="dxa"/>
          </w:tcPr>
          <w:p w14:paraId="1470B58A" w14:textId="280D8BCC"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Low</w:t>
            </w:r>
          </w:p>
        </w:tc>
        <w:tc>
          <w:tcPr>
            <w:tcW w:w="1655" w:type="dxa"/>
          </w:tcPr>
          <w:p w14:paraId="42F136EA" w14:textId="4B327E71"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643" w:type="dxa"/>
          </w:tcPr>
          <w:p w14:paraId="3AD4894C" w14:textId="391FE474"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Unclear</w:t>
            </w:r>
          </w:p>
        </w:tc>
        <w:tc>
          <w:tcPr>
            <w:tcW w:w="1635" w:type="dxa"/>
          </w:tcPr>
          <w:p w14:paraId="06A3FDBB" w14:textId="2D64AEEF"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Low</w:t>
            </w:r>
          </w:p>
        </w:tc>
        <w:tc>
          <w:tcPr>
            <w:tcW w:w="1616" w:type="dxa"/>
          </w:tcPr>
          <w:p w14:paraId="5C49AF98" w14:textId="269A4A29"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Unclear</w:t>
            </w:r>
          </w:p>
        </w:tc>
        <w:tc>
          <w:tcPr>
            <w:tcW w:w="1564" w:type="dxa"/>
          </w:tcPr>
          <w:p w14:paraId="11E2510F" w14:textId="68FE787E"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Unclear</w:t>
            </w:r>
          </w:p>
        </w:tc>
      </w:tr>
      <w:tr w:rsidR="00295AA9" w:rsidRPr="00EE4749" w14:paraId="5DF23E9A" w14:textId="77777777" w:rsidTr="00295AA9">
        <w:trPr>
          <w:trHeight w:val="810"/>
        </w:trPr>
        <w:tc>
          <w:tcPr>
            <w:tcW w:w="1795" w:type="dxa"/>
          </w:tcPr>
          <w:p w14:paraId="33786BBF" w14:textId="0E82751F" w:rsidR="00295AA9" w:rsidRPr="00EE4749" w:rsidRDefault="00295AA9" w:rsidP="007248D9">
            <w:pPr>
              <w:rPr>
                <w:rFonts w:ascii="Times New Roman" w:hAnsi="Times New Roman" w:cs="Times New Roman"/>
                <w:sz w:val="20"/>
                <w:szCs w:val="20"/>
              </w:rPr>
            </w:pPr>
            <w:proofErr w:type="spellStart"/>
            <w:r w:rsidRPr="00EE4749">
              <w:rPr>
                <w:rFonts w:ascii="Times New Roman" w:hAnsi="Times New Roman" w:cs="Times New Roman"/>
                <w:sz w:val="20"/>
                <w:szCs w:val="20"/>
                <w:lang w:val="en-US"/>
              </w:rPr>
              <w:t>Stukenborg-Colsman</w:t>
            </w:r>
            <w:proofErr w:type="spellEnd"/>
            <w:r w:rsidRPr="00EE4749">
              <w:rPr>
                <w:rFonts w:ascii="Times New Roman" w:hAnsi="Times New Roman" w:cs="Times New Roman"/>
                <w:sz w:val="20"/>
                <w:szCs w:val="20"/>
                <w:lang w:val="en-US"/>
              </w:rPr>
              <w:t xml:space="preserve"> et al., </w:t>
            </w:r>
            <w:bookmarkStart w:id="5" w:name="_Hlk67345018"/>
            <w:r w:rsidRPr="00EE4749">
              <w:rPr>
                <w:rFonts w:ascii="Times New Roman" w:hAnsi="Times New Roman" w:cs="Times New Roman"/>
                <w:sz w:val="20"/>
                <w:szCs w:val="20"/>
                <w:lang w:val="en-US"/>
              </w:rPr>
              <w:t>2001</w:t>
            </w:r>
            <w:bookmarkStart w:id="6" w:name="_Hlk67344407"/>
            <w:r w:rsidRPr="00EE4749">
              <w:rPr>
                <w:rFonts w:ascii="Times New Roman" w:hAnsi="Times New Roman" w:cs="Times New Roman"/>
                <w:sz w:val="20"/>
                <w:szCs w:val="20"/>
                <w:lang w:val="en-US"/>
              </w:rPr>
              <w:t xml:space="preserve"> </w:t>
            </w:r>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{"citationItems":[{"id":"ITEM-1","itemData":{"DOI":"10.1016/S0968-0160(01)00097-7","ISSN":"09680160","PMID":"11706726","abstract":"The clinical outcome of patients treated either by high tibial osteotomy or unicompartmental arthroplasty for medial unicompartmental osteoarthritis of the knee was compared in a prospective randomised study. In total, 32 patients received a high tibial osteotomy (HTO) and 28 patients a unicompartmental arthroplasty (UKA). More intra- and postoperative complications were observed after HTO. Patients were assessed at an average of 2.5 (1.6-5), 4.5 (3.6-7), and 7.5 years (6.6-10) after the operation. Using the Knee Society Score, 71% (15) of patients after osteotomy and 65% (13) after replacement had a knee score of excellent or good 7-10 years postoperatively. The Kaplan-Meier survival analysis 7-10 years postoperatively showed a survivorship of 77% for UKA and 60% for HTO. Although the unicompartmental prosthesis used in this series has not shown promising results, we conclude that with the advanced design of unicompartmental prosthesis today, UKA offers better long-term success. © 2001 Elsevier Science B.V. All rights reserved.","author":[{"dropping-particle":"","family":"Stukenborg-Colsman","given":"C.","non-dropping-particle":"","parse-names":false,"suffix":""},{"dropping-particle":"","family":"Wirth","given":"C. J.","non-dropping-particle":"","parse-names":false,"suffix":""},{"dropping-particle":"","family":"Lazovic","given":"D.","non-dropping-particle":"","parse-names":false,"suffix":""},{"dropping-particle":"","family":"Wefer","given":"A.","non-dropping-particle":"","parse-names":false,"suffix":""}],"container-title":"Knee","id":"ITEM-1","issue":"3","issued":{"date-parts":[["2001"]]},"page":"187-194","title":"High tibial osteotomy versus unicompartmental joint replacement in unicompartmental knee joint osteoarthritis: 7-10-Year follow-up prospective randomised study","type":"article-journal","volume":"8"},"uris":["http://www.mendeley.com/documents/?uuid=0124b186-9c35-407f-a706-7b9ce6389b30"]}],"mendeley":{"formattedCitation":"[6]","plainTextFormattedCitation":"[6]","previouslyFormattedCitation":"[6]"},"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[6]</w:t>
            </w:r>
            <w:r w:rsidRPr="00EE4749">
              <w:rPr>
                <w:rFonts w:ascii="Times New Roman" w:hAnsi="Times New Roman" w:cs="Times New Roman"/>
                <w:sz w:val="20"/>
                <w:szCs w:val="20"/>
                <w:lang w:val="en-US"/>
              </w:rPr>
              <w:fldChar w:fldCharType="end"/>
            </w:r>
            <w:bookmarkEnd w:id="5"/>
            <w:bookmarkEnd w:id="6"/>
          </w:p>
        </w:tc>
        <w:tc>
          <w:tcPr>
            <w:tcW w:w="1635" w:type="dxa"/>
          </w:tcPr>
          <w:p w14:paraId="2DCA4FB0" w14:textId="4BE86076"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Low</w:t>
            </w:r>
          </w:p>
        </w:tc>
        <w:tc>
          <w:tcPr>
            <w:tcW w:w="1798" w:type="dxa"/>
          </w:tcPr>
          <w:p w14:paraId="455FD4FD" w14:textId="2CC95B72"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655" w:type="dxa"/>
          </w:tcPr>
          <w:p w14:paraId="087AB908" w14:textId="43C5F051"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643" w:type="dxa"/>
          </w:tcPr>
          <w:p w14:paraId="67190BDF" w14:textId="0DE4B7EF"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Unclear</w:t>
            </w:r>
          </w:p>
        </w:tc>
        <w:tc>
          <w:tcPr>
            <w:tcW w:w="1635" w:type="dxa"/>
          </w:tcPr>
          <w:p w14:paraId="46E94B0B" w14:textId="1A70FF01"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Low</w:t>
            </w:r>
          </w:p>
        </w:tc>
        <w:tc>
          <w:tcPr>
            <w:tcW w:w="1616" w:type="dxa"/>
          </w:tcPr>
          <w:p w14:paraId="7EF0C773" w14:textId="7BF37F29"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Unclear</w:t>
            </w:r>
          </w:p>
        </w:tc>
        <w:tc>
          <w:tcPr>
            <w:tcW w:w="1564" w:type="dxa"/>
          </w:tcPr>
          <w:p w14:paraId="76207A8A" w14:textId="76FAE2CD"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Low</w:t>
            </w:r>
          </w:p>
        </w:tc>
      </w:tr>
      <w:tr w:rsidR="00295AA9" w:rsidRPr="00EE4749" w14:paraId="2ED9F073" w14:textId="77777777" w:rsidTr="00295AA9">
        <w:trPr>
          <w:trHeight w:val="550"/>
        </w:trPr>
        <w:tc>
          <w:tcPr>
            <w:tcW w:w="1795" w:type="dxa"/>
          </w:tcPr>
          <w:p w14:paraId="31589175" w14:textId="641F305A"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lang w:val="en-US"/>
              </w:rPr>
              <w:t>Takeuchi et al., 2010</w:t>
            </w:r>
            <w:bookmarkStart w:id="7" w:name="_Hlk67344307"/>
            <w:r w:rsidRPr="00EE4749">
              <w:rPr>
                <w:rFonts w:ascii="Times New Roman" w:hAnsi="Times New Roman" w:cs="Times New Roman"/>
                <w:sz w:val="20"/>
                <w:szCs w:val="20"/>
                <w:lang w:val="en-US"/>
              </w:rPr>
              <w:t xml:space="preserve"> </w:t>
            </w:r>
            <w:bookmarkStart w:id="8" w:name="_Hlk67344393"/>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{"citationItems":[{"id":"ITEM-1","itemData":{"DOI":"10.1186/1749-799X-5-65","ISSN":"1749799X","abstract":"Background: The choice of surgical treatments for unicompartmental osteoarthritis (OA) of the knee is still somewhat controversial. Midterm results from cases treated using unicompartmental knee arthroplasty (UKA) or open wedge high tibial osteotomy (OWHTO) were evaluated retrospectively.Methods: Twenty-seven knees of 24 patients with varus deformities underwent OWHTO and 30 knees of 18 patients underwent UKA surgeries for the treatment of medial compartmental osteoarthritis (OA). The KSS score, FTA, range of motion and complications were evaluated before and after surgery.Results: The preoperative mean KSS scores were 49 points in the OWHTO group and 62 in the UKA group which improved postoperatively to 89 (excellent; 19 knees, good; 8 knees), and 88 (excellent; 25, good; 4, fair; 1), respectively. There was no significant difference between the OWHTO and UKA scores. Seventeen patients in the OWHTO group could sit comfortably in the formal Japanese style after surgery. The preoperative mean FTA values for the OWHTO and UKA groups were 182 degrees and 184, and at follow-up measured 169 and 170, respectively. In the UKA group, the femoral component and the polyethylene insertion in one patient was exchanged at 5 years post-surgery and revision TKAs were performed in 2 cases. In the OWHTO group, one tibial plateau fracture and one subcutaneous tissue infection were noted.Conclusions: Treatment options should be carefully considered for each OA patient in accordance with their activity levels, grade of advanced OA, age, and range of motion of the knee. OWHTO shows an improved indication for active patients with a good range of motion of the knee. © 2010 Takeuchi et al; licensee BioMed Central Ltd.","author":[{"dropping-particle":"","family":"Takeuchi","given":"Ryohei","non-dropping-particle":"","parse-names":false,"suffix":""},{"dropping-particle":"","family":"Umemoto","given":"Yusuke","non-dropping-particle":"","parse-names":false,"suffix":""},{"dropping-particle":"","family":"Aratake","given":"Masato","non-dropping-particle":"","parse-names":false,"suffix":""},{"dropping-particle":"","family":"Bito","given":"Haruhiko","non-dropping-particle":"","parse-names":false,"suffix":""},{"dropping-particle":"","family":"Saito","given":"Izumi","non-dropping-particle":"","parse-names":false,"suffix":""},{"dropping-particle":"","family":"Kumagai","given":"Ken","non-dropping-particle":"","parse-names":false,"suffix":""},{"dropping-particle":"","family":"Sasaki","given":"Yohei","non-dropping-particle":"","parse-names":false,"suffix":""},{"dropping-particle":"","family":"Akamatsu","given":"Yasushi","non-dropping-particle":"","parse-names":false,"suffix":""},{"dropping-particle":"","family":"Ishikawa","given":"Hiroyuki","non-dropping-particle":"","parse-names":false,"suffix":""},{"dropping-particle":"","family":"Koshino","given":"Tomihisa","non-dropping-particle":"","parse-names":false,"suffix":""},{"dropping-particle":"","family":"Saito","given":"Tomoyuki","non-dropping-particle":"","parse-names":false,"suffix":""}],"container-title":"Journal of Orthopaedic Surgery and Research","id":"ITEM-1","issue":"1","issued":{"date-parts":[["2010"]]},"page":"1-8","title":"A mid term comparison of open wedge high tibial osteotomy vs unicompartmental knee arthroplasty for medial compartment osteoarthritis of the knee","type":"article-journal","volume":"5"},"uris":["http://www.mendeley.com/documents/?uuid=5a5a592c-929e-42dc-83a9-5c0a04703691"]}],"mendeley":{"formattedCitation":"[7]","plainTextFormattedCitation":"[7]","previouslyFormattedCitation":"[7]"},"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[7]</w:t>
            </w:r>
            <w:r w:rsidRPr="00EE4749">
              <w:rPr>
                <w:rFonts w:ascii="Times New Roman" w:hAnsi="Times New Roman" w:cs="Times New Roman"/>
                <w:sz w:val="20"/>
                <w:szCs w:val="20"/>
                <w:lang w:val="en-US"/>
              </w:rPr>
              <w:fldChar w:fldCharType="end"/>
            </w:r>
            <w:bookmarkEnd w:id="7"/>
            <w:bookmarkEnd w:id="8"/>
          </w:p>
        </w:tc>
        <w:tc>
          <w:tcPr>
            <w:tcW w:w="1635" w:type="dxa"/>
          </w:tcPr>
          <w:p w14:paraId="2DD1047B" w14:textId="5FBEEA9A"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798" w:type="dxa"/>
          </w:tcPr>
          <w:p w14:paraId="46A5A765" w14:textId="14C2C571"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Low</w:t>
            </w:r>
          </w:p>
        </w:tc>
        <w:tc>
          <w:tcPr>
            <w:tcW w:w="1655" w:type="dxa"/>
          </w:tcPr>
          <w:p w14:paraId="5C1396D2" w14:textId="318973D2"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643" w:type="dxa"/>
          </w:tcPr>
          <w:p w14:paraId="768DDAEA" w14:textId="324FCA47"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635" w:type="dxa"/>
          </w:tcPr>
          <w:p w14:paraId="3B14410A" w14:textId="2849087E"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616" w:type="dxa"/>
          </w:tcPr>
          <w:p w14:paraId="130FE431" w14:textId="1DD1836D"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Low</w:t>
            </w:r>
          </w:p>
        </w:tc>
        <w:tc>
          <w:tcPr>
            <w:tcW w:w="1564" w:type="dxa"/>
          </w:tcPr>
          <w:p w14:paraId="63B1F12F" w14:textId="634B7A12"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Unclear</w:t>
            </w:r>
          </w:p>
        </w:tc>
      </w:tr>
      <w:tr w:rsidR="00295AA9" w:rsidRPr="00EE4749" w14:paraId="4E956DB7" w14:textId="77777777" w:rsidTr="00295AA9">
        <w:trPr>
          <w:trHeight w:val="534"/>
        </w:trPr>
        <w:tc>
          <w:tcPr>
            <w:tcW w:w="1795" w:type="dxa"/>
          </w:tcPr>
          <w:p w14:paraId="79EA39D9" w14:textId="748EBDD5" w:rsidR="00295AA9" w:rsidRPr="00EE4749" w:rsidRDefault="00295AA9" w:rsidP="007248D9">
            <w:pPr>
              <w:rPr>
                <w:rFonts w:ascii="Times New Roman" w:hAnsi="Times New Roman" w:cs="Times New Roman"/>
                <w:sz w:val="20"/>
                <w:szCs w:val="20"/>
              </w:rPr>
            </w:pPr>
            <w:proofErr w:type="spellStart"/>
            <w:r w:rsidRPr="00EE4749">
              <w:rPr>
                <w:rFonts w:ascii="Times New Roman" w:hAnsi="Times New Roman" w:cs="Times New Roman"/>
                <w:sz w:val="20"/>
                <w:szCs w:val="20"/>
                <w:lang w:val="en-US"/>
              </w:rPr>
              <w:t>Yim</w:t>
            </w:r>
            <w:proofErr w:type="spellEnd"/>
            <w:r w:rsidRPr="00EE4749">
              <w:rPr>
                <w:rFonts w:ascii="Times New Roman" w:hAnsi="Times New Roman" w:cs="Times New Roman"/>
                <w:sz w:val="20"/>
                <w:szCs w:val="20"/>
                <w:lang w:val="en-US"/>
              </w:rPr>
              <w:t xml:space="preserve"> et al., 2013 </w:t>
            </w:r>
            <w:bookmarkStart w:id="9" w:name="_Hlk67344295"/>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{"citationItems":[{"id":"ITEM-1","itemData":{"DOI":"10.1016/j.arth.2012.06.011","ISSN":"08835403","PMID":"22854345","abstract":"The purpose of this study was to compare clinical outcomes including return to recreational activities (cycling, swimming, exercise walking, dancing, jogging, and mountain climbing) after opening-wedge high tibial osteotomy (HTO) and unicompartmental knee arthroplasty (UKA). Clinical outcomes were assessed using Tegner activity scores, ranges of motion, and Lysholm knee scores. In both groups, the number of patients participating in recreational activities was significantly reduced after surgery, but without a significant intergroup difference (1.3 activities in HTO group and in 1.6 activities in UKA group). Average Tegner activity scale scores, ranges of motion, and Lysholm knee scores did not show significant differences between the 2 groups. This study identified no significant differences between HTO and UKA for medial unicompartmental osteoarthritis in terms of return to recreational activity and short-term clinical outcomes. © 2013 Elsevier Inc.","author":[{"dropping-particle":"","family":"Yim","given":"Ji Hyeon","non-dropping-particle":"","parse-names":false,"suffix":""},{"dropping-particle":"","family":"Song","given":"Eun Kyoo","non-dropping-particle":"","parse-names":false,"suffix":""},{"dropping-particle":"","family":"Seo","given":"Hyoung Yeon","non-dropping-particle":"","parse-names":false,"suffix":""},{"dropping-particle":"","family":"Kim","given":"Myung Sun","non-dropping-particle":"","parse-names":false,"suffix":""},{"dropping-particle":"","family":"Seon","given":"Jong Keun","non-dropping-particle":"","parse-names":false,"suffix":""}],"container-title":"Journal of Arthroplasty","id":"ITEM-1","issue":"2","issued":{"date-parts":[["2013"]]},"page":"243-247","publisher":"Elsevier Inc.","title":"Comparison of High Tibial Osteotomy and Unicompartmental Knee Arthroplasty at a Minimum Follow-Up of 3 Years","type":"article-journal","volume":"28"},"uris":["http://www.mendeley.com/documents/?uuid=065a2e0b-d79f-4457-9bb6-39ccc4829876"]}],"mendeley":{"formattedCitation":"[8]","plainTextFormattedCitation":"[8]","previouslyFormattedCitation":"[8]"},"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[8]</w:t>
            </w:r>
            <w:r w:rsidRPr="00EE4749">
              <w:rPr>
                <w:rFonts w:ascii="Times New Roman" w:hAnsi="Times New Roman" w:cs="Times New Roman"/>
                <w:sz w:val="20"/>
                <w:szCs w:val="20"/>
                <w:lang w:val="en-US"/>
              </w:rPr>
              <w:fldChar w:fldCharType="end"/>
            </w:r>
            <w:bookmarkEnd w:id="9"/>
          </w:p>
        </w:tc>
        <w:tc>
          <w:tcPr>
            <w:tcW w:w="1635" w:type="dxa"/>
          </w:tcPr>
          <w:p w14:paraId="29BA4460" w14:textId="0FC6F3FB"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798" w:type="dxa"/>
          </w:tcPr>
          <w:p w14:paraId="69DDEB2B" w14:textId="6D749724"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Unclear</w:t>
            </w:r>
          </w:p>
        </w:tc>
        <w:tc>
          <w:tcPr>
            <w:tcW w:w="1655" w:type="dxa"/>
          </w:tcPr>
          <w:p w14:paraId="0193B7BA" w14:textId="48DDA1F5"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643" w:type="dxa"/>
          </w:tcPr>
          <w:p w14:paraId="1AFC0BA7" w14:textId="6AB4A17B"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635" w:type="dxa"/>
          </w:tcPr>
          <w:p w14:paraId="5257B82C" w14:textId="7BBC91CC"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616" w:type="dxa"/>
          </w:tcPr>
          <w:p w14:paraId="0A413F4D" w14:textId="27F4B2A4"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Low</w:t>
            </w:r>
          </w:p>
        </w:tc>
        <w:tc>
          <w:tcPr>
            <w:tcW w:w="1564" w:type="dxa"/>
          </w:tcPr>
          <w:p w14:paraId="04261789" w14:textId="68FA9E42"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Unclear</w:t>
            </w:r>
          </w:p>
        </w:tc>
      </w:tr>
      <w:tr w:rsidR="00295AA9" w:rsidRPr="00EE4749" w14:paraId="2761FD02" w14:textId="77777777" w:rsidTr="00295AA9">
        <w:trPr>
          <w:trHeight w:val="810"/>
        </w:trPr>
        <w:tc>
          <w:tcPr>
            <w:tcW w:w="1795" w:type="dxa"/>
          </w:tcPr>
          <w:p w14:paraId="559EF4BF" w14:textId="49BDA535" w:rsidR="00295AA9" w:rsidRPr="00EE4749" w:rsidRDefault="00295AA9" w:rsidP="007248D9">
            <w:pPr>
              <w:rPr>
                <w:rFonts w:ascii="Times New Roman" w:hAnsi="Times New Roman" w:cs="Times New Roman"/>
                <w:sz w:val="20"/>
                <w:szCs w:val="20"/>
              </w:rPr>
            </w:pPr>
            <w:proofErr w:type="spellStart"/>
            <w:r w:rsidRPr="00EE4749">
              <w:rPr>
                <w:rFonts w:ascii="Times New Roman" w:hAnsi="Times New Roman" w:cs="Times New Roman"/>
                <w:sz w:val="20"/>
                <w:szCs w:val="20"/>
                <w:lang w:val="en-US"/>
              </w:rPr>
              <w:t>Weidenhielm</w:t>
            </w:r>
            <w:proofErr w:type="spellEnd"/>
            <w:r w:rsidRPr="00EE4749">
              <w:rPr>
                <w:rFonts w:ascii="Times New Roman" w:hAnsi="Times New Roman" w:cs="Times New Roman"/>
                <w:sz w:val="20"/>
                <w:szCs w:val="20"/>
                <w:lang w:val="en-US"/>
              </w:rPr>
              <w:t xml:space="preserve"> et al., 1992 </w:t>
            </w:r>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{"citationItems":[{"id":"ITEM-1","itemData":{"DOI":"10.1016/0268-0033(92)90021-U","ISSN":"02680033","abstract":"Fifty-three patients with moderate medial osteoarthrosis of the knee were studied before and after corrective surgery. Twenty-five patients were treated with high tibial osteotomy and 28 with unicompartmental prosthetic replacement (Brigham model). The external moments about the knee were calculated and correlated to the hip-knee-ankle angles before and 1 year after corrective surgery. The hip-knee-ankle angle was determined from whole-leg weightbearing radiographs before and 1 year after surgery. The peak adduction moment and' the mid-stance adduction moment about the knee in the coronal plane during gait were determined with a Kistler force plate and a videorecording system. Surgical correction of leg alignment measured with the hip-knee-ankle angles were achieved in both groups. After surgery the mean hip-knee-ankle angle was changed from 9° of varus to 3° of varus in the prosthetic group and from 9° of varus to 4° of valgus in the osteotomy group. The mean peak knee adduction moment was reduced from 66 N m to 47 N m in the prosthetic group (P &lt; 0.01) and from 63 N m to 21 N m in the osteotomy group (P &lt; 0.001). The' mean mid-stance knee adduction moment was reduced from 48 N m to 27 N m in the prosthetic group (P &lt; 0.001) and from 47 N m to 13 N m in the osteotomy group (P &lt; 0.001). There was an association between the change in adduction moments about the knee and the change in hip-knee-ankle angle after surgery (r = 0.45, P &lt; 0.001). In conclusion our results show that correction of leg aligment will reduce the adduction moments about the osteoarthrotic knee during gait. © 1992.","author":[{"dropping-particle":"","family":"Weidenhielm","given":"L.","non-dropping-particle":"","parse-names":false,"suffix":""},{"dropping-particle":"","family":"Svensson","given":"O. K.","non-dropping-particle":"","parse-names":false,"suffix":""},{"dropping-particle":"","family":"Broström","given":"L. Å","non-dropping-particle":"","parse-names":false,"suffix":""},{"dropping-particle":"","family":"Rudberg","given":"U.","non-dropping-particle":"","parse-names":false,"suffix":""}],"container-title":"Clinical Biomechanics","id":"ITEM-1","issue":"2","issued":{"date-parts":[["1992"]]},"page":"91-96","publisher":"Clin Biomech (Bristol, Avon)","title":"Change in adduction moment about the knee after high tibial osteotomy and prosthetic replacement in osteoarthrosis of the knee","type":"article-journal","volume":"7"},"uris":["http://www.mendeley.com/documents/?uuid=c4982585-72cf-3d88-8c5f-a06a8f53e4dc"]}],"mendeley":{"formattedCitation":"[9]","plainTextFormattedCitation":"[9]","previouslyFormattedCitation":"[9]"},"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[9]</w:t>
            </w:r>
            <w:r w:rsidRPr="00EE4749">
              <w:rPr>
                <w:rFonts w:ascii="Times New Roman" w:hAnsi="Times New Roman" w:cs="Times New Roman"/>
                <w:sz w:val="20"/>
                <w:szCs w:val="20"/>
                <w:lang w:val="en-US"/>
              </w:rPr>
              <w:fldChar w:fldCharType="end"/>
            </w:r>
          </w:p>
        </w:tc>
        <w:tc>
          <w:tcPr>
            <w:tcW w:w="1635" w:type="dxa"/>
          </w:tcPr>
          <w:p w14:paraId="4E203979" w14:textId="3EFE9EFA"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798" w:type="dxa"/>
          </w:tcPr>
          <w:p w14:paraId="4549BAFC" w14:textId="16DA3AFD"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655" w:type="dxa"/>
          </w:tcPr>
          <w:p w14:paraId="38974232" w14:textId="2EBC93F7"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High</w:t>
            </w:r>
          </w:p>
        </w:tc>
        <w:tc>
          <w:tcPr>
            <w:tcW w:w="1643" w:type="dxa"/>
          </w:tcPr>
          <w:p w14:paraId="1DD33A2E" w14:textId="72D17592"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Unclear</w:t>
            </w:r>
          </w:p>
        </w:tc>
        <w:tc>
          <w:tcPr>
            <w:tcW w:w="1635" w:type="dxa"/>
          </w:tcPr>
          <w:p w14:paraId="4B6BAB29" w14:textId="5D7D0C89"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Unclear</w:t>
            </w:r>
          </w:p>
        </w:tc>
        <w:tc>
          <w:tcPr>
            <w:tcW w:w="1616" w:type="dxa"/>
          </w:tcPr>
          <w:p w14:paraId="7C92236D" w14:textId="12CB8A8C"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Low</w:t>
            </w:r>
          </w:p>
        </w:tc>
        <w:tc>
          <w:tcPr>
            <w:tcW w:w="1564" w:type="dxa"/>
          </w:tcPr>
          <w:p w14:paraId="0D65FD25" w14:textId="0F3710BF" w:rsidR="00295AA9" w:rsidRPr="00EE4749" w:rsidRDefault="00295AA9" w:rsidP="007248D9">
            <w:pPr>
              <w:rPr>
                <w:rFonts w:ascii="Times New Roman" w:hAnsi="Times New Roman" w:cs="Times New Roman"/>
                <w:sz w:val="20"/>
                <w:szCs w:val="20"/>
              </w:rPr>
            </w:pPr>
            <w:r w:rsidRPr="00EE4749">
              <w:rPr>
                <w:rFonts w:ascii="Times New Roman" w:hAnsi="Times New Roman" w:cs="Times New Roman"/>
                <w:sz w:val="20"/>
                <w:szCs w:val="20"/>
              </w:rPr>
              <w:t>Unclear</w:t>
            </w:r>
          </w:p>
        </w:tc>
      </w:tr>
      <w:tr w:rsidR="00295AA9" w:rsidRPr="00EE4749" w14:paraId="17BCF1E9" w14:textId="77777777" w:rsidTr="00295AA9">
        <w:trPr>
          <w:trHeight w:val="825"/>
        </w:trPr>
        <w:tc>
          <w:tcPr>
            <w:tcW w:w="1795" w:type="dxa"/>
          </w:tcPr>
          <w:p w14:paraId="75340958" w14:textId="685AF9A9" w:rsidR="00295AA9" w:rsidRPr="00EE4749" w:rsidRDefault="00295AA9" w:rsidP="00295AA9">
            <w:pPr>
              <w:rPr>
                <w:rFonts w:ascii="Times New Roman" w:hAnsi="Times New Roman" w:cs="Times New Roman"/>
                <w:sz w:val="20"/>
                <w:szCs w:val="20"/>
              </w:rPr>
            </w:pPr>
            <w:proofErr w:type="spellStart"/>
            <w:r w:rsidRPr="00EE4749">
              <w:rPr>
                <w:rFonts w:ascii="Times New Roman" w:hAnsi="Times New Roman" w:cs="Times New Roman"/>
                <w:sz w:val="20"/>
                <w:szCs w:val="20"/>
                <w:lang w:val="en-US"/>
              </w:rPr>
              <w:t>Weidenhielm</w:t>
            </w:r>
            <w:proofErr w:type="spellEnd"/>
            <w:r w:rsidRPr="00EE4749">
              <w:rPr>
                <w:rFonts w:ascii="Times New Roman" w:hAnsi="Times New Roman" w:cs="Times New Roman"/>
                <w:sz w:val="20"/>
                <w:szCs w:val="20"/>
                <w:lang w:val="en-US"/>
              </w:rPr>
              <w:t xml:space="preserve"> et al., 1993 </w:t>
            </w:r>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author":[{"dropping-particle":"","family":"Weidenhielm","given":"L","non-dropping-particle":"","parse-names":false,"suffix":""},{"dropping-particle":"","family":"Olsson","given":"E","non-dropping-particle":"","parse-names":false,"suffix":""},{"dropping-particle":"","family":"…","given":"LA Broström - Scandinavian journal","non-dropping-particle":"","parse-names":false,"suffix":""},{"dropping-particle":"","family":"1993","given":"undefined","non-dropping-particle":"","parse-names":false,"suffix":""}],"container-title":"europepmc.org","id":"ITEM-1","issued":{"date-parts":[["0"]]},"title":"Improvement in gait one year after surgery for knee osteoarthrosis: a comparison between high tibial osteotomy and prosthetic replacement in a prospective","type":"article-journal"},"uris":["http://www.mendeley.com/documents/?uuid=a788eb0d-29c5-3387-98df-f3a04362bcf1"]}],"mendeley":{"formattedCitation":"[10]","plainTextFormattedCitation":"[10]","previouslyFormattedCitation":"[10]"},"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[10]</w:t>
            </w:r>
            <w:r w:rsidRPr="00EE4749">
              <w:rPr>
                <w:rFonts w:ascii="Times New Roman" w:hAnsi="Times New Roman" w:cs="Times New Roman"/>
                <w:sz w:val="20"/>
                <w:szCs w:val="20"/>
                <w:lang w:val="en-US"/>
              </w:rPr>
              <w:fldChar w:fldCharType="end"/>
            </w:r>
          </w:p>
        </w:tc>
        <w:tc>
          <w:tcPr>
            <w:tcW w:w="1635" w:type="dxa"/>
          </w:tcPr>
          <w:p w14:paraId="68576A14" w14:textId="5BF773CB" w:rsidR="00295AA9" w:rsidRPr="00EE4749" w:rsidRDefault="00295AA9" w:rsidP="00295AA9">
            <w:pPr>
              <w:rPr>
                <w:rFonts w:ascii="Times New Roman" w:hAnsi="Times New Roman" w:cs="Times New Roman"/>
                <w:sz w:val="20"/>
                <w:szCs w:val="20"/>
              </w:rPr>
            </w:pPr>
            <w:r w:rsidRPr="00EE4749">
              <w:rPr>
                <w:rFonts w:ascii="Times New Roman" w:hAnsi="Times New Roman" w:cs="Times New Roman"/>
                <w:sz w:val="20"/>
                <w:szCs w:val="20"/>
              </w:rPr>
              <w:t>High</w:t>
            </w:r>
          </w:p>
        </w:tc>
        <w:tc>
          <w:tcPr>
            <w:tcW w:w="1798" w:type="dxa"/>
          </w:tcPr>
          <w:p w14:paraId="7C8D7DDE" w14:textId="3F220EC2" w:rsidR="00295AA9" w:rsidRPr="00EE4749" w:rsidRDefault="00295AA9" w:rsidP="00295AA9">
            <w:pPr>
              <w:rPr>
                <w:rFonts w:ascii="Times New Roman" w:hAnsi="Times New Roman" w:cs="Times New Roman"/>
                <w:sz w:val="20"/>
                <w:szCs w:val="20"/>
              </w:rPr>
            </w:pPr>
            <w:r w:rsidRPr="00EE4749">
              <w:rPr>
                <w:rFonts w:ascii="Times New Roman" w:hAnsi="Times New Roman" w:cs="Times New Roman"/>
                <w:sz w:val="20"/>
                <w:szCs w:val="20"/>
              </w:rPr>
              <w:t>High</w:t>
            </w:r>
          </w:p>
        </w:tc>
        <w:tc>
          <w:tcPr>
            <w:tcW w:w="1655" w:type="dxa"/>
          </w:tcPr>
          <w:p w14:paraId="5B22B079" w14:textId="189D046B" w:rsidR="00295AA9" w:rsidRPr="00EE4749" w:rsidRDefault="00295AA9" w:rsidP="00295AA9">
            <w:pPr>
              <w:rPr>
                <w:rFonts w:ascii="Times New Roman" w:hAnsi="Times New Roman" w:cs="Times New Roman"/>
                <w:sz w:val="20"/>
                <w:szCs w:val="20"/>
              </w:rPr>
            </w:pPr>
            <w:r w:rsidRPr="00EE4749">
              <w:rPr>
                <w:rFonts w:ascii="Times New Roman" w:hAnsi="Times New Roman" w:cs="Times New Roman"/>
                <w:sz w:val="20"/>
                <w:szCs w:val="20"/>
              </w:rPr>
              <w:t>High</w:t>
            </w:r>
          </w:p>
        </w:tc>
        <w:tc>
          <w:tcPr>
            <w:tcW w:w="1643" w:type="dxa"/>
          </w:tcPr>
          <w:p w14:paraId="5CD8F17D" w14:textId="5ABF2B7A" w:rsidR="00295AA9" w:rsidRPr="00EE4749" w:rsidRDefault="00295AA9" w:rsidP="00295AA9">
            <w:pPr>
              <w:rPr>
                <w:rFonts w:ascii="Times New Roman" w:hAnsi="Times New Roman" w:cs="Times New Roman"/>
                <w:sz w:val="20"/>
                <w:szCs w:val="20"/>
              </w:rPr>
            </w:pPr>
            <w:r w:rsidRPr="00EE4749">
              <w:rPr>
                <w:rFonts w:ascii="Times New Roman" w:hAnsi="Times New Roman" w:cs="Times New Roman"/>
                <w:sz w:val="20"/>
                <w:szCs w:val="20"/>
              </w:rPr>
              <w:t>Unclear</w:t>
            </w:r>
          </w:p>
        </w:tc>
        <w:tc>
          <w:tcPr>
            <w:tcW w:w="1635" w:type="dxa"/>
          </w:tcPr>
          <w:p w14:paraId="09B538F5" w14:textId="72F3C068" w:rsidR="00295AA9" w:rsidRPr="00EE4749" w:rsidRDefault="00295AA9" w:rsidP="00295AA9">
            <w:pPr>
              <w:rPr>
                <w:rFonts w:ascii="Times New Roman" w:hAnsi="Times New Roman" w:cs="Times New Roman"/>
                <w:sz w:val="20"/>
                <w:szCs w:val="20"/>
              </w:rPr>
            </w:pPr>
            <w:r w:rsidRPr="00EE4749">
              <w:rPr>
                <w:rFonts w:ascii="Times New Roman" w:hAnsi="Times New Roman" w:cs="Times New Roman"/>
                <w:sz w:val="20"/>
                <w:szCs w:val="20"/>
              </w:rPr>
              <w:t>Unclear</w:t>
            </w:r>
          </w:p>
        </w:tc>
        <w:tc>
          <w:tcPr>
            <w:tcW w:w="1616" w:type="dxa"/>
          </w:tcPr>
          <w:p w14:paraId="0856BBBD" w14:textId="0C2954DD" w:rsidR="00295AA9" w:rsidRPr="00EE4749" w:rsidRDefault="00295AA9" w:rsidP="00295AA9">
            <w:pPr>
              <w:rPr>
                <w:rFonts w:ascii="Times New Roman" w:hAnsi="Times New Roman" w:cs="Times New Roman"/>
                <w:sz w:val="20"/>
                <w:szCs w:val="20"/>
              </w:rPr>
            </w:pPr>
            <w:r w:rsidRPr="00EE4749">
              <w:rPr>
                <w:rFonts w:ascii="Times New Roman" w:hAnsi="Times New Roman" w:cs="Times New Roman"/>
                <w:sz w:val="20"/>
                <w:szCs w:val="20"/>
              </w:rPr>
              <w:t>Low</w:t>
            </w:r>
          </w:p>
        </w:tc>
        <w:tc>
          <w:tcPr>
            <w:tcW w:w="1564" w:type="dxa"/>
          </w:tcPr>
          <w:p w14:paraId="026D0600" w14:textId="28A95829" w:rsidR="00295AA9" w:rsidRPr="00EE4749" w:rsidRDefault="00295AA9" w:rsidP="00295AA9">
            <w:pPr>
              <w:rPr>
                <w:rFonts w:ascii="Times New Roman" w:hAnsi="Times New Roman" w:cs="Times New Roman"/>
                <w:sz w:val="20"/>
                <w:szCs w:val="20"/>
              </w:rPr>
            </w:pPr>
            <w:r w:rsidRPr="00EE4749">
              <w:rPr>
                <w:rFonts w:ascii="Times New Roman" w:hAnsi="Times New Roman" w:cs="Times New Roman"/>
                <w:sz w:val="20"/>
                <w:szCs w:val="20"/>
              </w:rPr>
              <w:t>Unclear</w:t>
            </w:r>
          </w:p>
        </w:tc>
      </w:tr>
      <w:tr w:rsidR="00295AA9" w:rsidRPr="00EE4749" w14:paraId="386B5D98" w14:textId="77777777" w:rsidTr="00295AA9">
        <w:trPr>
          <w:trHeight w:val="534"/>
        </w:trPr>
        <w:tc>
          <w:tcPr>
            <w:tcW w:w="1795" w:type="dxa"/>
          </w:tcPr>
          <w:p w14:paraId="46994798" w14:textId="290AC2C5" w:rsidR="00295AA9" w:rsidRPr="00EE4749" w:rsidRDefault="00295AA9" w:rsidP="00295AA9">
            <w:pPr>
              <w:rPr>
                <w:rFonts w:ascii="Times New Roman" w:hAnsi="Times New Roman" w:cs="Times New Roman"/>
                <w:sz w:val="20"/>
                <w:szCs w:val="20"/>
              </w:rPr>
            </w:pPr>
            <w:r w:rsidRPr="00EE4749">
              <w:rPr>
                <w:rFonts w:ascii="Times New Roman" w:hAnsi="Times New Roman" w:cs="Times New Roman"/>
                <w:sz w:val="20"/>
                <w:szCs w:val="20"/>
                <w:lang w:val="en-US"/>
              </w:rPr>
              <w:t>Ivarsson et al., 1991</w:t>
            </w:r>
            <w:bookmarkStart w:id="10" w:name="_Hlk67344531"/>
            <w:r w:rsidRPr="00EE4749">
              <w:rPr>
                <w:rFonts w:ascii="Times New Roman" w:hAnsi="Times New Roman" w:cs="Times New Roman"/>
                <w:sz w:val="20"/>
                <w:szCs w:val="20"/>
                <w:lang w:val="en-US"/>
              </w:rPr>
              <w:t xml:space="preserve"> </w:t>
            </w:r>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{"citationItems":[{"id":"ITEM-1","itemData":{"author":[{"dropping-particle":"","family":"Ivarsson","given":"I","non-dropping-particle":"","parse-names":false,"suffix":""},{"dropping-particle":"","family":"research","given":"J Gillquist - Clinical orthopaedics and related","non-dropping-particle":"","parse-names":false,"suffix":""},{"dropping-particle":"","family":"1991","given":"undefined","non-dropping-particle":"","parse-names":false,"suffix":""}],"container-title":"europepmc.org","id":"ITEM-1","issued":{"date-parts":[["0"]]},"title":"Rehabilitation after high tibial osteotomy and unicompartmental arthroplasty. A comparative study.","type":"article-journal"},"uris":["http://www.mendeley.com/documents/?uuid=58f6284a-de82-34e7-a708-92b747616c62"]}],"mendeley":{"formattedCitation":"[11]","plainTextFormattedCitation":"[11]","previouslyFormattedCitation":"[11]"},"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[11]</w:t>
            </w:r>
            <w:r w:rsidRPr="00EE4749">
              <w:rPr>
                <w:rFonts w:ascii="Times New Roman" w:hAnsi="Times New Roman" w:cs="Times New Roman"/>
                <w:sz w:val="20"/>
                <w:szCs w:val="20"/>
                <w:lang w:val="en-US"/>
              </w:rPr>
              <w:fldChar w:fldCharType="end"/>
            </w:r>
            <w:bookmarkEnd w:id="10"/>
          </w:p>
        </w:tc>
        <w:tc>
          <w:tcPr>
            <w:tcW w:w="1635" w:type="dxa"/>
          </w:tcPr>
          <w:p w14:paraId="015C64CB" w14:textId="376DEB8A" w:rsidR="00295AA9" w:rsidRPr="00EE4749" w:rsidRDefault="00295AA9" w:rsidP="00295AA9">
            <w:pPr>
              <w:rPr>
                <w:rFonts w:ascii="Times New Roman" w:hAnsi="Times New Roman" w:cs="Times New Roman"/>
                <w:sz w:val="20"/>
                <w:szCs w:val="20"/>
              </w:rPr>
            </w:pPr>
            <w:r w:rsidRPr="00EE4749">
              <w:rPr>
                <w:rFonts w:ascii="Times New Roman" w:hAnsi="Times New Roman" w:cs="Times New Roman"/>
                <w:sz w:val="20"/>
                <w:szCs w:val="20"/>
              </w:rPr>
              <w:t>High</w:t>
            </w:r>
          </w:p>
        </w:tc>
        <w:tc>
          <w:tcPr>
            <w:tcW w:w="1798" w:type="dxa"/>
          </w:tcPr>
          <w:p w14:paraId="509379AA" w14:textId="0EF1DD3C" w:rsidR="00295AA9" w:rsidRPr="00EE4749" w:rsidRDefault="00295AA9" w:rsidP="00295AA9">
            <w:pPr>
              <w:rPr>
                <w:rFonts w:ascii="Times New Roman" w:hAnsi="Times New Roman" w:cs="Times New Roman"/>
                <w:sz w:val="20"/>
                <w:szCs w:val="20"/>
              </w:rPr>
            </w:pPr>
            <w:r w:rsidRPr="00EE4749">
              <w:rPr>
                <w:rFonts w:ascii="Times New Roman" w:hAnsi="Times New Roman" w:cs="Times New Roman"/>
                <w:sz w:val="20"/>
                <w:szCs w:val="20"/>
              </w:rPr>
              <w:t>High</w:t>
            </w:r>
          </w:p>
        </w:tc>
        <w:tc>
          <w:tcPr>
            <w:tcW w:w="1655" w:type="dxa"/>
          </w:tcPr>
          <w:p w14:paraId="44AF5842" w14:textId="6FC100F0" w:rsidR="00295AA9" w:rsidRPr="00EE4749" w:rsidRDefault="00295AA9" w:rsidP="00295AA9">
            <w:pPr>
              <w:rPr>
                <w:rFonts w:ascii="Times New Roman" w:hAnsi="Times New Roman" w:cs="Times New Roman"/>
                <w:sz w:val="20"/>
                <w:szCs w:val="20"/>
              </w:rPr>
            </w:pPr>
            <w:r w:rsidRPr="00EE4749">
              <w:rPr>
                <w:rFonts w:ascii="Times New Roman" w:hAnsi="Times New Roman" w:cs="Times New Roman"/>
                <w:sz w:val="20"/>
                <w:szCs w:val="20"/>
              </w:rPr>
              <w:t>High</w:t>
            </w:r>
          </w:p>
        </w:tc>
        <w:tc>
          <w:tcPr>
            <w:tcW w:w="1643" w:type="dxa"/>
          </w:tcPr>
          <w:p w14:paraId="15D9B7B1" w14:textId="5A4DF597" w:rsidR="00295AA9" w:rsidRPr="00EE4749" w:rsidRDefault="00295AA9" w:rsidP="00295AA9">
            <w:pPr>
              <w:rPr>
                <w:rFonts w:ascii="Times New Roman" w:hAnsi="Times New Roman" w:cs="Times New Roman"/>
                <w:sz w:val="20"/>
                <w:szCs w:val="20"/>
              </w:rPr>
            </w:pPr>
            <w:r w:rsidRPr="00EE4749">
              <w:rPr>
                <w:rFonts w:ascii="Times New Roman" w:hAnsi="Times New Roman" w:cs="Times New Roman"/>
                <w:sz w:val="20"/>
                <w:szCs w:val="20"/>
              </w:rPr>
              <w:t>Unclear</w:t>
            </w:r>
          </w:p>
        </w:tc>
        <w:tc>
          <w:tcPr>
            <w:tcW w:w="1635" w:type="dxa"/>
          </w:tcPr>
          <w:p w14:paraId="5C68C15D" w14:textId="7BD38C2D" w:rsidR="00295AA9" w:rsidRPr="00EE4749" w:rsidRDefault="00295AA9" w:rsidP="00295AA9">
            <w:pPr>
              <w:rPr>
                <w:rFonts w:ascii="Times New Roman" w:hAnsi="Times New Roman" w:cs="Times New Roman"/>
                <w:sz w:val="20"/>
                <w:szCs w:val="20"/>
              </w:rPr>
            </w:pPr>
            <w:r w:rsidRPr="00EE4749">
              <w:rPr>
                <w:rFonts w:ascii="Times New Roman" w:hAnsi="Times New Roman" w:cs="Times New Roman"/>
                <w:sz w:val="20"/>
                <w:szCs w:val="20"/>
              </w:rPr>
              <w:t>Unclear</w:t>
            </w:r>
          </w:p>
        </w:tc>
        <w:tc>
          <w:tcPr>
            <w:tcW w:w="1616" w:type="dxa"/>
          </w:tcPr>
          <w:p w14:paraId="39CEF23D" w14:textId="7DB590E1" w:rsidR="00295AA9" w:rsidRPr="00EE4749" w:rsidRDefault="00295AA9" w:rsidP="00295AA9">
            <w:pPr>
              <w:rPr>
                <w:rFonts w:ascii="Times New Roman" w:hAnsi="Times New Roman" w:cs="Times New Roman"/>
                <w:sz w:val="20"/>
                <w:szCs w:val="20"/>
              </w:rPr>
            </w:pPr>
            <w:r w:rsidRPr="00EE4749">
              <w:rPr>
                <w:rFonts w:ascii="Times New Roman" w:hAnsi="Times New Roman" w:cs="Times New Roman"/>
                <w:sz w:val="20"/>
                <w:szCs w:val="20"/>
              </w:rPr>
              <w:t>Low</w:t>
            </w:r>
          </w:p>
        </w:tc>
        <w:tc>
          <w:tcPr>
            <w:tcW w:w="1564" w:type="dxa"/>
          </w:tcPr>
          <w:p w14:paraId="532FE5C0" w14:textId="398415BA" w:rsidR="00295AA9" w:rsidRPr="00EE4749" w:rsidRDefault="00295AA9" w:rsidP="00295AA9">
            <w:pPr>
              <w:rPr>
                <w:rFonts w:ascii="Times New Roman" w:hAnsi="Times New Roman" w:cs="Times New Roman"/>
                <w:sz w:val="20"/>
                <w:szCs w:val="20"/>
              </w:rPr>
            </w:pPr>
            <w:r w:rsidRPr="00EE4749">
              <w:rPr>
                <w:rFonts w:ascii="Times New Roman" w:hAnsi="Times New Roman" w:cs="Times New Roman"/>
                <w:sz w:val="20"/>
                <w:szCs w:val="20"/>
              </w:rPr>
              <w:t>Unclear</w:t>
            </w:r>
          </w:p>
        </w:tc>
      </w:tr>
    </w:tbl>
    <w:p w14:paraId="4CC70423" w14:textId="09F680DE" w:rsidR="007248D9" w:rsidRPr="00EE4749" w:rsidRDefault="007248D9" w:rsidP="007248D9">
      <w:pPr>
        <w:rPr>
          <w:rFonts w:ascii="Times New Roman" w:hAnsi="Times New Roman" w:cs="Times New Roman"/>
          <w:b/>
          <w:bCs/>
          <w:sz w:val="20"/>
          <w:szCs w:val="20"/>
        </w:rPr>
      </w:pPr>
    </w:p>
    <w:p w14:paraId="50BA896F" w14:textId="77777777" w:rsidR="007248D9" w:rsidRPr="00EE4749" w:rsidRDefault="007248D9" w:rsidP="007248D9">
      <w:pPr>
        <w:rPr>
          <w:rFonts w:ascii="Times New Roman" w:hAnsi="Times New Roman" w:cs="Times New Roman"/>
          <w:b/>
          <w:bCs/>
          <w:sz w:val="20"/>
          <w:szCs w:val="20"/>
        </w:rPr>
      </w:pPr>
    </w:p>
    <w:p w14:paraId="7BF951D1" w14:textId="573FE086" w:rsidR="002C54AB" w:rsidRPr="00EE4749" w:rsidRDefault="00FA6214" w:rsidP="002C54AB">
      <w:pPr>
        <w:rPr>
          <w:rFonts w:ascii="Times New Roman" w:hAnsi="Times New Roman" w:cs="Times New Roman"/>
          <w:b/>
          <w:bCs/>
          <w:sz w:val="20"/>
          <w:szCs w:val="20"/>
          <w:lang w:bidi="ar-EG"/>
        </w:rPr>
      </w:pPr>
      <w:r w:rsidRPr="00EE4749">
        <w:rPr>
          <w:rFonts w:ascii="Times New Roman" w:hAnsi="Times New Roman" w:cs="Times New Roman"/>
          <w:b/>
          <w:bCs/>
          <w:sz w:val="20"/>
          <w:szCs w:val="20"/>
        </w:rPr>
        <w:lastRenderedPageBreak/>
        <w:t xml:space="preserve">Appendix Table </w:t>
      </w:r>
      <w:r w:rsidR="00FF06FF" w:rsidRPr="00EE4749">
        <w:rPr>
          <w:rFonts w:ascii="Times New Roman" w:hAnsi="Times New Roman" w:cs="Times New Roman"/>
          <w:b/>
          <w:bCs/>
          <w:sz w:val="20"/>
          <w:szCs w:val="20"/>
        </w:rPr>
        <w:t>2</w:t>
      </w:r>
      <w:r w:rsidR="00416C8A" w:rsidRPr="00EE4749">
        <w:rPr>
          <w:rFonts w:ascii="Times New Roman" w:hAnsi="Times New Roman" w:cs="Times New Roman"/>
          <w:b/>
          <w:bCs/>
          <w:sz w:val="20"/>
          <w:szCs w:val="20"/>
        </w:rPr>
        <w:t>.</w:t>
      </w:r>
      <w:r w:rsidRPr="00EE4749">
        <w:rPr>
          <w:rFonts w:ascii="Times New Roman" w:hAnsi="Times New Roman" w:cs="Times New Roman"/>
          <w:b/>
          <w:bCs/>
          <w:sz w:val="20"/>
          <w:szCs w:val="20"/>
        </w:rPr>
        <w:t xml:space="preserve"> </w:t>
      </w:r>
      <w:r w:rsidR="002C54AB" w:rsidRPr="00EE4749">
        <w:rPr>
          <w:rFonts w:ascii="Times New Roman" w:hAnsi="Times New Roman" w:cs="Times New Roman"/>
          <w:sz w:val="20"/>
          <w:szCs w:val="20"/>
        </w:rPr>
        <w:t>Methodological quality of the included observational studies based on the New Castle Ottawa scale for assessing the quality of epidemiological studies.</w:t>
      </w:r>
    </w:p>
    <w:tbl>
      <w:tblPr>
        <w:tblStyle w:val="TableGrid"/>
        <w:tblpPr w:leftFromText="180" w:rightFromText="180" w:vertAnchor="text" w:horzAnchor="margin" w:tblpY="646"/>
        <w:tblW w:w="13850" w:type="dxa"/>
        <w:tblLayout w:type="fixed"/>
        <w:tblLook w:val="04A0" w:firstRow="1" w:lastRow="0" w:firstColumn="1" w:lastColumn="0" w:noHBand="0" w:noVBand="1"/>
      </w:tblPr>
      <w:tblGrid>
        <w:gridCol w:w="1256"/>
        <w:gridCol w:w="2226"/>
        <w:gridCol w:w="1184"/>
        <w:gridCol w:w="1736"/>
        <w:gridCol w:w="1196"/>
        <w:gridCol w:w="1706"/>
        <w:gridCol w:w="1446"/>
        <w:gridCol w:w="1022"/>
        <w:gridCol w:w="1255"/>
        <w:gridCol w:w="823"/>
      </w:tblGrid>
      <w:tr w:rsidR="006762CB" w:rsidRPr="00EE4749" w14:paraId="54D570D4" w14:textId="77777777" w:rsidTr="00A700DA">
        <w:trPr>
          <w:trHeight w:val="253"/>
        </w:trPr>
        <w:tc>
          <w:tcPr>
            <w:tcW w:w="1256" w:type="dxa"/>
            <w:vMerge w:val="restart"/>
          </w:tcPr>
          <w:p w14:paraId="0B33D68D" w14:textId="77777777" w:rsidR="006762CB" w:rsidRPr="00EE4749" w:rsidRDefault="006762CB" w:rsidP="00A700DA">
            <w:pPr>
              <w:jc w:val="center"/>
              <w:rPr>
                <w:rFonts w:ascii="Times New Roman" w:hAnsi="Times New Roman" w:cs="Times New Roman"/>
                <w:sz w:val="20"/>
                <w:szCs w:val="20"/>
              </w:rPr>
            </w:pPr>
            <w:r w:rsidRPr="00EE4749">
              <w:rPr>
                <w:rFonts w:ascii="Times New Roman" w:hAnsi="Times New Roman" w:cs="Times New Roman"/>
                <w:sz w:val="20"/>
                <w:szCs w:val="20"/>
              </w:rPr>
              <w:br/>
            </w:r>
            <w:r w:rsidRPr="00EE4749">
              <w:rPr>
                <w:rFonts w:ascii="Times New Roman" w:hAnsi="Times New Roman" w:cs="Times New Roman"/>
                <w:sz w:val="20"/>
                <w:szCs w:val="20"/>
              </w:rPr>
              <w:br/>
              <w:t>Study</w:t>
            </w:r>
          </w:p>
        </w:tc>
        <w:tc>
          <w:tcPr>
            <w:tcW w:w="6342" w:type="dxa"/>
            <w:gridSpan w:val="4"/>
          </w:tcPr>
          <w:p w14:paraId="5EBA8AFB" w14:textId="77777777" w:rsidR="006762CB" w:rsidRPr="00EE4749" w:rsidRDefault="006762CB" w:rsidP="00A700DA">
            <w:pPr>
              <w:jc w:val="center"/>
              <w:rPr>
                <w:rFonts w:ascii="Times New Roman" w:hAnsi="Times New Roman" w:cs="Times New Roman"/>
                <w:sz w:val="20"/>
                <w:szCs w:val="20"/>
              </w:rPr>
            </w:pPr>
            <w:r w:rsidRPr="00EE4749">
              <w:rPr>
                <w:rFonts w:ascii="Times New Roman" w:hAnsi="Times New Roman" w:cs="Times New Roman"/>
                <w:b/>
                <w:bCs/>
                <w:sz w:val="20"/>
                <w:szCs w:val="20"/>
                <w:u w:val="single"/>
              </w:rPr>
              <w:t>Selection</w:t>
            </w:r>
          </w:p>
        </w:tc>
        <w:tc>
          <w:tcPr>
            <w:tcW w:w="1706" w:type="dxa"/>
          </w:tcPr>
          <w:p w14:paraId="35729C05" w14:textId="77777777" w:rsidR="006762CB" w:rsidRPr="00EE4749" w:rsidRDefault="006762CB" w:rsidP="00A700DA">
            <w:pPr>
              <w:jc w:val="center"/>
              <w:rPr>
                <w:rFonts w:ascii="Times New Roman" w:hAnsi="Times New Roman" w:cs="Times New Roman"/>
                <w:sz w:val="20"/>
                <w:szCs w:val="20"/>
              </w:rPr>
            </w:pPr>
            <w:r w:rsidRPr="00EE4749">
              <w:rPr>
                <w:rFonts w:ascii="Times New Roman" w:hAnsi="Times New Roman" w:cs="Times New Roman"/>
                <w:b/>
                <w:bCs/>
                <w:sz w:val="20"/>
                <w:szCs w:val="20"/>
                <w:u w:val="single"/>
              </w:rPr>
              <w:t>Comparability</w:t>
            </w:r>
          </w:p>
        </w:tc>
        <w:tc>
          <w:tcPr>
            <w:tcW w:w="3723" w:type="dxa"/>
            <w:gridSpan w:val="3"/>
          </w:tcPr>
          <w:p w14:paraId="08D847AF" w14:textId="77777777" w:rsidR="006762CB" w:rsidRPr="00EE4749" w:rsidRDefault="006762CB" w:rsidP="00A700DA">
            <w:pPr>
              <w:jc w:val="center"/>
              <w:rPr>
                <w:rFonts w:ascii="Times New Roman" w:hAnsi="Times New Roman" w:cs="Times New Roman"/>
                <w:sz w:val="20"/>
                <w:szCs w:val="20"/>
              </w:rPr>
            </w:pPr>
            <w:r w:rsidRPr="00EE4749">
              <w:rPr>
                <w:rFonts w:ascii="Times New Roman" w:hAnsi="Times New Roman" w:cs="Times New Roman"/>
                <w:b/>
                <w:bCs/>
                <w:sz w:val="20"/>
                <w:szCs w:val="20"/>
                <w:u w:val="single"/>
              </w:rPr>
              <w:t>Exposure</w:t>
            </w:r>
          </w:p>
        </w:tc>
        <w:tc>
          <w:tcPr>
            <w:tcW w:w="823" w:type="dxa"/>
            <w:vMerge w:val="restart"/>
          </w:tcPr>
          <w:p w14:paraId="6C42AC35" w14:textId="77777777" w:rsidR="006762CB" w:rsidRPr="00EE4749" w:rsidRDefault="006762CB" w:rsidP="00A700DA">
            <w:pPr>
              <w:rPr>
                <w:rFonts w:ascii="Times New Roman" w:hAnsi="Times New Roman" w:cs="Times New Roman"/>
                <w:sz w:val="20"/>
                <w:szCs w:val="20"/>
              </w:rPr>
            </w:pPr>
            <w:r w:rsidRPr="00EE4749">
              <w:rPr>
                <w:rFonts w:ascii="Times New Roman" w:hAnsi="Times New Roman" w:cs="Times New Roman"/>
                <w:sz w:val="20"/>
                <w:szCs w:val="20"/>
              </w:rPr>
              <w:br/>
              <w:t>Total Score</w:t>
            </w:r>
          </w:p>
        </w:tc>
      </w:tr>
      <w:tr w:rsidR="006762CB" w:rsidRPr="00EE4749" w14:paraId="6A66A770" w14:textId="77777777" w:rsidTr="002C54AB">
        <w:trPr>
          <w:trHeight w:val="1299"/>
        </w:trPr>
        <w:tc>
          <w:tcPr>
            <w:tcW w:w="1256" w:type="dxa"/>
            <w:vMerge/>
          </w:tcPr>
          <w:p w14:paraId="1B564D5C" w14:textId="77777777" w:rsidR="006762CB" w:rsidRPr="00EE4749" w:rsidRDefault="006762CB" w:rsidP="00A700DA">
            <w:pPr>
              <w:jc w:val="center"/>
              <w:rPr>
                <w:rFonts w:ascii="Times New Roman" w:hAnsi="Times New Roman" w:cs="Times New Roman"/>
                <w:sz w:val="20"/>
                <w:szCs w:val="20"/>
              </w:rPr>
            </w:pPr>
          </w:p>
        </w:tc>
        <w:tc>
          <w:tcPr>
            <w:tcW w:w="2226" w:type="dxa"/>
          </w:tcPr>
          <w:p w14:paraId="58E27BD1" w14:textId="77777777" w:rsidR="006762CB" w:rsidRPr="00EE4749" w:rsidRDefault="006762CB" w:rsidP="00A700DA">
            <w:pPr>
              <w:rPr>
                <w:rFonts w:ascii="Times New Roman" w:hAnsi="Times New Roman" w:cs="Times New Roman"/>
                <w:color w:val="000000"/>
                <w:sz w:val="20"/>
                <w:szCs w:val="20"/>
              </w:rPr>
            </w:pPr>
            <w:r w:rsidRPr="00EE4749">
              <w:rPr>
                <w:rFonts w:ascii="Times New Roman" w:hAnsi="Times New Roman" w:cs="Times New Roman"/>
                <w:color w:val="000000"/>
                <w:sz w:val="20"/>
                <w:szCs w:val="20"/>
              </w:rPr>
              <w:t>Representativeness</w:t>
            </w:r>
          </w:p>
          <w:p w14:paraId="03B4E004" w14:textId="77777777" w:rsidR="006762CB" w:rsidRPr="00EE4749" w:rsidRDefault="006762CB" w:rsidP="00A700DA">
            <w:pPr>
              <w:rPr>
                <w:rFonts w:ascii="Times New Roman" w:hAnsi="Times New Roman" w:cs="Times New Roman"/>
                <w:color w:val="000000"/>
                <w:sz w:val="20"/>
                <w:szCs w:val="20"/>
              </w:rPr>
            </w:pPr>
            <w:r w:rsidRPr="00EE4749">
              <w:rPr>
                <w:rFonts w:ascii="Times New Roman" w:hAnsi="Times New Roman" w:cs="Times New Roman"/>
                <w:color w:val="000000"/>
                <w:sz w:val="20"/>
                <w:szCs w:val="20"/>
              </w:rPr>
              <w:t>of the exposed</w:t>
            </w:r>
          </w:p>
          <w:p w14:paraId="4D0299D2" w14:textId="77777777" w:rsidR="006762CB" w:rsidRPr="00EE4749" w:rsidRDefault="006762CB" w:rsidP="00A700DA">
            <w:pPr>
              <w:rPr>
                <w:rFonts w:ascii="Times New Roman" w:hAnsi="Times New Roman" w:cs="Times New Roman"/>
                <w:sz w:val="20"/>
                <w:szCs w:val="20"/>
              </w:rPr>
            </w:pPr>
            <w:r w:rsidRPr="00EE4749">
              <w:rPr>
                <w:rFonts w:ascii="Times New Roman" w:hAnsi="Times New Roman" w:cs="Times New Roman"/>
                <w:color w:val="000000"/>
                <w:sz w:val="20"/>
                <w:szCs w:val="20"/>
              </w:rPr>
              <w:t>cohort</w:t>
            </w:r>
          </w:p>
        </w:tc>
        <w:tc>
          <w:tcPr>
            <w:tcW w:w="1184" w:type="dxa"/>
          </w:tcPr>
          <w:p w14:paraId="77D3F91C" w14:textId="77777777" w:rsidR="006762CB" w:rsidRPr="00EE4749" w:rsidRDefault="006762CB" w:rsidP="00A700DA">
            <w:pPr>
              <w:rPr>
                <w:rFonts w:ascii="Times New Roman" w:hAnsi="Times New Roman" w:cs="Times New Roman"/>
                <w:sz w:val="20"/>
                <w:szCs w:val="20"/>
              </w:rPr>
            </w:pPr>
            <w:r w:rsidRPr="00EE4749">
              <w:rPr>
                <w:rFonts w:ascii="Times New Roman" w:hAnsi="Times New Roman" w:cs="Times New Roman"/>
                <w:color w:val="000000"/>
                <w:sz w:val="20"/>
                <w:szCs w:val="20"/>
              </w:rPr>
              <w:t>Selection of the non-exposed cohort</w:t>
            </w:r>
          </w:p>
        </w:tc>
        <w:tc>
          <w:tcPr>
            <w:tcW w:w="1736" w:type="dxa"/>
          </w:tcPr>
          <w:p w14:paraId="1A088FA0" w14:textId="77777777" w:rsidR="006762CB" w:rsidRPr="00EE4749" w:rsidRDefault="006762CB" w:rsidP="00A700DA">
            <w:pPr>
              <w:rPr>
                <w:rFonts w:ascii="Times New Roman" w:hAnsi="Times New Roman" w:cs="Times New Roman"/>
                <w:sz w:val="20"/>
                <w:szCs w:val="20"/>
              </w:rPr>
            </w:pPr>
            <w:r w:rsidRPr="00EE4749">
              <w:rPr>
                <w:rFonts w:ascii="Times New Roman" w:hAnsi="Times New Roman" w:cs="Times New Roman"/>
                <w:color w:val="000000"/>
                <w:sz w:val="20"/>
                <w:szCs w:val="20"/>
              </w:rPr>
              <w:t>Ascertainment</w:t>
            </w:r>
            <w:r w:rsidRPr="00EE4749">
              <w:rPr>
                <w:rFonts w:ascii="Times New Roman" w:hAnsi="Times New Roman" w:cs="Times New Roman"/>
                <w:color w:val="000000"/>
                <w:sz w:val="20"/>
                <w:szCs w:val="20"/>
              </w:rPr>
              <w:br/>
              <w:t>of exposure</w:t>
            </w:r>
            <w:r w:rsidRPr="00EE4749">
              <w:rPr>
                <w:rFonts w:ascii="Times New Roman" w:hAnsi="Times New Roman" w:cs="Times New Roman"/>
                <w:sz w:val="20"/>
                <w:szCs w:val="20"/>
                <w:vertAlign w:val="superscript"/>
              </w:rPr>
              <w:t>1</w:t>
            </w:r>
          </w:p>
        </w:tc>
        <w:tc>
          <w:tcPr>
            <w:tcW w:w="1196" w:type="dxa"/>
          </w:tcPr>
          <w:p w14:paraId="557AA8B1" w14:textId="77777777" w:rsidR="006762CB" w:rsidRPr="00EE4749" w:rsidRDefault="006762CB" w:rsidP="00A700DA">
            <w:pPr>
              <w:rPr>
                <w:rFonts w:ascii="Times New Roman" w:hAnsi="Times New Roman" w:cs="Times New Roman"/>
                <w:sz w:val="20"/>
                <w:szCs w:val="20"/>
              </w:rPr>
            </w:pPr>
            <w:r w:rsidRPr="00EE4749">
              <w:rPr>
                <w:rFonts w:ascii="Times New Roman" w:hAnsi="Times New Roman" w:cs="Times New Roman"/>
                <w:color w:val="000000"/>
                <w:sz w:val="20"/>
                <w:szCs w:val="20"/>
              </w:rPr>
              <w:t>Outcome was not present at start of study</w:t>
            </w:r>
            <w:r w:rsidRPr="00EE4749">
              <w:rPr>
                <w:rFonts w:ascii="Times New Roman" w:hAnsi="Times New Roman" w:cs="Times New Roman"/>
                <w:sz w:val="20"/>
                <w:szCs w:val="20"/>
                <w:vertAlign w:val="superscript"/>
              </w:rPr>
              <w:t>2</w:t>
            </w:r>
          </w:p>
        </w:tc>
        <w:tc>
          <w:tcPr>
            <w:tcW w:w="1706" w:type="dxa"/>
          </w:tcPr>
          <w:p w14:paraId="5DA677A6" w14:textId="7AFC4599" w:rsidR="006762CB" w:rsidRPr="00EE4749" w:rsidRDefault="006762CB" w:rsidP="00A700DA">
            <w:pPr>
              <w:rPr>
                <w:rFonts w:ascii="Times New Roman" w:hAnsi="Times New Roman" w:cs="Times New Roman"/>
                <w:sz w:val="20"/>
                <w:szCs w:val="20"/>
              </w:rPr>
            </w:pPr>
            <w:r w:rsidRPr="00EE4749">
              <w:rPr>
                <w:rFonts w:ascii="Times New Roman" w:hAnsi="Times New Roman" w:cs="Times New Roman"/>
                <w:color w:val="000000"/>
                <w:sz w:val="20"/>
                <w:szCs w:val="20"/>
              </w:rPr>
              <w:t xml:space="preserve">Control for </w:t>
            </w:r>
            <w:r w:rsidRPr="00EE4749">
              <w:rPr>
                <w:rFonts w:ascii="Times New Roman" w:hAnsi="Times New Roman" w:cs="Times New Roman"/>
                <w:color w:val="000000"/>
                <w:sz w:val="20"/>
                <w:szCs w:val="20"/>
              </w:rPr>
              <w:br/>
              <w:t>2 important factors</w:t>
            </w:r>
            <w:r w:rsidRPr="00EE4749">
              <w:rPr>
                <w:rFonts w:ascii="Times New Roman" w:hAnsi="Times New Roman" w:cs="Times New Roman"/>
                <w:color w:val="000000"/>
                <w:sz w:val="20"/>
                <w:szCs w:val="20"/>
                <w:vertAlign w:val="superscript"/>
              </w:rPr>
              <w:t>3</w:t>
            </w:r>
            <w:r w:rsidR="00CE01D5" w:rsidRPr="00EE4749">
              <w:rPr>
                <w:rFonts w:ascii="Times New Roman" w:hAnsi="Times New Roman" w:cs="Times New Roman"/>
                <w:color w:val="000000"/>
                <w:sz w:val="20"/>
                <w:szCs w:val="20"/>
                <w:vertAlign w:val="superscript"/>
              </w:rPr>
              <w:t>,</w:t>
            </w:r>
            <w:r w:rsidRPr="00EE4749">
              <w:rPr>
                <w:rFonts w:ascii="Times New Roman" w:hAnsi="Times New Roman" w:cs="Times New Roman"/>
                <w:color w:val="000000"/>
                <w:sz w:val="20"/>
                <w:szCs w:val="20"/>
                <w:vertAlign w:val="superscript"/>
              </w:rPr>
              <w:t>4</w:t>
            </w:r>
            <w:r w:rsidRPr="00EE4749">
              <w:rPr>
                <w:rFonts w:ascii="Times New Roman" w:hAnsi="Times New Roman" w:cs="Times New Roman"/>
                <w:color w:val="000000"/>
                <w:sz w:val="20"/>
                <w:szCs w:val="20"/>
              </w:rPr>
              <w:br/>
            </w:r>
          </w:p>
        </w:tc>
        <w:tc>
          <w:tcPr>
            <w:tcW w:w="1446" w:type="dxa"/>
          </w:tcPr>
          <w:p w14:paraId="564903FA" w14:textId="77777777" w:rsidR="006762CB" w:rsidRPr="00EE4749" w:rsidRDefault="006762CB" w:rsidP="00A700DA">
            <w:pPr>
              <w:rPr>
                <w:rFonts w:ascii="Times New Roman" w:hAnsi="Times New Roman" w:cs="Times New Roman"/>
                <w:sz w:val="20"/>
                <w:szCs w:val="20"/>
              </w:rPr>
            </w:pPr>
            <w:r w:rsidRPr="00EE4749">
              <w:rPr>
                <w:rFonts w:ascii="Times New Roman" w:hAnsi="Times New Roman" w:cs="Times New Roman"/>
                <w:color w:val="000000"/>
                <w:sz w:val="20"/>
                <w:szCs w:val="20"/>
              </w:rPr>
              <w:t>Assessment</w:t>
            </w:r>
            <w:r w:rsidRPr="00EE4749">
              <w:rPr>
                <w:rFonts w:ascii="Times New Roman" w:hAnsi="Times New Roman" w:cs="Times New Roman"/>
                <w:color w:val="000000"/>
                <w:sz w:val="20"/>
                <w:szCs w:val="20"/>
              </w:rPr>
              <w:br/>
              <w:t>of outcome</w:t>
            </w:r>
          </w:p>
        </w:tc>
        <w:tc>
          <w:tcPr>
            <w:tcW w:w="1022" w:type="dxa"/>
          </w:tcPr>
          <w:p w14:paraId="4A2A8482" w14:textId="77777777" w:rsidR="006762CB" w:rsidRPr="00EE4749" w:rsidRDefault="006762CB" w:rsidP="00A700DA">
            <w:pPr>
              <w:rPr>
                <w:rFonts w:ascii="Times New Roman" w:hAnsi="Times New Roman" w:cs="Times New Roman"/>
                <w:sz w:val="20"/>
                <w:szCs w:val="20"/>
              </w:rPr>
            </w:pPr>
            <w:r w:rsidRPr="00EE4749">
              <w:rPr>
                <w:rFonts w:ascii="Times New Roman" w:hAnsi="Times New Roman" w:cs="Times New Roman"/>
                <w:color w:val="000000"/>
                <w:sz w:val="20"/>
                <w:szCs w:val="20"/>
              </w:rPr>
              <w:t>Follow-up</w:t>
            </w:r>
            <w:r w:rsidRPr="00EE4749">
              <w:rPr>
                <w:rFonts w:ascii="Times New Roman" w:hAnsi="Times New Roman" w:cs="Times New Roman"/>
                <w:color w:val="000000"/>
                <w:sz w:val="20"/>
                <w:szCs w:val="20"/>
              </w:rPr>
              <w:br/>
              <w:t>long enough</w:t>
            </w:r>
          </w:p>
        </w:tc>
        <w:tc>
          <w:tcPr>
            <w:tcW w:w="1255" w:type="dxa"/>
          </w:tcPr>
          <w:p w14:paraId="5C2A3E46" w14:textId="77777777" w:rsidR="006762CB" w:rsidRPr="00EE4749" w:rsidRDefault="006762CB" w:rsidP="00A700DA">
            <w:pPr>
              <w:rPr>
                <w:rFonts w:ascii="Times New Roman" w:hAnsi="Times New Roman" w:cs="Times New Roman"/>
                <w:color w:val="000000"/>
                <w:sz w:val="20"/>
                <w:szCs w:val="20"/>
              </w:rPr>
            </w:pPr>
            <w:r w:rsidRPr="00EE4749">
              <w:rPr>
                <w:rFonts w:ascii="Times New Roman" w:hAnsi="Times New Roman" w:cs="Times New Roman"/>
                <w:color w:val="000000"/>
                <w:sz w:val="20"/>
                <w:szCs w:val="20"/>
              </w:rPr>
              <w:t>Adequacy of</w:t>
            </w:r>
          </w:p>
          <w:p w14:paraId="5BA3F578" w14:textId="77777777" w:rsidR="006762CB" w:rsidRPr="00EE4749" w:rsidRDefault="006762CB" w:rsidP="00A700DA">
            <w:pPr>
              <w:rPr>
                <w:rFonts w:ascii="Times New Roman" w:hAnsi="Times New Roman" w:cs="Times New Roman"/>
                <w:color w:val="000000"/>
                <w:sz w:val="20"/>
                <w:szCs w:val="20"/>
              </w:rPr>
            </w:pPr>
            <w:r w:rsidRPr="00EE4749">
              <w:rPr>
                <w:rFonts w:ascii="Times New Roman" w:hAnsi="Times New Roman" w:cs="Times New Roman"/>
                <w:color w:val="000000"/>
                <w:sz w:val="20"/>
                <w:szCs w:val="20"/>
              </w:rPr>
              <w:t>follow-up of</w:t>
            </w:r>
          </w:p>
          <w:p w14:paraId="3C0CE7F7" w14:textId="77777777" w:rsidR="006762CB" w:rsidRPr="00EE4749" w:rsidRDefault="006762CB" w:rsidP="00A700DA">
            <w:pPr>
              <w:rPr>
                <w:rFonts w:ascii="Times New Roman" w:hAnsi="Times New Roman" w:cs="Times New Roman"/>
                <w:sz w:val="20"/>
                <w:szCs w:val="20"/>
              </w:rPr>
            </w:pPr>
            <w:r w:rsidRPr="00EE4749">
              <w:rPr>
                <w:rFonts w:ascii="Times New Roman" w:hAnsi="Times New Roman" w:cs="Times New Roman"/>
                <w:color w:val="000000"/>
                <w:sz w:val="20"/>
                <w:szCs w:val="20"/>
              </w:rPr>
              <w:t>cohort</w:t>
            </w:r>
            <w:r w:rsidRPr="00EE4749">
              <w:rPr>
                <w:rFonts w:ascii="Times New Roman" w:hAnsi="Times New Roman" w:cs="Times New Roman"/>
                <w:sz w:val="20"/>
                <w:szCs w:val="20"/>
                <w:vertAlign w:val="superscript"/>
              </w:rPr>
              <w:t>7</w:t>
            </w:r>
          </w:p>
        </w:tc>
        <w:tc>
          <w:tcPr>
            <w:tcW w:w="823" w:type="dxa"/>
            <w:vMerge/>
          </w:tcPr>
          <w:p w14:paraId="562BD3BC" w14:textId="77777777" w:rsidR="006762CB" w:rsidRPr="00EE4749" w:rsidRDefault="006762CB" w:rsidP="00A700DA">
            <w:pPr>
              <w:rPr>
                <w:rFonts w:ascii="Times New Roman" w:hAnsi="Times New Roman" w:cs="Times New Roman"/>
                <w:sz w:val="20"/>
                <w:szCs w:val="20"/>
              </w:rPr>
            </w:pPr>
          </w:p>
        </w:tc>
      </w:tr>
      <w:tr w:rsidR="007248D9" w:rsidRPr="00EE4749" w14:paraId="6F47E3F6" w14:textId="77777777" w:rsidTr="00115A76">
        <w:trPr>
          <w:trHeight w:val="522"/>
        </w:trPr>
        <w:tc>
          <w:tcPr>
            <w:tcW w:w="1256" w:type="dxa"/>
          </w:tcPr>
          <w:p w14:paraId="7F327336" w14:textId="5E38ADB4" w:rsidR="007248D9" w:rsidRPr="00EE4749" w:rsidRDefault="007248D9" w:rsidP="007248D9">
            <w:pPr>
              <w:rPr>
                <w:rFonts w:ascii="Times New Roman" w:hAnsi="Times New Roman" w:cs="Times New Roman"/>
                <w:sz w:val="20"/>
                <w:szCs w:val="20"/>
              </w:rPr>
            </w:pPr>
            <w:proofErr w:type="spellStart"/>
            <w:r w:rsidRPr="00EE4749">
              <w:rPr>
                <w:rFonts w:ascii="Times New Roman" w:hAnsi="Times New Roman" w:cs="Times New Roman"/>
                <w:sz w:val="20"/>
                <w:szCs w:val="20"/>
                <w:lang w:val="en-US"/>
              </w:rPr>
              <w:t>Bouguennec</w:t>
            </w:r>
            <w:proofErr w:type="spellEnd"/>
            <w:r w:rsidRPr="00EE4749">
              <w:rPr>
                <w:rFonts w:ascii="Times New Roman" w:hAnsi="Times New Roman" w:cs="Times New Roman"/>
                <w:sz w:val="20"/>
                <w:szCs w:val="20"/>
                <w:lang w:val="en-US"/>
              </w:rPr>
              <w:t xml:space="preserve"> et al., 2020 </w:t>
            </w:r>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{"citationItems":[{"id":"ITEM-1","itemData":{"DOI":"10.1016/j.otsr.2020.08.002","ISSN":"18770568","PMID":"32863169","abstract":"Introduction: High tibial osteotomy (HTO) and unicompartmental knee arthroplasty (UKA) are two surgical solutions for isolated medial tibiofemoral osteoarthritis. Results depend on preoperative criteria and patient selection, but also on postoperative factors: implant positioning, limb alignment. Factors for HTO survival need identifying to reduce risk of failure requiring total knee arthroplasty (TKA). Hypothesis: Age, gender, weight, osteoarthritis grade, degree of correction, type of osteotomy, technique and intraoperative complications impact HTO survival. Material and method: As part of a symposium of the French Society of Arthroscopy (SFA), a multicenter retrospective study compared 2 series. The HTO series comprised 488 patients: 153 female (31.4%); mean age, 55.1 years; mean weight, 83.1 kg; mean body-mass index (BMI), 28.6. The UKA series comprised 284 patients: 172 female (60.6%); mean age, 64.1 years; mean weight, 75.3 kg; mean BMI, 27.6. The main endpoint was comparative survival at 5, 8 and 10 years; secondary endpoints comprised pre- and post-operative hip-knee-ankle (HKA) angle, mechanical femoral angle (mFA) and mechanical tibial angle (mTA), surgical technique, satisfaction, time to and level of return to work, WOMAC and Tegner scores and complications rates. The significance threshold was set at p &lt; 0.05; 95% confidence intervals were calculated. Results: Age &gt; 54 years, male gender, BMI &gt; 25, medial tibiofemoral wear severity Ahlback ≥ 3, ≥ 0.9° varus joint component, HKA correction &lt; 8°, postoperative HKA &lt; 180° and hinge fracture were significantly associated with poorer survival. There was no impact of type of osteotomy, navigation assistance or postoperative HKA 183-186°. Ten-year survival was 74.3% for HTO and 71% for UKA (non-significant); however, survival curves crossed at 6 years. Conclusion: HTO showed survival and functional results comparable to those of UKA in selected patients when target limb alignment correction was achieved. The present study determined selection criteria. A predictive score for results of either procedure would facilitate decision-making. Level of evidence: IV, retrospective cohort study.","author":[{"dropping-particle":"","family":"Bouguennec","given":"Nicolas","non-dropping-particle":"","parse-names":false,"suffix":""},{"dropping-particle":"","family":"Mergenthaler","given":"Guillaume","non-dropping-particle":"","parse-names":false,"suffix":""},{"dropping-particle":"","family":"Gicquel","given":"Thomas","non-dropping-particle":"","parse-names":false,"suffix":""},{"dropping-particle":"","family":"Briand","given":"Cyril","non-dropping-particle":"","parse-names":false,"suffix":""},{"dropping-particle":"","family":"Nadau","given":"Elodie","non-dropping-particle":"","parse-names":false,"suffix":""},{"dropping-particle":"","family":"Pailhé","given":"Régis","non-dropping-particle":"","parse-names":false,"suffix":""},{"dropping-particle":"","family":"Hanouz","given":"Jean Luc","non-dropping-particle":"","parse-names":false,"suffix":""},{"dropping-particle":"","family":"Fayard","given":"Jean Marie","non-dropping-particle":"","parse-names":false,"suffix":""},{"dropping-particle":"","family":"Rochcongar","given":"Goulven","non-dropping-particle":"","parse-names":false,"suffix":""}],"container-title":"Orthopaedics and Traumatology: Surgery and Research","id":"ITEM-1","issue":"8","issued":{"date-parts":[["2020"]]},"page":"S223-S230","title":"Medium-term survival and clinical and radiological results in high tibial osteotomy: Factors for failure and comparison with unicompartmental arthroplasty","type":"article-journal","volume":"106"},"uris":["http://www.mendeley.com/documents/?uuid=c8ee11e8-276b-45b4-b285-f39bbbb64e55"]}],"mendeley":{"formattedCitation":"[12]","plainTextFormattedCitation":"[12]","previouslyFormattedCitation":"[12]"},"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[12]</w:t>
            </w:r>
            <w:r w:rsidRPr="00EE4749">
              <w:rPr>
                <w:rFonts w:ascii="Times New Roman" w:hAnsi="Times New Roman" w:cs="Times New Roman"/>
                <w:sz w:val="20"/>
                <w:szCs w:val="20"/>
                <w:lang w:val="en-US"/>
              </w:rPr>
              <w:fldChar w:fldCharType="end"/>
            </w:r>
          </w:p>
        </w:tc>
        <w:tc>
          <w:tcPr>
            <w:tcW w:w="2226" w:type="dxa"/>
          </w:tcPr>
          <w:p w14:paraId="4D7AE4AA" w14:textId="51E9F3B6"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84" w:type="dxa"/>
          </w:tcPr>
          <w:p w14:paraId="7EA325F2" w14:textId="173778DE"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36" w:type="dxa"/>
          </w:tcPr>
          <w:p w14:paraId="53F3AD19" w14:textId="462497C4"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96" w:type="dxa"/>
          </w:tcPr>
          <w:p w14:paraId="46447F68" w14:textId="45A5B25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06" w:type="dxa"/>
          </w:tcPr>
          <w:p w14:paraId="4CD8A521" w14:textId="04DF201C"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446" w:type="dxa"/>
          </w:tcPr>
          <w:p w14:paraId="2E43AF7E" w14:textId="7EDF86D8"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022" w:type="dxa"/>
          </w:tcPr>
          <w:p w14:paraId="75B039B4" w14:textId="604500E8"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255" w:type="dxa"/>
          </w:tcPr>
          <w:p w14:paraId="04A2B2CB" w14:textId="5240A89C"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823" w:type="dxa"/>
          </w:tcPr>
          <w:p w14:paraId="70B1C7B8" w14:textId="7CD24C17" w:rsidR="007248D9" w:rsidRPr="00EE4749" w:rsidRDefault="007248D9" w:rsidP="007248D9">
            <w:pPr>
              <w:jc w:val="center"/>
              <w:rPr>
                <w:rFonts w:ascii="Times New Roman" w:hAnsi="Times New Roman" w:cs="Times New Roman"/>
                <w:sz w:val="20"/>
                <w:szCs w:val="20"/>
              </w:rPr>
            </w:pPr>
            <w:r w:rsidRPr="00EE4749">
              <w:rPr>
                <w:rFonts w:ascii="Times New Roman" w:hAnsi="Times New Roman" w:cs="Times New Roman"/>
                <w:sz w:val="20"/>
                <w:szCs w:val="20"/>
              </w:rPr>
              <w:t>7</w:t>
            </w:r>
          </w:p>
        </w:tc>
      </w:tr>
      <w:tr w:rsidR="007248D9" w:rsidRPr="00EE4749" w14:paraId="3D7D7E57" w14:textId="77777777" w:rsidTr="00115A76">
        <w:trPr>
          <w:trHeight w:val="522"/>
        </w:trPr>
        <w:tc>
          <w:tcPr>
            <w:tcW w:w="1256" w:type="dxa"/>
          </w:tcPr>
          <w:p w14:paraId="340159F7" w14:textId="6C6C5980" w:rsidR="007248D9" w:rsidRPr="00EE4749" w:rsidRDefault="007248D9" w:rsidP="007248D9">
            <w:pPr>
              <w:rPr>
                <w:rFonts w:ascii="Times New Roman" w:hAnsi="Times New Roman" w:cs="Times New Roman"/>
                <w:sz w:val="20"/>
                <w:szCs w:val="20"/>
              </w:rPr>
            </w:pPr>
            <w:proofErr w:type="spellStart"/>
            <w:r w:rsidRPr="00EE4749">
              <w:rPr>
                <w:rFonts w:ascii="Times New Roman" w:hAnsi="Times New Roman" w:cs="Times New Roman"/>
                <w:sz w:val="20"/>
                <w:szCs w:val="20"/>
                <w:lang w:val="en-US"/>
              </w:rPr>
              <w:t>Jacquet</w:t>
            </w:r>
            <w:proofErr w:type="spellEnd"/>
            <w:r w:rsidRPr="00EE4749">
              <w:rPr>
                <w:rFonts w:ascii="Times New Roman" w:hAnsi="Times New Roman" w:cs="Times New Roman"/>
                <w:sz w:val="20"/>
                <w:szCs w:val="20"/>
                <w:lang w:val="en-US"/>
              </w:rPr>
              <w:t xml:space="preserve"> et al., 2020 </w:t>
            </w:r>
            <w:bookmarkStart w:id="11" w:name="_Hlk67344653"/>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{"citationItems":[{"id":"ITEM-1","itemData":{"DOI":"10.1007/s00167-020-05857-1","ISBN":"0123456789","ISSN":"14337347","PMID":"32008058","abstract":"Purpose: Prior studies have compared unicompartmental knee arthroplasty (UKA) with high tibial osteotomy (HTO) suggesting that both procedures had good functional outcomes. But none had established the superiority of one of the two procedures for patients with high expectation including return to impact sport. The aim of this study was to compare functional outcomes and ability to return to impact sport of active patients defined with a pre-arthritis University of California and Los Angeles activity (UCLA) score &gt; 8, after UKA or HTO procedures. Methods: A retrospective review of patients with a pre-arthritis UCLA score &gt; 8 operated between January 2014 and September 2017 has identified 91 patients with open-wedge HTO and 117 patients with UKA. A matching process based on age (± 3 years) and gender allowed to include 50 patients in each group for comparative analysis. Patient reported outcomes included Knee Osteoarthritis Outcomes Score (KOOS), UCLA Score, Knee Society Score (KSS) and time to return to sport or previous professional activities at 3, 6, 12 and 24 months following surgery. Results: Mean time to return to sport activities or previous professional activities were significantly lower for the HTO group than for UKA group [respectively, 4.9 ± 2.2 months for HTO group vs 5.8 ± 6.2 months for UKA group (p = 0.006) and 3 ± 3 months for HTO group vs 4 ± 3 months for UKA group (p = 0.006)]. At 24-month follow-up, UCLA score, KOOS Sports Sub-score and KSS activity score were significantly higher for HTO group than for UKA group (Δ: 2 CI 95% (1.3–2.5 points) p &lt; 0.0001, (Δ: 10.9 CI 95% (2.9–18.9 points) p = 0.04 and Δ: 7.8 CI 95% (2.4–13.4 points) p = 0.006, respectively) and 31 patients (62%) were practicing impact sport in the HTO group versus 14 (28%) in the UKA group (odd-ratio 4.2 CI 95% (1.8–9.7) p &lt; 0.0001). Conclusion: HTO offers statistically significant quicker return to sport activities and previous professional activities with a higher rate of patients able to practice impact activity (62% for HTO vs 28% for UKA) and better sports related functional scores at two years after surgery compared to UKA. Level of evidence: III retrospective case–control study.","author":[{"dropping-particle":"","family":"Jacquet","given":"Christophe","non-dropping-particle":"","parse-names":false,"suffix":""},{"dropping-particle":"","family":"Gulagaci","given":"Firat","non-dropping-particle":"","parse-names":false,"suffix":""},{"dropping-particle":"","family":"Schmidt","given":"Axel","non-dropping-particle":"","parse-names":false,"suffix":""},{"dropping-particle":"","family":"Pendse","given":"Aniruddha","non-dropping-particle":"","parse-names":false,"suffix":""},{"dropping-particle":"","family":"Parratte","given":"Sebastien","non-dropping-particle":"","parse-names":false,"suffix":""},{"dropping-particle":"","family":"Argenson","given":"Jean Noel","non-dropping-particle":"","parse-names":false,"suffix":""},{"dropping-particle":"","family":"Ollivier","given":"Matthieu","non-dropping-particle":"","parse-names":false,"suffix":""}],"container-title":"Knee Surgery, Sports Traumatology, Arthroscopy","id":"ITEM-1","issue":"12","issued":{"date-parts":[["2020"]]},"page":"3849-3857","publisher":"Springer Berlin Heidelberg","title":"Opening wedge high tibial osteotomy allows better outcomes than unicompartmental knee arthroplasty in patients expecting to return to impact sports","type":"article-journal","volume":"28"},"uris":["http://www.mendeley.com/documents/?uuid=a767c4b1-65aa-41f2-a952-c8c55d9c0a52"]}],"mendeley":{"formattedCitation":"[13]","plainTextFormattedCitation":"[13]","previouslyFormattedCitation":"[13]"},"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[13]</w:t>
            </w:r>
            <w:r w:rsidRPr="00EE4749">
              <w:rPr>
                <w:rFonts w:ascii="Times New Roman" w:hAnsi="Times New Roman" w:cs="Times New Roman"/>
                <w:sz w:val="20"/>
                <w:szCs w:val="20"/>
                <w:lang w:val="en-US"/>
              </w:rPr>
              <w:fldChar w:fldCharType="end"/>
            </w:r>
            <w:bookmarkEnd w:id="11"/>
          </w:p>
        </w:tc>
        <w:tc>
          <w:tcPr>
            <w:tcW w:w="2226" w:type="dxa"/>
          </w:tcPr>
          <w:p w14:paraId="32E52D7A"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84" w:type="dxa"/>
          </w:tcPr>
          <w:p w14:paraId="1D0E6582"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36" w:type="dxa"/>
          </w:tcPr>
          <w:p w14:paraId="4C58EAF1"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96" w:type="dxa"/>
          </w:tcPr>
          <w:p w14:paraId="0A39FAAB"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06" w:type="dxa"/>
          </w:tcPr>
          <w:p w14:paraId="6D5220CD"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446" w:type="dxa"/>
          </w:tcPr>
          <w:p w14:paraId="02C13889"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022" w:type="dxa"/>
          </w:tcPr>
          <w:p w14:paraId="49A28E26" w14:textId="41200B51"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255" w:type="dxa"/>
          </w:tcPr>
          <w:p w14:paraId="7C34325A"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823" w:type="dxa"/>
          </w:tcPr>
          <w:p w14:paraId="797CA2C6" w14:textId="2A6A9292" w:rsidR="007248D9" w:rsidRPr="00EE4749" w:rsidRDefault="007248D9" w:rsidP="007248D9">
            <w:pPr>
              <w:jc w:val="center"/>
              <w:rPr>
                <w:rFonts w:ascii="Times New Roman" w:hAnsi="Times New Roman" w:cs="Times New Roman"/>
                <w:sz w:val="20"/>
                <w:szCs w:val="20"/>
              </w:rPr>
            </w:pPr>
            <w:r w:rsidRPr="00EE4749">
              <w:rPr>
                <w:rFonts w:ascii="Times New Roman" w:hAnsi="Times New Roman" w:cs="Times New Roman"/>
                <w:sz w:val="20"/>
                <w:szCs w:val="20"/>
              </w:rPr>
              <w:t>8</w:t>
            </w:r>
          </w:p>
        </w:tc>
      </w:tr>
      <w:tr w:rsidR="007248D9" w:rsidRPr="00EE4749" w14:paraId="1805EC47" w14:textId="77777777" w:rsidTr="00115A76">
        <w:trPr>
          <w:trHeight w:val="522"/>
        </w:trPr>
        <w:tc>
          <w:tcPr>
            <w:tcW w:w="1256" w:type="dxa"/>
          </w:tcPr>
          <w:p w14:paraId="1264A58D" w14:textId="0B6C026E" w:rsidR="007248D9" w:rsidRPr="00EE4749" w:rsidRDefault="007248D9" w:rsidP="007248D9">
            <w:pPr>
              <w:rPr>
                <w:rFonts w:ascii="Times New Roman" w:hAnsi="Times New Roman" w:cs="Times New Roman"/>
                <w:sz w:val="20"/>
                <w:szCs w:val="20"/>
              </w:rPr>
            </w:pPr>
            <w:proofErr w:type="spellStart"/>
            <w:r w:rsidRPr="00EE4749">
              <w:rPr>
                <w:rFonts w:ascii="Times New Roman" w:hAnsi="Times New Roman" w:cs="Times New Roman"/>
                <w:sz w:val="20"/>
                <w:szCs w:val="20"/>
                <w:lang w:val="en-US"/>
              </w:rPr>
              <w:t>Jin</w:t>
            </w:r>
            <w:proofErr w:type="spellEnd"/>
            <w:r w:rsidRPr="00EE4749">
              <w:rPr>
                <w:rFonts w:ascii="Times New Roman" w:hAnsi="Times New Roman" w:cs="Times New Roman"/>
                <w:sz w:val="20"/>
                <w:szCs w:val="20"/>
                <w:lang w:val="en-US"/>
              </w:rPr>
              <w:t xml:space="preserve"> et al., 2020 </w:t>
            </w:r>
            <w:bookmarkStart w:id="12" w:name="_Hlk67344742"/>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{"citationItems":[{"id":"ITEM-1","itemData":{"DOI":"10.1016/j.arth.2020.11.008","ISSN":"15328406","abstract":"Background: To compare unicompartmental knee arthroplasty (UKA) and open-wedge high tibial osteotomy (OWHTO) in a long-term follow-up propensity score matching analysis. Methods: Patients who underwent UKA or OWHTO for unilateral medial unicompartmental osteoarthritis (OA) between 2004 and 2010 were included. The ROM, HSS score, KS score, WOMAC score, forgotten joint score, OA progression in patellofemoral and lateral compartments, and survivorship were compared within ten years of follow-up between 67 UKA and 67 OWHTO patients after propensity score matching for age, gender, body mass index, range of motion, and osteoarthritis (OA) grade. Results: At the last follow-up, there were no significant differences between the two groups in clinical outcomes, but the WOMAC score showed better results after UKA (13.1 in UKA vs 18.9 in OWHTO, P = .011). The OA progression also showed no significant difference between the two groups. After a 10-year follow-up, the survival rate was higher in UKA patients (96.2%) than in OWHTO patients (87.7%), with no statistical difference (P = .06). Conclusion: UKA showed better clinical outcomes and OA progressions than OWHTO. The survival rate presented a superiority of 8.5% for the UKA group in the 10-year follow-up, without significant difference.","author":[{"dropping-particle":"","family":"Jin","given":"Quan He","non-dropping-particle":"","parse-names":false,"suffix":""},{"dropping-particle":"","family":"Lee","given":"Won Gyun","non-dropping-particle":"","parse-names":false,"suffix":""},{"dropping-particle":"","family":"Song","given":"Eun Kyoo","non-dropping-particle":"","parse-names":false,"suffix":""},{"dropping-particle":"","family":"Jin","given":"Cheng","non-dropping-particle":"","parse-names":false,"suffix":""},{"dropping-particle":"","family":"Seon","given":"Jong Keun","non-dropping-particle":"","parse-names":false,"suffix":""}],"container-title":"Journal of Arthroplasty","id":"ITEM-1","issued":{"date-parts":[["2020"]]},"page":"1-7","publisher":"Elsevier Ltd","title":"Comparison of Long-Term Survival Analysis Between Open-Wedge High Tibial Osteotomy and Unicompartmental Knee Arthroplasty","type":"article-journal"},"uris":["http://www.mendeley.com/documents/?uuid=9aca939b-2fda-42c0-9a37-da86450b0c8b"]}],"mendeley":{"formattedCitation":"[14]","plainTextFormattedCitation":"[14]","previouslyFormattedCitation":"[14]"},"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[14]</w:t>
            </w:r>
            <w:r w:rsidRPr="00EE4749">
              <w:rPr>
                <w:rFonts w:ascii="Times New Roman" w:hAnsi="Times New Roman" w:cs="Times New Roman"/>
                <w:sz w:val="20"/>
                <w:szCs w:val="20"/>
                <w:lang w:val="en-US"/>
              </w:rPr>
              <w:fldChar w:fldCharType="end"/>
            </w:r>
            <w:bookmarkEnd w:id="12"/>
          </w:p>
        </w:tc>
        <w:tc>
          <w:tcPr>
            <w:tcW w:w="2226" w:type="dxa"/>
          </w:tcPr>
          <w:p w14:paraId="3A2FD2D0"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84" w:type="dxa"/>
          </w:tcPr>
          <w:p w14:paraId="57B73F11"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36" w:type="dxa"/>
          </w:tcPr>
          <w:p w14:paraId="2BFB5049"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96" w:type="dxa"/>
          </w:tcPr>
          <w:p w14:paraId="6343C394"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06" w:type="dxa"/>
          </w:tcPr>
          <w:p w14:paraId="39B2F469"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446" w:type="dxa"/>
          </w:tcPr>
          <w:p w14:paraId="21572C59"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022" w:type="dxa"/>
          </w:tcPr>
          <w:p w14:paraId="284D21C2"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255" w:type="dxa"/>
          </w:tcPr>
          <w:p w14:paraId="3214D7A2"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823" w:type="dxa"/>
          </w:tcPr>
          <w:p w14:paraId="64A1389E" w14:textId="77777777" w:rsidR="007248D9" w:rsidRPr="00EE4749" w:rsidRDefault="007248D9" w:rsidP="007248D9">
            <w:pPr>
              <w:jc w:val="center"/>
              <w:rPr>
                <w:rFonts w:ascii="Times New Roman" w:hAnsi="Times New Roman" w:cs="Times New Roman"/>
                <w:sz w:val="20"/>
                <w:szCs w:val="20"/>
              </w:rPr>
            </w:pPr>
            <w:r w:rsidRPr="00EE4749">
              <w:rPr>
                <w:rFonts w:ascii="Times New Roman" w:hAnsi="Times New Roman" w:cs="Times New Roman"/>
                <w:sz w:val="20"/>
                <w:szCs w:val="20"/>
              </w:rPr>
              <w:t>7</w:t>
            </w:r>
          </w:p>
        </w:tc>
      </w:tr>
      <w:tr w:rsidR="007248D9" w:rsidRPr="00EE4749" w14:paraId="06962750" w14:textId="77777777" w:rsidTr="00115A76">
        <w:trPr>
          <w:trHeight w:val="507"/>
        </w:trPr>
        <w:tc>
          <w:tcPr>
            <w:tcW w:w="1256" w:type="dxa"/>
          </w:tcPr>
          <w:p w14:paraId="36462255" w14:textId="24B5EFE1" w:rsidR="007248D9" w:rsidRPr="00EE4749" w:rsidRDefault="007248D9" w:rsidP="007248D9">
            <w:pPr>
              <w:rPr>
                <w:rFonts w:ascii="Times New Roman" w:hAnsi="Times New Roman" w:cs="Times New Roman"/>
                <w:sz w:val="20"/>
                <w:szCs w:val="20"/>
              </w:rPr>
            </w:pPr>
            <w:proofErr w:type="spellStart"/>
            <w:r w:rsidRPr="00EE4749">
              <w:rPr>
                <w:rFonts w:ascii="Times New Roman" w:hAnsi="Times New Roman" w:cs="Times New Roman"/>
                <w:sz w:val="20"/>
                <w:szCs w:val="20"/>
                <w:lang w:val="en-US"/>
              </w:rPr>
              <w:t>Ziqi</w:t>
            </w:r>
            <w:proofErr w:type="spellEnd"/>
            <w:r w:rsidRPr="00EE4749">
              <w:rPr>
                <w:rFonts w:ascii="Times New Roman" w:hAnsi="Times New Roman" w:cs="Times New Roman"/>
                <w:sz w:val="20"/>
                <w:szCs w:val="20"/>
                <w:lang w:val="en-US"/>
              </w:rPr>
              <w:t xml:space="preserve"> et al., 2020 </w:t>
            </w:r>
            <w:bookmarkStart w:id="13" w:name="_Hlk67344334"/>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{"citationItems":[{"id":"ITEM-1","itemData":{"DOI":"10.1111/os.12761","ISSN":"17577853","PMID":"32893481","abstract":"Objective: To evaluate the therapeutic effects and revision cases of unicompartmental knee arthroplasty (UKA) and open wedge high tibial osteotomy (OWHTO) in treating medial knee osteoarthritis (MKOA) in patients under 60 years. Methods: The present retrospective study included a total of 192 patients who were diagnosed with MKOA and treated by UKA or OWHTO in the Second Affiliated hospital of Xi'an Jiaotong University and Xi'an Honghui Hospital between December 2012 and December 2016. Among these patients, 83 were treated by UKA (17 men and 66 women, aged 53.7 ± 5.2 years) and 109 were treated by OWHTO (23 men and 86 women, aged 51.8 ± 6.9 years). Patients were followed up at 1, 3, 6, and 12 months for the first year postoperation, and every 6 months from the second year postoperation. Basic data, perioperative data, hospital for special surgery (HSS) score, visual analogue pain score (VAS), low-impact recovery, and revision cases of the patients were evaluated. Results: The average follow-up periods of the UKA group and the OWHTO group were 39.3 ± 11.2 months and 40.2 ± 13.5 months, respectively. No significant difference was found in the basic data of the two groups (P ≥ 0.05). The operative time, incision length, and dominant blood loss of the UKA group was less than those of OWHTO group by 19.6%, 10.7%, and 35.1%, respectively, and the differences were significant (P &lt; 0.05), while no significant difference was found in postoperative in-bed time (P ≥ 0.05). The HSS scores of the UKA group at 1 and 3 months postoperation were higher than those of the OWHTO group by 5.1% and 3.9% (P &lt; 0.05), while no differences were found from 6 months postoperation (P ≥ 0.05). The VAS score of the UKA group 1 month postoperation was lower than that of the OWHTO group by 12.2% (P &lt; 0.05), while no differences were found from 3 months postoperation (P ≥ 0.05). One year after the operation, most patients in both groups could not achieve ideal recovery in low-impact sports, and no significant differences were found (P &lt; 0.05). The sport in which most patients could not achieve ideal recovery was mountain climbing. No revision cases occurred in the OWHTO group, while two revisions occurred in the UKA group. Conclusion: Candidates for UKA should be chosen carefully and the current indications and contraindications raised by Goodfellow should be modified.","author":[{"dropping-particle":"","family":"Ziqi","given":"Zhang","non-dropping-particle":"","parse-names":false,"suffix":""},{"dropping-particle":"","family":"Yufeng","given":"Mei","non-dropping-particle":"","parse-names":false,"suffix":""},{"dropping-particle":"","family":"Lei","given":"Zhang","non-dropping-particle":"","parse-names":false,"suffix":""},{"dropping-particle":"","family":"Chunsheng","given":"Wang","non-dropping-particle":"","parse-names":false,"suffix":""},{"dropping-particle":"","family":"Pei","given":"Yang","non-dropping-particle":"","parse-names":false,"suffix":""},{"dropping-particle":"","family":"Kunzheng","given":"Wang","non-dropping-particle":"","parse-names":false,"suffix":""}],"container-title":"Orthopaedic Surgery","id":"ITEM-1","issue":"6","issued":{"date-parts":[["2020"]]},"page":"1635-1643","title":"Therapeutic Effects Comparison and Revision Case Analysis of Unicompartmental Knee Arthroplasty and Open Wedge High Tibial Osteotomy in Treating Medial Knee Osteoarthritis in Patients Under 60 years: A 2–6-year Follow-up Study","type":"article-journal","volume":"12"},"uris":["http://www.mendeley.com/documents/?uuid=2dfb51c1-b124-4940-b8c7-0a7b00939c3d"]}],"mendeley":{"formattedCitation":"[15]","plainTextFormattedCitation":"[15]","previouslyFormattedCitation":"[15]"},"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[15]</w:t>
            </w:r>
            <w:r w:rsidRPr="00EE4749">
              <w:rPr>
                <w:rFonts w:ascii="Times New Roman" w:hAnsi="Times New Roman" w:cs="Times New Roman"/>
                <w:sz w:val="20"/>
                <w:szCs w:val="20"/>
                <w:lang w:val="en-US"/>
              </w:rPr>
              <w:fldChar w:fldCharType="end"/>
            </w:r>
            <w:bookmarkEnd w:id="13"/>
          </w:p>
        </w:tc>
        <w:tc>
          <w:tcPr>
            <w:tcW w:w="2226" w:type="dxa"/>
          </w:tcPr>
          <w:p w14:paraId="3B9FD5BF"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84" w:type="dxa"/>
          </w:tcPr>
          <w:p w14:paraId="7DD7C312"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36" w:type="dxa"/>
          </w:tcPr>
          <w:p w14:paraId="59637CB4"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96" w:type="dxa"/>
          </w:tcPr>
          <w:p w14:paraId="58B3E646" w14:textId="2B3FB23E"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06" w:type="dxa"/>
          </w:tcPr>
          <w:p w14:paraId="0895DFF4"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446" w:type="dxa"/>
          </w:tcPr>
          <w:p w14:paraId="78BD42EB"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022" w:type="dxa"/>
          </w:tcPr>
          <w:p w14:paraId="0FBD22D1"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255" w:type="dxa"/>
          </w:tcPr>
          <w:p w14:paraId="65ED5FB3"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823" w:type="dxa"/>
          </w:tcPr>
          <w:p w14:paraId="5E7D4392" w14:textId="7747826D" w:rsidR="007248D9" w:rsidRPr="00EE4749" w:rsidRDefault="007248D9" w:rsidP="007248D9">
            <w:pPr>
              <w:jc w:val="center"/>
              <w:rPr>
                <w:rFonts w:ascii="Times New Roman" w:hAnsi="Times New Roman" w:cs="Times New Roman"/>
                <w:sz w:val="20"/>
                <w:szCs w:val="20"/>
              </w:rPr>
            </w:pPr>
            <w:r w:rsidRPr="00EE4749">
              <w:rPr>
                <w:rFonts w:ascii="Times New Roman" w:hAnsi="Times New Roman" w:cs="Times New Roman"/>
                <w:sz w:val="20"/>
                <w:szCs w:val="20"/>
              </w:rPr>
              <w:t>7</w:t>
            </w:r>
          </w:p>
        </w:tc>
      </w:tr>
      <w:tr w:rsidR="007248D9" w:rsidRPr="00EE4749" w14:paraId="095B649D" w14:textId="77777777" w:rsidTr="00115A76">
        <w:trPr>
          <w:trHeight w:val="507"/>
        </w:trPr>
        <w:tc>
          <w:tcPr>
            <w:tcW w:w="1256" w:type="dxa"/>
          </w:tcPr>
          <w:p w14:paraId="496ED16C" w14:textId="3D14659F" w:rsidR="007248D9" w:rsidRPr="00EE4749" w:rsidRDefault="007248D9" w:rsidP="007248D9">
            <w:pPr>
              <w:rPr>
                <w:rFonts w:ascii="Times New Roman" w:hAnsi="Times New Roman" w:cs="Times New Roman"/>
                <w:sz w:val="20"/>
                <w:szCs w:val="20"/>
              </w:rPr>
            </w:pPr>
            <w:r w:rsidRPr="00EE4749">
              <w:rPr>
                <w:rFonts w:ascii="Times New Roman" w:hAnsi="Times New Roman" w:cs="Times New Roman"/>
                <w:sz w:val="20"/>
                <w:szCs w:val="20"/>
                <w:lang w:val="en-US"/>
              </w:rPr>
              <w:t xml:space="preserve">Kim et al., 2019 </w:t>
            </w:r>
            <w:bookmarkStart w:id="14" w:name="_Hlk67344673"/>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{"citationItems":[{"id":"ITEM-1","itemData":{"DOI":"10.1007/s00264-018-4272-5","ISSN":"14325195","PMID":"30565177","abstract":"Purpose: To compare (1) the recovery pattern of post-operative physical activity and function in the early post-operative period and (2) the difference of participation in recreational and sports activities pre- and post-operatively following unicompartmental knee arthroplasty (UKA) and high tibial osteotomy (HTO). Methods: In this prospective comparative study, 49 HTOs (49 patients) and 42 UKAs (42 patients) performed to treat medial compartmental knee osteoarthritis (OA) were included. The pain visual analog scale (VAS), Western Ontario and McMaster Universities Osteoarthritis Index score (WOMAC), Tegner activity score, Lysholm knee score, and the University of California at Los Angeles (UCLA) activity score were evaluated pre-operatively and post-operatively at three, six, 12, and 24 months. Participation in recreational and sports activities was also assessed pre-operatively and 24 months post-operatively. Results: Pre-operatively, although there were no differences in VAS, WOMAC, and Lysholm scores between the two groups, the UKA group had inferior Tegner and UCLA scores (p &lt; 0.05). At post-operative three and six months, the UKA group showed superior VAS, WOMAC, and Lysholm scores (p &lt; 0.05 for all). However, at 12 and 24 months post-operatively, both groups had similar outcome scores (p &gt; 0.05 for all). When all the baseline scores were adjusted for the mean changes, the UKA group showed a significantly better UCLA score than the HTO group until 12 months after the operation (p = 0.008). The rate of return to sports activity was 94.1% in the UKA group and 75.0% in the HTO group at 24 months post-operatively (p = 0.031). Conclusion: These findings indicate that UKA had better short-term functional outcomes and return to recreational and sports activities than did HTO in patients with medial OA.","author":[{"dropping-particle":"","family":"Kim","given":"Man Soo","non-dropping-particle":"","parse-names":false,"suffix":""},{"dropping-particle":"","family":"Koh","given":"In Jun","non-dropping-particle":"","parse-names":false,"suffix":""},{"dropping-particle":"","family":"Sohn","given":"Sueen","non-dropping-particle":"","parse-names":false,"suffix":""},{"dropping-particle":"","family":"Jeong","given":"Ji Hwan","non-dropping-particle":"","parse-names":false,"suffix":""},{"dropping-particle":"","family":"In","given":"Yong","non-dropping-particle":"","parse-names":false,"suffix":""}],"container-title":"International Orthopaedics","id":"ITEM-1","issue":"11","issued":{"date-parts":[["2019"]]},"page":"2493-2501","publisher":"International Orthopaedics","title":"Unicompartmental knee arthroplasty is superior to high tibial osteotomy in post-operative recovery and participation in recreational and sports activities","type":"article-journal","volume":"43"},"uris":["http://www.mendeley.com/documents/?uuid=4df49080-57f2-4e26-a6ba-06c9714ebf7c"]}],"mendeley":{"formattedCitation":"[16]","plainTextFormattedCitation":"[16]","previouslyFormattedCitation":"[16]"},"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[16]</w:t>
            </w:r>
            <w:r w:rsidRPr="00EE4749">
              <w:rPr>
                <w:rFonts w:ascii="Times New Roman" w:hAnsi="Times New Roman" w:cs="Times New Roman"/>
                <w:sz w:val="20"/>
                <w:szCs w:val="20"/>
                <w:lang w:val="en-US"/>
              </w:rPr>
              <w:fldChar w:fldCharType="end"/>
            </w:r>
            <w:bookmarkEnd w:id="14"/>
          </w:p>
        </w:tc>
        <w:tc>
          <w:tcPr>
            <w:tcW w:w="2226" w:type="dxa"/>
          </w:tcPr>
          <w:p w14:paraId="3B650044"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84" w:type="dxa"/>
          </w:tcPr>
          <w:p w14:paraId="2CC7F6FD"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36" w:type="dxa"/>
          </w:tcPr>
          <w:p w14:paraId="0E5B09ED"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96" w:type="dxa"/>
          </w:tcPr>
          <w:p w14:paraId="55987D8C"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06" w:type="dxa"/>
          </w:tcPr>
          <w:p w14:paraId="56154364"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446" w:type="dxa"/>
          </w:tcPr>
          <w:p w14:paraId="08C743E0"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022" w:type="dxa"/>
          </w:tcPr>
          <w:p w14:paraId="5F83951B"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255" w:type="dxa"/>
          </w:tcPr>
          <w:p w14:paraId="55FC1781"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823" w:type="dxa"/>
          </w:tcPr>
          <w:p w14:paraId="431EA2E1" w14:textId="77777777" w:rsidR="007248D9" w:rsidRPr="00EE4749" w:rsidRDefault="007248D9" w:rsidP="007248D9">
            <w:pPr>
              <w:jc w:val="center"/>
              <w:rPr>
                <w:rFonts w:ascii="Times New Roman" w:hAnsi="Times New Roman" w:cs="Times New Roman"/>
                <w:sz w:val="20"/>
                <w:szCs w:val="20"/>
              </w:rPr>
            </w:pPr>
            <w:r w:rsidRPr="00EE4749">
              <w:rPr>
                <w:rFonts w:ascii="Times New Roman" w:hAnsi="Times New Roman" w:cs="Times New Roman"/>
                <w:sz w:val="20"/>
                <w:szCs w:val="20"/>
              </w:rPr>
              <w:t>7</w:t>
            </w:r>
          </w:p>
        </w:tc>
      </w:tr>
      <w:tr w:rsidR="007248D9" w:rsidRPr="00EE4749" w14:paraId="77B0612D" w14:textId="77777777" w:rsidTr="00115A76">
        <w:trPr>
          <w:trHeight w:val="522"/>
        </w:trPr>
        <w:tc>
          <w:tcPr>
            <w:tcW w:w="1256" w:type="dxa"/>
          </w:tcPr>
          <w:p w14:paraId="122F8A78" w14:textId="4E560A0F" w:rsidR="007248D9" w:rsidRPr="00EE4749" w:rsidRDefault="007248D9" w:rsidP="007248D9">
            <w:pPr>
              <w:rPr>
                <w:rFonts w:ascii="Times New Roman" w:hAnsi="Times New Roman" w:cs="Times New Roman"/>
                <w:sz w:val="20"/>
                <w:szCs w:val="20"/>
              </w:rPr>
            </w:pPr>
            <w:r w:rsidRPr="00EE4749">
              <w:rPr>
                <w:rFonts w:ascii="Times New Roman" w:hAnsi="Times New Roman" w:cs="Times New Roman"/>
                <w:sz w:val="20"/>
                <w:szCs w:val="20"/>
                <w:lang w:val="en-US"/>
              </w:rPr>
              <w:t xml:space="preserve">Koh et al., 2018 </w:t>
            </w:r>
            <w:bookmarkStart w:id="15" w:name="_Hlk67344684"/>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{"citationItems":[{"id":"ITEM-1","itemData":{"DOI":"10.1016/j.otsr.2018.11.001","ISSN":"18770568","PMID":"30509622","abstract":"Introduction: Both high tibial osteotomy (HTO) and unicompartmental knee arthroplasty (UKA) are viable treatment options for early osteoarthritis (OA). Although a substantial proportion of the patient selection criteria for HTO and UKA are now shared, the factors related to satisfaction following each procedure remain unclear. Hypothesis: We hypothesized that patient factors associated with satisfaction following contemporary HTO and UKA would be different. Material and methods: We retrospectively reviewed the records of consecutively enrolled medial opening-wedge HTOs (n = 123) and Oxford mobile-bearing UKAs (n = 118) with satisfactory postoperative alignment. Preoperative demographics, physical activity levels, varus deformity status, and degree of OA were recorded. Postoperative radiographs, frequency of combined procedures and patient-reported outcomes (PROs) including pain, Western Ontario and McMaster Universities Osteoarthritis Index score, and patient satisfaction were assessed. Results: Severe OA (p &lt; 0.01) was associated with an increased risk of dissatisfaction following HTO, whereas young age (p &lt; 0.01) and severe varus deformity (p = 0.045) were related to dissatisfaction after UKA. In addition, patient satisfaction following UKA was higher than that following HTO in individuals with highly physically demanding activity. All UKA PROs were superior to those of the HTO group, except pain level. Conclusion: Despite the shared patient selection criteria for contemporary HTO and UKA, severe OA was associated with dissatisfaction following HTO, whereas young age and varus deformity were associated with dissatisfaction following UKA. Age, varus deformity and OA severity should be considered when deciding whether to perform HTO or UKA. Type of study and level of proof: Retrospective cohort study, Level III.","author":[{"dropping-particle":"","family":"Koh","given":"In Jun","non-dropping-particle":"","parse-names":false,"suffix":""},{"dropping-particle":"","family":"Kim","given":"Man Soo","non-dropping-particle":"","parse-names":false,"suffix":""},{"dropping-particle":"","family":"Sohn","given":"Sueen","non-dropping-particle":"","parse-names":false,"suffix":""},{"dropping-particle":"","family":"Song","given":"Kwang Yun","non-dropping-particle":"","parse-names":false,"suffix":""},{"dropping-particle":"","family":"Choi","given":"Nam Yong","non-dropping-particle":"","parse-names":false,"suffix":""},{"dropping-particle":"","family":"Jung","given":"Hoyoung","non-dropping-particle":"","parse-names":false,"suffix":""},{"dropping-particle":"","family":"In","given":"Yong","non-dropping-particle":"","parse-names":false,"suffix":""}],"container-title":"Orthopaedics and Traumatology: Surgery and Research","id":"ITEM-1","issue":"1","issued":{"date-parts":[["2019"]]},"page":"77-83","publisher":"Elsevier Masson SAS","title":"Predictive factors for satisfaction after contemporary unicompartmental knee arthroplasty and high tibial osteotomy in isolated medial femorotibial osteoarthritis","type":"article-journal","volume":"105"},"uris":["http://www.mendeley.com/documents/?uuid=2338a7c5-0a23-43e6-b612-a94e9d76339f"]}],"mendeley":{"formattedCitation":"[17]","plainTextFormattedCitation":"[17]","previouslyFormattedCitation":"[17]"},"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[17]</w:t>
            </w:r>
            <w:r w:rsidRPr="00EE4749">
              <w:rPr>
                <w:rFonts w:ascii="Times New Roman" w:hAnsi="Times New Roman" w:cs="Times New Roman"/>
                <w:sz w:val="20"/>
                <w:szCs w:val="20"/>
                <w:lang w:val="en-US"/>
              </w:rPr>
              <w:fldChar w:fldCharType="end"/>
            </w:r>
            <w:bookmarkEnd w:id="15"/>
          </w:p>
        </w:tc>
        <w:tc>
          <w:tcPr>
            <w:tcW w:w="2226" w:type="dxa"/>
          </w:tcPr>
          <w:p w14:paraId="44DFD03F"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84" w:type="dxa"/>
          </w:tcPr>
          <w:p w14:paraId="5944D2A2"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36" w:type="dxa"/>
          </w:tcPr>
          <w:p w14:paraId="40517136"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96" w:type="dxa"/>
          </w:tcPr>
          <w:p w14:paraId="0F70EEB9" w14:textId="0E15BFD3"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06" w:type="dxa"/>
          </w:tcPr>
          <w:p w14:paraId="7A82FB55"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446" w:type="dxa"/>
          </w:tcPr>
          <w:p w14:paraId="0DF0DAB4"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022" w:type="dxa"/>
          </w:tcPr>
          <w:p w14:paraId="6C02D160"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255" w:type="dxa"/>
          </w:tcPr>
          <w:p w14:paraId="43275399"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823" w:type="dxa"/>
          </w:tcPr>
          <w:p w14:paraId="56BEFB02" w14:textId="7B4B7CF7" w:rsidR="007248D9" w:rsidRPr="00EE4749" w:rsidRDefault="007248D9" w:rsidP="007248D9">
            <w:pPr>
              <w:jc w:val="center"/>
              <w:rPr>
                <w:rFonts w:ascii="Times New Roman" w:hAnsi="Times New Roman" w:cs="Times New Roman"/>
                <w:sz w:val="20"/>
                <w:szCs w:val="20"/>
              </w:rPr>
            </w:pPr>
            <w:r w:rsidRPr="00EE4749">
              <w:rPr>
                <w:rFonts w:ascii="Times New Roman" w:hAnsi="Times New Roman" w:cs="Times New Roman"/>
                <w:sz w:val="20"/>
                <w:szCs w:val="20"/>
              </w:rPr>
              <w:t>8</w:t>
            </w:r>
          </w:p>
        </w:tc>
      </w:tr>
      <w:tr w:rsidR="007248D9" w:rsidRPr="00EE4749" w14:paraId="066D8455" w14:textId="77777777" w:rsidTr="00115A76">
        <w:trPr>
          <w:trHeight w:val="507"/>
        </w:trPr>
        <w:tc>
          <w:tcPr>
            <w:tcW w:w="1256" w:type="dxa"/>
          </w:tcPr>
          <w:p w14:paraId="448CF94D" w14:textId="7E3EF09B" w:rsidR="007248D9" w:rsidRPr="00EE4749" w:rsidRDefault="007248D9" w:rsidP="007248D9">
            <w:pPr>
              <w:rPr>
                <w:rFonts w:ascii="Times New Roman" w:hAnsi="Times New Roman" w:cs="Times New Roman"/>
                <w:sz w:val="20"/>
                <w:szCs w:val="20"/>
              </w:rPr>
            </w:pPr>
            <w:proofErr w:type="spellStart"/>
            <w:r w:rsidRPr="00EE4749">
              <w:rPr>
                <w:rFonts w:ascii="Times New Roman" w:hAnsi="Times New Roman" w:cs="Times New Roman"/>
                <w:sz w:val="20"/>
                <w:szCs w:val="20"/>
                <w:lang w:val="en-US"/>
              </w:rPr>
              <w:t>Tuncay</w:t>
            </w:r>
            <w:proofErr w:type="spellEnd"/>
            <w:r w:rsidRPr="00EE4749">
              <w:rPr>
                <w:rFonts w:ascii="Times New Roman" w:hAnsi="Times New Roman" w:cs="Times New Roman"/>
                <w:sz w:val="20"/>
                <w:szCs w:val="20"/>
                <w:lang w:val="en-US"/>
              </w:rPr>
              <w:t xml:space="preserve"> et al., 2015 </w:t>
            </w:r>
            <w:bookmarkStart w:id="16" w:name="_Hlk67344156"/>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{"citationItems":[{"id":"ITEM-1","itemData":{"DOI":"10.3944/AOTT.2015.14.0320","ISSN":"1017995X","PMID":"26200407","abstract":"Objective: Three methods of surgery used in the treatment of knee osteoarthritis (OA) are mobile bearing unicompartmental knee arthroplasty (Oxford UKA), opening wedge high tibial osteotomy (HTO), and dome-type HTO. This article aimed to retrospectively compare these three methods in terms of outcomes for health status, patient satisfaction, and function. Methods: Between 2003 and 2010, 255 knees of 235 patients underwent operations for medial knee OA. Three types of surgery were performed. Group 1 consisted of 109 knees of 94 patients who underwent Oxford UKA. Group 2 was made up of 36 knees of 36 patients who underwent HTO using circular external fixation, and Group 3 comprised 57 knees of 52 patients on whom opening wedge type HTO using locking plate fixation was performed. SF-36 and HSS knee scores were used to compare the functional outcomes among groups. Results: Statistically significant differences were found between the preoperative and postoperative measures in all 3 of the treatment groups for physical function, physical role, pain, general health, vitality, social function, emotional role, and mental health according to SF-36 and HSS scores. In the 2&lt;sup&gt;nd&lt;/sup&gt; group, the average correction of the mechanical axis deviation (MAD) was 38 mm with 11.7° along the femorotibial axis and 6.2° along the medial proximal tibial angle (MPTA). In the 3&lt;sup&gt;rd&lt;/sup&gt; group, the average correction in the MAD was 28 mm with 9.7° along the femorotibial axis and 5.6° along the MPTA. All 3 of the treatment alternatives were observed to be sufficient. Satisfactory postoperative results were achieved in the UKA group in terms of social function and mental health, and the patients were able to achieve early rehabilitation and return to their previous life activities. Conclusion: UKA is the ideal option for patients who wish for the earliest possible return to social and recreational activities.","author":[{"dropping-particle":"","family":"Tuncay","given":"Ibrahim","non-dropping-particle":"","parse-names":false,"suffix":""},{"dropping-particle":"","family":"Bilsel","given":"Kerem","non-dropping-particle":"","parse-names":false,"suffix":""},{"dropping-particle":"","family":"Elmadağ","given":"Mehmet","non-dropping-particle":"","parse-names":false,"suffix":""},{"dropping-particle":"","family":"Erkoçak","given":"Ömer Faruk","non-dropping-particle":"","parse-names":false,"suffix":""},{"dropping-particle":"","family":"Aşçi","given":"Murat","non-dropping-particle":"","parse-names":false,"suffix":""},{"dropping-particle":"","family":"Şen","given":"Cengiz","non-dropping-particle":"","parse-names":false,"suffix":""}],"container-title":"Acta Orthopaedica et Traumatologica Turcica","id":"ITEM-1","issue":"3","issued":{"date-parts":[["2015"]]},"page":"280-287","title":"Evaluation of mobile bearing unicompartmental knee arthroplasty, opening wedge, and dome-type high tibial osteotomies for knee arthritis","type":"article-journal","volume":"49"},"uris":["http://www.mendeley.com/documents/?uuid=8e01306c-49c4-4550-85cc-0e8f4a20e6c8"]}],"mendeley":{"formattedCitation":"[18]","plainTextFormattedCitation":"[18]","previouslyFormattedCitation":"[18]"},"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[18]</w:t>
            </w:r>
            <w:r w:rsidRPr="00EE4749">
              <w:rPr>
                <w:rFonts w:ascii="Times New Roman" w:hAnsi="Times New Roman" w:cs="Times New Roman"/>
                <w:sz w:val="20"/>
                <w:szCs w:val="20"/>
                <w:lang w:val="en-US"/>
              </w:rPr>
              <w:fldChar w:fldCharType="end"/>
            </w:r>
            <w:bookmarkEnd w:id="16"/>
          </w:p>
        </w:tc>
        <w:tc>
          <w:tcPr>
            <w:tcW w:w="2226" w:type="dxa"/>
          </w:tcPr>
          <w:p w14:paraId="6F44E5D9"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84" w:type="dxa"/>
          </w:tcPr>
          <w:p w14:paraId="41329EBB"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36" w:type="dxa"/>
          </w:tcPr>
          <w:p w14:paraId="4E005129"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96" w:type="dxa"/>
          </w:tcPr>
          <w:p w14:paraId="7D367AF1" w14:textId="1BE289CA"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06" w:type="dxa"/>
          </w:tcPr>
          <w:p w14:paraId="2E1762B8"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446" w:type="dxa"/>
          </w:tcPr>
          <w:p w14:paraId="5232E75D"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022" w:type="dxa"/>
          </w:tcPr>
          <w:p w14:paraId="05E2AF4F"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255" w:type="dxa"/>
          </w:tcPr>
          <w:p w14:paraId="646C18FA"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823" w:type="dxa"/>
          </w:tcPr>
          <w:p w14:paraId="22072044" w14:textId="2A6E7CD4" w:rsidR="007248D9" w:rsidRPr="00EE4749" w:rsidRDefault="007248D9" w:rsidP="007248D9">
            <w:pPr>
              <w:jc w:val="center"/>
              <w:rPr>
                <w:rFonts w:ascii="Times New Roman" w:hAnsi="Times New Roman" w:cs="Times New Roman"/>
                <w:sz w:val="20"/>
                <w:szCs w:val="20"/>
              </w:rPr>
            </w:pPr>
            <w:r w:rsidRPr="00EE4749">
              <w:rPr>
                <w:rFonts w:ascii="Times New Roman" w:hAnsi="Times New Roman" w:cs="Times New Roman"/>
                <w:sz w:val="20"/>
                <w:szCs w:val="20"/>
              </w:rPr>
              <w:t>7</w:t>
            </w:r>
          </w:p>
        </w:tc>
      </w:tr>
      <w:tr w:rsidR="007248D9" w:rsidRPr="00EE4749" w14:paraId="2B929AA3" w14:textId="77777777" w:rsidTr="00115A76">
        <w:trPr>
          <w:trHeight w:val="522"/>
        </w:trPr>
        <w:tc>
          <w:tcPr>
            <w:tcW w:w="1256" w:type="dxa"/>
          </w:tcPr>
          <w:p w14:paraId="327A6A20" w14:textId="649E915A" w:rsidR="007248D9" w:rsidRPr="00EE4749" w:rsidRDefault="007248D9" w:rsidP="007248D9">
            <w:pPr>
              <w:rPr>
                <w:rFonts w:ascii="Times New Roman" w:hAnsi="Times New Roman" w:cs="Times New Roman"/>
                <w:sz w:val="20"/>
                <w:szCs w:val="20"/>
              </w:rPr>
            </w:pPr>
            <w:proofErr w:type="spellStart"/>
            <w:r w:rsidRPr="00EE4749">
              <w:rPr>
                <w:rFonts w:ascii="Times New Roman" w:hAnsi="Times New Roman" w:cs="Times New Roman"/>
                <w:sz w:val="20"/>
                <w:szCs w:val="20"/>
                <w:lang w:val="en-US"/>
              </w:rPr>
              <w:t>Karamitev</w:t>
            </w:r>
            <w:proofErr w:type="spellEnd"/>
            <w:r w:rsidRPr="00EE4749">
              <w:rPr>
                <w:rFonts w:ascii="Times New Roman" w:hAnsi="Times New Roman" w:cs="Times New Roman"/>
                <w:sz w:val="20"/>
                <w:szCs w:val="20"/>
                <w:lang w:val="en-US"/>
              </w:rPr>
              <w:t xml:space="preserve"> et al., 2014</w:t>
            </w:r>
            <w:bookmarkStart w:id="17" w:name="_Hlk67344560"/>
            <w:r w:rsidRPr="00EE4749">
              <w:rPr>
                <w:rFonts w:ascii="Times New Roman" w:hAnsi="Times New Roman" w:cs="Times New Roman"/>
                <w:sz w:val="20"/>
                <w:szCs w:val="20"/>
                <w:lang w:val="en-US"/>
              </w:rPr>
              <w:t xml:space="preserve"> </w:t>
            </w:r>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{"citationItems":[{"id":"ITEM-1","itemData":{"DOI":"10.2478/folmed-2014-0002","ISSN":"02048043","PMID":"24812917","abstract":"The AIM of this study was to analyse the results of the surgery and compare the outcomes of unicondylar knee arthroplasty and high tibial osteotomy performed in isolated gonarthrosis. Between 2007 and 2011, 65 patients were implanted a partial knee endo-prosthesis in the Clinic of Orthopedics and Traumatology. Men were 23 (35.4%) and women were 42 (64.6%). High tibial osteotomy was performed to manage the unicompartmental gonarthrosis in 92 patients (47 men and 45 women) for 13 years between 1975 and 1987. These two modalities were used only in cases in which one of the knee joint compartments was affected. Clinical, para-clinical, functional tests and radiographic examination were conducted of the affected knee joint. The results of the study were assessed by the rating system proposed by the Knee Society and modified by John Insall. At four-year follow-up study the outcomes of the partial prosthesis were assessed as excellent in 85.13%, good--in 13.11% and satisfactory in 1.77% of patients. After high tibial osteotomy the results were considered very good in 54.18% of patients, good--in 32.29%, satisfactory--in 6.25%, and poor--in 7.8%. Partial knee arthroplasty is a resurfacing procedure, while high tibial osteotomy is used only to slow the overall degenerative process with gradual progressive exacerbation of osteoarthritis with age. The results after prosthetic treatment had a better dynamics than that in high tibial osteotomy.","author":[{"dropping-particle":"","family":"Karamitev","given":"Stanislav S.","non-dropping-particle":"","parse-names":false,"suffix":""},{"dropping-particle":"","family":"Stavrev","given":"Vladimir P.","non-dropping-particle":"","parse-names":false,"suffix":""},{"dropping-particle":"","family":"Chifligarov","given":"Albert G.","non-dropping-particle":"","parse-names":false,"suffix":""}],"container-title":"Folia medica","id":"ITEM-1","issue":"1","issued":{"date-parts":[["2014"]]},"page":"11-19","title":"Comparative analysis of the results obtained after unicondylar knee arthroplasty and high tibial osteotomy in isolated gonarthrosis.","type":"article-journal","volume":"56"},"uris":["http://www.mendeley.com/documents/?uuid=47efc59e-8c46-455d-bc07-22e2c811132c"]}],"mendeley":{"formattedCitation":"[19]","plainTextFormattedCitation":"[19]","previouslyFormattedCitation":"[19]"},"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[19]</w:t>
            </w:r>
            <w:r w:rsidRPr="00EE4749">
              <w:rPr>
                <w:rFonts w:ascii="Times New Roman" w:hAnsi="Times New Roman" w:cs="Times New Roman"/>
                <w:sz w:val="20"/>
                <w:szCs w:val="20"/>
                <w:lang w:val="en-US"/>
              </w:rPr>
              <w:fldChar w:fldCharType="end"/>
            </w:r>
            <w:bookmarkEnd w:id="17"/>
          </w:p>
        </w:tc>
        <w:tc>
          <w:tcPr>
            <w:tcW w:w="2226" w:type="dxa"/>
          </w:tcPr>
          <w:p w14:paraId="1D461EC6"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84" w:type="dxa"/>
          </w:tcPr>
          <w:p w14:paraId="261760E8"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36" w:type="dxa"/>
          </w:tcPr>
          <w:p w14:paraId="69ED68FD"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96" w:type="dxa"/>
          </w:tcPr>
          <w:p w14:paraId="53E1A167"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06" w:type="dxa"/>
          </w:tcPr>
          <w:p w14:paraId="11F9D10D"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446" w:type="dxa"/>
          </w:tcPr>
          <w:p w14:paraId="37D59107"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022" w:type="dxa"/>
          </w:tcPr>
          <w:p w14:paraId="172980F4" w14:textId="0740A48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255" w:type="dxa"/>
          </w:tcPr>
          <w:p w14:paraId="2E44C817"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823" w:type="dxa"/>
          </w:tcPr>
          <w:p w14:paraId="1FBCDDB8" w14:textId="1FA7A0D8" w:rsidR="007248D9" w:rsidRPr="00EE4749" w:rsidRDefault="007248D9" w:rsidP="007248D9">
            <w:pPr>
              <w:jc w:val="center"/>
              <w:rPr>
                <w:rFonts w:ascii="Times New Roman" w:hAnsi="Times New Roman" w:cs="Times New Roman"/>
                <w:sz w:val="20"/>
                <w:szCs w:val="20"/>
              </w:rPr>
            </w:pPr>
            <w:r w:rsidRPr="00EE4749">
              <w:rPr>
                <w:rFonts w:ascii="Times New Roman" w:hAnsi="Times New Roman" w:cs="Times New Roman"/>
                <w:sz w:val="20"/>
                <w:szCs w:val="20"/>
              </w:rPr>
              <w:t>7</w:t>
            </w:r>
          </w:p>
        </w:tc>
      </w:tr>
      <w:tr w:rsidR="007248D9" w:rsidRPr="00EE4749" w14:paraId="1D0C371D" w14:textId="77777777" w:rsidTr="00115A76">
        <w:trPr>
          <w:trHeight w:val="522"/>
        </w:trPr>
        <w:tc>
          <w:tcPr>
            <w:tcW w:w="1256" w:type="dxa"/>
          </w:tcPr>
          <w:p w14:paraId="32431AEF" w14:textId="68679E94" w:rsidR="007248D9" w:rsidRPr="00EE4749" w:rsidRDefault="007248D9" w:rsidP="007248D9">
            <w:pPr>
              <w:rPr>
                <w:rFonts w:ascii="Times New Roman" w:hAnsi="Times New Roman" w:cs="Times New Roman"/>
                <w:sz w:val="20"/>
                <w:szCs w:val="20"/>
              </w:rPr>
            </w:pPr>
            <w:r w:rsidRPr="00EE4749">
              <w:rPr>
                <w:rFonts w:ascii="Times New Roman" w:hAnsi="Times New Roman" w:cs="Times New Roman"/>
                <w:sz w:val="20"/>
                <w:szCs w:val="20"/>
                <w:lang w:val="en-US"/>
              </w:rPr>
              <w:t>W-Dahl et al., 2010</w:t>
            </w:r>
            <w:bookmarkStart w:id="18" w:name="_Hlk67344817"/>
            <w:r w:rsidRPr="00EE4749">
              <w:rPr>
                <w:rFonts w:ascii="Times New Roman" w:hAnsi="Times New Roman" w:cs="Times New Roman"/>
                <w:sz w:val="20"/>
                <w:szCs w:val="20"/>
                <w:lang w:val="en-US"/>
              </w:rPr>
              <w:t xml:space="preserve"> </w:t>
            </w:r>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{"citationItems":[{"id":"ITEM-1","itemData":{"DOI":"10.3109/17453670903413186","abstract":"Background and purpose In Sweden, surgery for knee osteoarthritis (OA) in patients younger than 55 years of age has doubled during the last 10 years. We evaluated the use of 3 surgical alternatives: high tibial osteotomy (HTO), unicompartmental arthroplasty (UKA), and total knee arthroplasty (TKA). We also examined the outcome, expressed by rate of revision. Methods The numbers of all procedures during 1998-2007 were obtained from the Swedish Knee Arthroplasty Register (SKAR) (UKA &lt; 55 years: n = 1,050; UKA ≥ 55 years: n = 7,743; TKA &lt; 55 years: n = 2,832; TKA ≥ 55 years: n = 62,829) and the National Board of Health and Welfare (NHW) (HTO 25-55 years: n = 2,266). The revision rate (presented as life tables) was based on the SKAR material for arthroplasties. For HTOs, a single institutional series of 450 patients aged 30-64 years was used to calculate the revision rate and to compare it to that for UKAs (n = 4,799; age 30-64 years). Results During the 10 years, the use of TKA in patients younger than 55 years increased fivefold. While UKA increased threefold, its use diminished in the last 2 years. Although the use of HTO halved during the period, it is still used more often than UKA. The risk of revision increased in patients younger than 55 years and was lower for TKA (9%) than for UKA (24%). The revision rate was similar for HTO (17%) and for UKA (17%) in patients aged 30-64 years. Interpretation TKA is the preferred method for young OA patients in Sweden today. The use of HTO and UKA has diminished , and as the few operations are spread over many hospitals, there is a risk of gradual loss of experience with respect to patient selection and surgical routine-with a negative effect on outcome. Thus, there is a risk that these treatment alternatives for younger patients will eventually be abandoned.","author":[{"dropping-particle":"","family":"W-Dahl","given":"Annette","non-dropping-particle":"","parse-names":false,"suffix":""},{"dropping-particle":"","family":"Robertsson","given":"Otto","non-dropping-particle":"","parse-names":false,"suffix":""},{"dropping-particle":"","family":"Lidgren","given":"Lars","non-dropping-particle":"","parse-names":false,"suffix":""}],"container-title":"Acta Orthopaedica","id":"ITEM-1","issue":"2","issued":{"date-parts":[["2010"]]},"page":"161-164","title":"Surgery for knee osteoarthritis in younger patients A Swedish Register Study","type":"article-journal","volume":"81"},"uris":["http://www.mendeley.com/documents/?uuid=bed283dc-c702-3900-8d1d-ad707bd3f229"]}],"mendeley":{"formattedCitation":"[20]","plainTextFormattedCitation":"[20]","previouslyFormattedCitation":"[20]"},"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[20]</w:t>
            </w:r>
            <w:r w:rsidRPr="00EE4749">
              <w:rPr>
                <w:rFonts w:ascii="Times New Roman" w:hAnsi="Times New Roman" w:cs="Times New Roman"/>
                <w:sz w:val="20"/>
                <w:szCs w:val="20"/>
                <w:lang w:val="en-US"/>
              </w:rPr>
              <w:fldChar w:fldCharType="end"/>
            </w:r>
            <w:bookmarkEnd w:id="18"/>
          </w:p>
        </w:tc>
        <w:tc>
          <w:tcPr>
            <w:tcW w:w="2226" w:type="dxa"/>
          </w:tcPr>
          <w:p w14:paraId="536D13BF"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84" w:type="dxa"/>
          </w:tcPr>
          <w:p w14:paraId="1A9B66D2"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36" w:type="dxa"/>
          </w:tcPr>
          <w:p w14:paraId="56C4575C"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96" w:type="dxa"/>
          </w:tcPr>
          <w:p w14:paraId="455852CB"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06" w:type="dxa"/>
          </w:tcPr>
          <w:p w14:paraId="686CFE93"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446" w:type="dxa"/>
          </w:tcPr>
          <w:p w14:paraId="386F3C86"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022" w:type="dxa"/>
          </w:tcPr>
          <w:p w14:paraId="1E71A278"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255" w:type="dxa"/>
          </w:tcPr>
          <w:p w14:paraId="08729B81"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823" w:type="dxa"/>
          </w:tcPr>
          <w:p w14:paraId="2FC46966" w14:textId="77777777" w:rsidR="007248D9" w:rsidRPr="00EE4749" w:rsidRDefault="007248D9" w:rsidP="007248D9">
            <w:pPr>
              <w:jc w:val="center"/>
              <w:rPr>
                <w:rFonts w:ascii="Times New Roman" w:hAnsi="Times New Roman" w:cs="Times New Roman"/>
                <w:sz w:val="20"/>
                <w:szCs w:val="20"/>
              </w:rPr>
            </w:pPr>
            <w:r w:rsidRPr="00EE4749">
              <w:rPr>
                <w:rFonts w:ascii="Times New Roman" w:hAnsi="Times New Roman" w:cs="Times New Roman"/>
                <w:sz w:val="20"/>
                <w:szCs w:val="20"/>
              </w:rPr>
              <w:t>7</w:t>
            </w:r>
          </w:p>
        </w:tc>
      </w:tr>
      <w:tr w:rsidR="007248D9" w:rsidRPr="00EE4749" w14:paraId="68D0A52D" w14:textId="77777777" w:rsidTr="00115A76">
        <w:trPr>
          <w:trHeight w:val="507"/>
        </w:trPr>
        <w:tc>
          <w:tcPr>
            <w:tcW w:w="1256" w:type="dxa"/>
          </w:tcPr>
          <w:p w14:paraId="78AB0AD4" w14:textId="0BAD4376" w:rsidR="007248D9" w:rsidRPr="00EE4749" w:rsidRDefault="007248D9" w:rsidP="007248D9">
            <w:pPr>
              <w:rPr>
                <w:rFonts w:ascii="Times New Roman" w:hAnsi="Times New Roman" w:cs="Times New Roman"/>
                <w:sz w:val="20"/>
                <w:szCs w:val="20"/>
              </w:rPr>
            </w:pPr>
            <w:proofErr w:type="spellStart"/>
            <w:r w:rsidRPr="00EE4749">
              <w:rPr>
                <w:rFonts w:ascii="Times New Roman" w:hAnsi="Times New Roman" w:cs="Times New Roman"/>
                <w:sz w:val="20"/>
                <w:szCs w:val="20"/>
                <w:lang w:val="en-US"/>
              </w:rPr>
              <w:t>Dettoni</w:t>
            </w:r>
            <w:proofErr w:type="spellEnd"/>
            <w:r w:rsidRPr="00EE4749">
              <w:rPr>
                <w:rFonts w:ascii="Times New Roman" w:hAnsi="Times New Roman" w:cs="Times New Roman"/>
                <w:sz w:val="20"/>
                <w:szCs w:val="20"/>
                <w:lang w:val="en-US"/>
              </w:rPr>
              <w:t xml:space="preserve"> et al., 2008</w:t>
            </w:r>
            <w:bookmarkStart w:id="19" w:name="_Hlk67344204"/>
            <w:r w:rsidRPr="00EE4749">
              <w:rPr>
                <w:rFonts w:ascii="Times New Roman" w:hAnsi="Times New Roman" w:cs="Times New Roman"/>
                <w:sz w:val="20"/>
                <w:szCs w:val="20"/>
                <w:lang w:val="en-US"/>
              </w:rPr>
              <w:t xml:space="preserve"> </w:t>
            </w:r>
            <w:bookmarkStart w:id="20" w:name="_Hlk67344422"/>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{"citationItems":[{"id":"ITEM-1","itemData":{"ISSN":"15551377","PMID":"21045985","abstract":"This review examined the literature regarding high tibial osteotomy (HTO) and unicompartmental knee arthroplasty (UKA), focusing on indications, survivorship and functional outcomes of the two procedures, as well as revision to total knee arthroplasty (TKA) after failed HTO or UKA. HTO and UKA share the same indications in selected cases of medial unicompartmental knee arthrosis. These indications include patients who are: 1) 55 to 65 years old; 2) moderately active; 3) non-obese; 4) have mild varus malalignment; 5) no joint instability; 6) good range of motion; and 7) moderate unicompartmental arthrosis. Few studies are available in the literature comparing the outcomes of HTO and UKA. Those few studies show slightly better results for UKA in terms of survivorship and functional outcome. Nevertheless, the differences are not remarkable, the study methods are not homogeneous and most of the papers report on closing wedge HTOs. For these reasons, no definitive conclusions can be drawn. TKA represents the revision option for both treatments and yields satisfactory functional outcomes and survivorship. Whether revision HTO and UKA-to-TKA perform any worse than primary TKA is still controversial. With the correct indications, both treatments produce durable and predictable outcomes in the treatment of medial unicompartmental arthrosis of the knee. There is no evidence of superior results of one treatment over the other.","author":[{"dropping-particle":"","family":"Dettoni","given":"Federico","non-dropping-particle":"","parse-names":false,"suffix":""},{"dropping-particle":"","family":"Bonasia","given":"Davide Edoardo","non-dropping-particle":"","parse-names":false,"suffix":""},{"dropping-particle":"","family":"Castoldi","given":"Filippo","non-dropping-particle":"","parse-names":false,"suffix":""},{"dropping-particle":"","family":"Bruzzone","given":"Matteo","non-dropping-particle":"","parse-names":false,"suffix":""},{"dropping-particle":"","family":"Blonna","given":"Davide","non-dropping-particle":"","parse-names":false,"suffix":""},{"dropping-particle":"","family":"Rossi","given":"Roberto","non-dropping-particle":"","parse-names":false,"suffix":""}],"container-title":"The Iowa orthopaedic journal","id":"ITEM-1","issued":{"date-parts":[["2010"]]},"page":"131-140","publisher":"University of Iowa","title":"High tibial osteotomy versus unicompartmental knee arthroplasty for medial compartment arthrosis of the knee: a review of the literature.","type":"article","volume":"30"},"uris":["http://www.mendeley.com/documents/?uuid=67c3a2e1-9904-3907-b5a4-72f57e9c62c2"]}],"mendeley":{"formattedCitation":"[21]","plainTextFormattedCitation":"[21]","previouslyFormattedCitation":"[21]"},"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[21]</w:t>
            </w:r>
            <w:r w:rsidRPr="00EE4749">
              <w:rPr>
                <w:rFonts w:ascii="Times New Roman" w:hAnsi="Times New Roman" w:cs="Times New Roman"/>
                <w:sz w:val="20"/>
                <w:szCs w:val="20"/>
                <w:lang w:val="en-US"/>
              </w:rPr>
              <w:fldChar w:fldCharType="end"/>
            </w:r>
            <w:bookmarkEnd w:id="19"/>
            <w:bookmarkEnd w:id="20"/>
          </w:p>
        </w:tc>
        <w:tc>
          <w:tcPr>
            <w:tcW w:w="2226" w:type="dxa"/>
          </w:tcPr>
          <w:p w14:paraId="54CB692A"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84" w:type="dxa"/>
          </w:tcPr>
          <w:p w14:paraId="1A8E5DBB"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36" w:type="dxa"/>
          </w:tcPr>
          <w:p w14:paraId="62AE90DE"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96" w:type="dxa"/>
          </w:tcPr>
          <w:p w14:paraId="5DF88EDB"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06" w:type="dxa"/>
          </w:tcPr>
          <w:p w14:paraId="238D4B37"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446" w:type="dxa"/>
          </w:tcPr>
          <w:p w14:paraId="7E8B46C8"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022" w:type="dxa"/>
          </w:tcPr>
          <w:p w14:paraId="402763A3"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255" w:type="dxa"/>
          </w:tcPr>
          <w:p w14:paraId="42263D28" w14:textId="7777777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823" w:type="dxa"/>
          </w:tcPr>
          <w:p w14:paraId="5004F24F" w14:textId="77777777" w:rsidR="007248D9" w:rsidRPr="00EE4749" w:rsidRDefault="007248D9" w:rsidP="007248D9">
            <w:pPr>
              <w:jc w:val="center"/>
              <w:rPr>
                <w:rFonts w:ascii="Times New Roman" w:hAnsi="Times New Roman" w:cs="Times New Roman"/>
                <w:sz w:val="20"/>
                <w:szCs w:val="20"/>
              </w:rPr>
            </w:pPr>
            <w:r w:rsidRPr="00EE4749">
              <w:rPr>
                <w:rFonts w:ascii="Times New Roman" w:hAnsi="Times New Roman" w:cs="Times New Roman"/>
                <w:sz w:val="20"/>
                <w:szCs w:val="20"/>
              </w:rPr>
              <w:t>9</w:t>
            </w:r>
          </w:p>
        </w:tc>
      </w:tr>
      <w:tr w:rsidR="007248D9" w:rsidRPr="00EE4749" w14:paraId="422BE5D7" w14:textId="77777777" w:rsidTr="00115A76">
        <w:trPr>
          <w:trHeight w:val="507"/>
        </w:trPr>
        <w:tc>
          <w:tcPr>
            <w:tcW w:w="1256" w:type="dxa"/>
          </w:tcPr>
          <w:p w14:paraId="42B409F8" w14:textId="3D05655F" w:rsidR="007248D9" w:rsidRPr="00EE4749" w:rsidRDefault="007248D9" w:rsidP="007248D9">
            <w:pPr>
              <w:rPr>
                <w:rFonts w:ascii="Times New Roman" w:hAnsi="Times New Roman" w:cs="Times New Roman"/>
                <w:sz w:val="20"/>
                <w:szCs w:val="20"/>
              </w:rPr>
            </w:pPr>
            <w:proofErr w:type="spellStart"/>
            <w:r w:rsidRPr="00EE4749">
              <w:rPr>
                <w:rFonts w:ascii="Times New Roman" w:hAnsi="Times New Roman" w:cs="Times New Roman"/>
                <w:sz w:val="20"/>
                <w:szCs w:val="20"/>
                <w:lang w:val="en-US"/>
              </w:rPr>
              <w:lastRenderedPageBreak/>
              <w:t>Weale</w:t>
            </w:r>
            <w:proofErr w:type="spellEnd"/>
            <w:r w:rsidRPr="00EE4749">
              <w:rPr>
                <w:rFonts w:ascii="Times New Roman" w:hAnsi="Times New Roman" w:cs="Times New Roman"/>
                <w:sz w:val="20"/>
                <w:szCs w:val="20"/>
                <w:lang w:val="en-US"/>
              </w:rPr>
              <w:t xml:space="preserve"> et al., 1994 </w:t>
            </w:r>
            <w:bookmarkStart w:id="21" w:name="_Hlk67344144"/>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{"citationItems":[{"id":"ITEM-1","itemData":{"author":[{"dropping-particle":"","family":"Weale","given":"AE","non-dropping-particle":"","parse-names":false,"suffix":""},{"dropping-particle":"","family":"related","given":"JH Newman - Clinical orthopaedics and","non-dropping-particle":"","parse-names":false,"suffix":""},{"dropping-particle":"","family":"1994","given":"undefined","non-dropping-particle":"","parse-names":false,"suffix":""}],"container-title":"europepmc.org","id":"ITEM-1","issued":{"date-parts":[["0"]]},"title":"Unicompartmental arthroplasty and high tibial osteotomy for osteoarthrosis of the knee. A comparative study with a 12-to 17-year follow-up period.","type":"article-journal"},"uris":["http://www.mendeley.com/documents/?uuid=a30c63d2-f720-311b-a54d-c2cf6e3e1f0c"]}],"mendeley":{"formattedCitation":"[22]","plainTextFormattedCitation":"[22]","previouslyFormattedCitation":"[22]"},"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[22]</w:t>
            </w:r>
            <w:r w:rsidRPr="00EE4749">
              <w:rPr>
                <w:rFonts w:ascii="Times New Roman" w:hAnsi="Times New Roman" w:cs="Times New Roman"/>
                <w:sz w:val="20"/>
                <w:szCs w:val="20"/>
                <w:lang w:val="en-US"/>
              </w:rPr>
              <w:fldChar w:fldCharType="end"/>
            </w:r>
            <w:bookmarkEnd w:id="21"/>
          </w:p>
        </w:tc>
        <w:tc>
          <w:tcPr>
            <w:tcW w:w="2226" w:type="dxa"/>
          </w:tcPr>
          <w:p w14:paraId="0FEF4364" w14:textId="15914AD5"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84" w:type="dxa"/>
          </w:tcPr>
          <w:p w14:paraId="68F91410" w14:textId="01F07EE9"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36" w:type="dxa"/>
          </w:tcPr>
          <w:p w14:paraId="3683A79E" w14:textId="02416699"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96" w:type="dxa"/>
          </w:tcPr>
          <w:p w14:paraId="73C23143" w14:textId="5CCCBF95"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06" w:type="dxa"/>
          </w:tcPr>
          <w:p w14:paraId="7BE8C183" w14:textId="2209A6AC"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446" w:type="dxa"/>
          </w:tcPr>
          <w:p w14:paraId="2B54A744" w14:textId="674BC99A"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022" w:type="dxa"/>
          </w:tcPr>
          <w:p w14:paraId="69A1AC19" w14:textId="61820930"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255" w:type="dxa"/>
          </w:tcPr>
          <w:p w14:paraId="7A543776" w14:textId="54A75406"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823" w:type="dxa"/>
          </w:tcPr>
          <w:p w14:paraId="0BE097CA" w14:textId="256AD6DB" w:rsidR="007248D9" w:rsidRPr="00EE4749" w:rsidRDefault="007248D9" w:rsidP="007248D9">
            <w:pPr>
              <w:jc w:val="center"/>
              <w:rPr>
                <w:rFonts w:ascii="Times New Roman" w:hAnsi="Times New Roman" w:cs="Times New Roman"/>
                <w:sz w:val="20"/>
                <w:szCs w:val="20"/>
              </w:rPr>
            </w:pPr>
            <w:r w:rsidRPr="00EE4749">
              <w:rPr>
                <w:rFonts w:ascii="Times New Roman" w:hAnsi="Times New Roman" w:cs="Times New Roman"/>
                <w:sz w:val="20"/>
                <w:szCs w:val="20"/>
              </w:rPr>
              <w:t>7</w:t>
            </w:r>
          </w:p>
        </w:tc>
      </w:tr>
      <w:tr w:rsidR="007248D9" w:rsidRPr="00EE4749" w14:paraId="769913D9" w14:textId="77777777" w:rsidTr="00115A76">
        <w:trPr>
          <w:trHeight w:val="507"/>
        </w:trPr>
        <w:tc>
          <w:tcPr>
            <w:tcW w:w="1256" w:type="dxa"/>
          </w:tcPr>
          <w:p w14:paraId="586D3EB9" w14:textId="07C635AE" w:rsidR="007248D9" w:rsidRPr="00EE4749" w:rsidRDefault="007248D9" w:rsidP="007248D9">
            <w:pPr>
              <w:rPr>
                <w:rFonts w:ascii="Times New Roman" w:hAnsi="Times New Roman" w:cs="Times New Roman"/>
                <w:sz w:val="20"/>
                <w:szCs w:val="20"/>
              </w:rPr>
            </w:pPr>
            <w:r w:rsidRPr="00EE4749">
              <w:rPr>
                <w:rFonts w:ascii="Times New Roman" w:hAnsi="Times New Roman" w:cs="Times New Roman"/>
                <w:sz w:val="20"/>
                <w:szCs w:val="20"/>
                <w:lang w:val="en-US"/>
              </w:rPr>
              <w:t>Jefferson RJ et al., 1989</w:t>
            </w:r>
            <w:bookmarkStart w:id="22" w:name="_Hlk67344844"/>
            <w:r w:rsidRPr="00EE4749">
              <w:rPr>
                <w:rFonts w:ascii="Times New Roman" w:hAnsi="Times New Roman" w:cs="Times New Roman"/>
                <w:sz w:val="20"/>
                <w:szCs w:val="20"/>
                <w:lang w:val="en-US"/>
              </w:rPr>
              <w:t xml:space="preserve"> </w:t>
            </w:r>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{"citationItems":[{"id":"ITEM-1","itemData":{"DOI":"10.1016/0268-0033(89)90008-9","ISSN":"02680033","abstract":"A prospective biomechanical study of unicompartmental arthroplasty using the Oxford Meniscal Knee, total condylar arthroplasty, and tibial osteotomy is described. The 50 patients all had degenerative osteoarthrosis of the knee associated with a varus or valgus deformity. The decision as to which operation a patient would undergo was made on clinical grounds alone; 20 patients underwent unicompartmental arthroplasty, 10 patients total condylar arthroplasty, and 20 patients tibial osteotomy. Dynamic assessments of functional knee joint biomechanics were performed both before and after the surgery. Cadence, velocity and stride length improved in all three groups. Changes in sagittal plane knee parameters were generally small. In the corona) plane, all groups showed correction of varus or valgus deformity, with corresponding decreases in the adduction/ abduction moment. In the unicompartmental group the postoperative corona) plane angulation was predictable from its preoperative value. Some overcorrection of the varus deformity was observed after tibial osteotomy, and the total condylar arthroplasty group showed a small degree of residual deformity. © 1989.","author":[{"dropping-particle":"","family":"Jefferson","given":"R. J.","non-dropping-particle":"","parse-names":false,"suffix":""},{"dropping-particle":"","family":"Whittle","given":"M. W.","non-dropping-particle":"","parse-names":false,"suffix":""}],"container-title":"Clinical Biomechanics","id":"ITEM-1","issue":"4","issued":{"date-parts":[["1989"]]},"page":"232-242","title":"Biomechanical assessment of unicompartmental knee arthroplasty, total condylar arthroplasty and tibial osteotom","type":"article-journal","volume":"4"},"uris":["http://www.mendeley.com/documents/?uuid=f80827fc-3752-42b6-8130-a2aaef7a5a85"]}],"mendeley":{"formattedCitation":"[23]","plainTextFormattedCitation":"[23]","previouslyFormattedCitation":"[23]"},"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[23]</w:t>
            </w:r>
            <w:r w:rsidRPr="00EE4749">
              <w:rPr>
                <w:rFonts w:ascii="Times New Roman" w:hAnsi="Times New Roman" w:cs="Times New Roman"/>
                <w:sz w:val="20"/>
                <w:szCs w:val="20"/>
                <w:lang w:val="en-US"/>
              </w:rPr>
              <w:fldChar w:fldCharType="end"/>
            </w:r>
            <w:bookmarkEnd w:id="22"/>
          </w:p>
        </w:tc>
        <w:tc>
          <w:tcPr>
            <w:tcW w:w="2226" w:type="dxa"/>
          </w:tcPr>
          <w:p w14:paraId="720C3584" w14:textId="324F3F00"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84" w:type="dxa"/>
          </w:tcPr>
          <w:p w14:paraId="596E01E3" w14:textId="2530AE28"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36" w:type="dxa"/>
          </w:tcPr>
          <w:p w14:paraId="6C4B41E5" w14:textId="5795EF20"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96" w:type="dxa"/>
          </w:tcPr>
          <w:p w14:paraId="1E2BE5A1" w14:textId="35DE9B1F"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06" w:type="dxa"/>
          </w:tcPr>
          <w:p w14:paraId="151519A6" w14:textId="2E037A1D"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446" w:type="dxa"/>
          </w:tcPr>
          <w:p w14:paraId="6585A5B5" w14:textId="56707C0E"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022" w:type="dxa"/>
          </w:tcPr>
          <w:p w14:paraId="5332F7A1" w14:textId="345416E7"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255" w:type="dxa"/>
          </w:tcPr>
          <w:p w14:paraId="6552C463" w14:textId="18FF7263"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823" w:type="dxa"/>
          </w:tcPr>
          <w:p w14:paraId="3344EF32" w14:textId="4CE26C8A" w:rsidR="007248D9" w:rsidRPr="00EE4749" w:rsidRDefault="007248D9" w:rsidP="007248D9">
            <w:pPr>
              <w:jc w:val="center"/>
              <w:rPr>
                <w:rFonts w:ascii="Times New Roman" w:hAnsi="Times New Roman" w:cs="Times New Roman"/>
                <w:sz w:val="20"/>
                <w:szCs w:val="20"/>
              </w:rPr>
            </w:pPr>
            <w:r w:rsidRPr="00EE4749">
              <w:rPr>
                <w:rFonts w:ascii="Times New Roman" w:hAnsi="Times New Roman" w:cs="Times New Roman"/>
                <w:sz w:val="20"/>
                <w:szCs w:val="20"/>
              </w:rPr>
              <w:t>7</w:t>
            </w:r>
          </w:p>
        </w:tc>
      </w:tr>
      <w:tr w:rsidR="007248D9" w:rsidRPr="00EE4749" w14:paraId="58B53B2D" w14:textId="77777777" w:rsidTr="00115A76">
        <w:trPr>
          <w:trHeight w:val="507"/>
        </w:trPr>
        <w:tc>
          <w:tcPr>
            <w:tcW w:w="1256" w:type="dxa"/>
          </w:tcPr>
          <w:p w14:paraId="5908F8BF" w14:textId="0D19E3B1" w:rsidR="007248D9" w:rsidRPr="00EE4749" w:rsidRDefault="007248D9" w:rsidP="007248D9">
            <w:pPr>
              <w:rPr>
                <w:rFonts w:ascii="Times New Roman" w:hAnsi="Times New Roman" w:cs="Times New Roman"/>
                <w:sz w:val="20"/>
                <w:szCs w:val="20"/>
              </w:rPr>
            </w:pPr>
            <w:r w:rsidRPr="00EE4749">
              <w:rPr>
                <w:rFonts w:ascii="Times New Roman" w:hAnsi="Times New Roman" w:cs="Times New Roman"/>
                <w:sz w:val="20"/>
                <w:szCs w:val="20"/>
                <w:lang w:val="en-US"/>
              </w:rPr>
              <w:t xml:space="preserve">Broughton et al., 1986 </w:t>
            </w:r>
            <w:bookmarkStart w:id="23" w:name="_Hlk67344447"/>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{"citationItems":[{"id":"ITEM-1","itemData":{"DOI":"10.1302/0301-620x.68b3.3733813","ISSN":"0301620X","PMID":"3733813","abstract":"We have made a restrospective comparison between the results of 49 high tibial osteotomies and 42 unicompartmental replacement arthroplasties performed for the treatment of osteoarthritis of the knee, assessed 5 to 10 years after operation. The type of operation depended on the policy of the consultant responsible for treatment but analysis of the pre-operative findings showed that the two groups were sufficiently similar for direct comparison between them. In replacement group, 32 (76%) were good, 4 were fair, 3 were poor and 3 had been revised. In the osteotomy group 21 (43%) were good, 11 were fair, 7 were poor and 10 had been revised. It was concluded that, in this series, the results of unicompartmental replacement were significantly better and that this group had shown no sign of late deterioration.","author":[{"dropping-particle":"","family":"Broughton","given":"N. S.","non-dropping-particle":"","parse-names":false,"suffix":""},{"dropping-particle":"","family":"Newman","given":"J. H.","non-dropping-particle":"","parse-names":false,"suffix":""},{"dropping-particle":"","family":"Baily","given":"R. A.J.","non-dropping-particle":"","parse-names":false,"suffix":""}],"container-title":"Journal of Bone and Joint Surgery - Series B","id":"ITEM-1","issue":"3","issued":{"date-parts":[["1986"]]},"page":"447-452","title":"Unicompartmental replacement and high tibial osteotomy for osteoarthritis of the knee. A comparative study after 5-10 years' follow-up","type":"article-journal","volume":"68"},"uris":["http://www.mendeley.com/documents/?uuid=4493af4d-3e69-4b6b-bd04-8b51594bc2bc"]}],"mendeley":{"formattedCitation":"[24]","plainTextFormattedCitation":"[24]","previouslyFormattedCitation":"[24]"},"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00087227" w:rsidRPr="00EE4749">
              <w:rPr>
                <w:rFonts w:ascii="Times New Roman" w:hAnsi="Times New Roman" w:cs="Times New Roman"/>
                <w:noProof/>
                <w:sz w:val="20"/>
                <w:szCs w:val="20"/>
                <w:lang w:val="en-US"/>
              </w:rPr>
              <w:t>[24]</w:t>
            </w:r>
            <w:r w:rsidRPr="00EE4749">
              <w:rPr>
                <w:rFonts w:ascii="Times New Roman" w:hAnsi="Times New Roman" w:cs="Times New Roman"/>
                <w:sz w:val="20"/>
                <w:szCs w:val="20"/>
                <w:lang w:val="en-US"/>
              </w:rPr>
              <w:fldChar w:fldCharType="end"/>
            </w:r>
            <w:bookmarkEnd w:id="23"/>
          </w:p>
        </w:tc>
        <w:tc>
          <w:tcPr>
            <w:tcW w:w="2226" w:type="dxa"/>
          </w:tcPr>
          <w:p w14:paraId="483B9FE9" w14:textId="33495654"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84" w:type="dxa"/>
          </w:tcPr>
          <w:p w14:paraId="32729665" w14:textId="4D0C28D3"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36" w:type="dxa"/>
          </w:tcPr>
          <w:p w14:paraId="710077FB" w14:textId="5A0A026E"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96" w:type="dxa"/>
          </w:tcPr>
          <w:p w14:paraId="3A07C97A" w14:textId="37F1CA48"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06" w:type="dxa"/>
          </w:tcPr>
          <w:p w14:paraId="57C9195F" w14:textId="4F9D210E"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446" w:type="dxa"/>
          </w:tcPr>
          <w:p w14:paraId="58DF395C" w14:textId="2E38AEF8"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022" w:type="dxa"/>
          </w:tcPr>
          <w:p w14:paraId="06A87530" w14:textId="703EA479"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255" w:type="dxa"/>
          </w:tcPr>
          <w:p w14:paraId="07A46218" w14:textId="79A5FF43" w:rsidR="007248D9" w:rsidRPr="00EE4749" w:rsidRDefault="007248D9"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823" w:type="dxa"/>
          </w:tcPr>
          <w:p w14:paraId="4853FA46" w14:textId="1F81AD4F" w:rsidR="007248D9" w:rsidRPr="00EE4749" w:rsidRDefault="007248D9" w:rsidP="007248D9">
            <w:pPr>
              <w:jc w:val="center"/>
              <w:rPr>
                <w:rFonts w:ascii="Times New Roman" w:hAnsi="Times New Roman" w:cs="Times New Roman"/>
                <w:sz w:val="20"/>
                <w:szCs w:val="20"/>
              </w:rPr>
            </w:pPr>
            <w:r w:rsidRPr="00EE4749">
              <w:rPr>
                <w:rFonts w:ascii="Times New Roman" w:hAnsi="Times New Roman" w:cs="Times New Roman"/>
                <w:sz w:val="20"/>
                <w:szCs w:val="20"/>
              </w:rPr>
              <w:t>7</w:t>
            </w:r>
          </w:p>
        </w:tc>
      </w:tr>
      <w:tr w:rsidR="00087227" w:rsidRPr="00EE4749" w14:paraId="334CD3E0" w14:textId="77777777" w:rsidTr="00115A76">
        <w:trPr>
          <w:trHeight w:val="507"/>
        </w:trPr>
        <w:tc>
          <w:tcPr>
            <w:tcW w:w="1256" w:type="dxa"/>
          </w:tcPr>
          <w:p w14:paraId="14DB1F39" w14:textId="246CBB58" w:rsidR="00087227" w:rsidRPr="00EE4749" w:rsidRDefault="00087227" w:rsidP="007248D9">
            <w:pPr>
              <w:rPr>
                <w:rFonts w:ascii="Times New Roman" w:hAnsi="Times New Roman" w:cs="Times New Roman"/>
                <w:sz w:val="20"/>
                <w:szCs w:val="20"/>
                <w:lang w:val="en-US"/>
              </w:rPr>
            </w:pPr>
            <w:proofErr w:type="spellStart"/>
            <w:r w:rsidRPr="00EE4749">
              <w:rPr>
                <w:rFonts w:ascii="Times New Roman" w:hAnsi="Times New Roman" w:cs="Times New Roman"/>
                <w:sz w:val="20"/>
                <w:szCs w:val="20"/>
                <w:lang w:val="en-US"/>
              </w:rPr>
              <w:t>Karpman</w:t>
            </w:r>
            <w:proofErr w:type="spellEnd"/>
            <w:r w:rsidRPr="00EE4749">
              <w:rPr>
                <w:rFonts w:ascii="Times New Roman" w:hAnsi="Times New Roman" w:cs="Times New Roman"/>
                <w:sz w:val="20"/>
                <w:szCs w:val="20"/>
                <w:lang w:val="en-US"/>
              </w:rPr>
              <w:t xml:space="preserve">  et al., 1982 </w:t>
            </w:r>
            <w:bookmarkStart w:id="24" w:name="_Hlk67344577"/>
            <w:r w:rsidRPr="00EE4749">
              <w:rPr>
                <w:rFonts w:ascii="Times New Roman" w:hAnsi="Times New Roman" w:cs="Times New Roman"/>
                <w:sz w:val="20"/>
                <w:szCs w:val="20"/>
                <w:lang w:val="en-US"/>
              </w:rPr>
              <w:fldChar w:fldCharType="begin" w:fldLock="1"/>
            </w:r>
            <w:r w:rsidR="00A44DE7" w:rsidRPr="00EE4749">
              <w:rPr>
                <w:rFonts w:ascii="Times New Roman" w:hAnsi="Times New Roman" w:cs="Times New Roman"/>
                <w:sz w:val="20"/>
                <w:szCs w:val="20"/>
                <w:lang w:val="en-US"/>
              </w:rPr>
              <w:instrText>ADDIN CSL_CITATION {"citationItems":[{"id":"ITEM-1","itemData":{"DOI":"10.3928/0147-7447-19820801-05","ISSN":"01477447","abstract":"Forty patients (44 knees) with unicompartmental arthritis of the knee were reviewed to assess the overall functional result following high tibial osteotomy as compared to unicompartmental prosthetic replacement. All patients were evaluated both pre- and postoperatively using a standardized computer form. Mean followup was 24 months in the osteotomy group, and 41 months in the prosthetic replacement group. Results in the osteotomy group were rated excellent in two patients, good in nine, and poor in 12. Results in the prosthetic replacement group were rated excellent in 10, good in nine and poor in two. We therefore believe that unicompartmental replacement offers a viable alternative to high tibial osteotomy in the treatment of unicompartmental arthritis of the knee if proper patient selection and precise component placement is employed.","author":[{"dropping-particle":"","family":"Karpman","given":"R. R.","non-dropping-particle":"","parse-names":false,"suffix":""},{"dropping-particle":"","family":"Volz","given":"R. G.","non-dropping-particle":"","parse-names":false,"suffix":""}],"container-title":"Orthopedics","id":"ITEM-1","issue":"8","issued":{"date-parts":[["1982"]]},"page":"989-991","publisher":"Orthopedics","title":"Osteotomy versus unicompartmental prosthetic replacement in the treatment of unicompartmental arthritis of the knee","type":"article-journal","volume":"5"},"uris":["http://www.mendeley.com/documents/?uuid=fb7f03b2-147a-37f7-a390-73c5a41b98cd"]}],"mendeley":{"formattedCitation":"[25]","plainTextFormattedCitation":"[25]","previouslyFormattedCitation":"[25]"},"properties":{"noteIndex":0},"schema":"https://github.com/citation-style-language/schema/raw/master/csl-citation.json"}</w:instrText>
            </w:r>
            <w:r w:rsidRPr="00EE4749">
              <w:rPr>
                <w:rFonts w:ascii="Times New Roman" w:hAnsi="Times New Roman" w:cs="Times New Roman"/>
                <w:sz w:val="20"/>
                <w:szCs w:val="20"/>
                <w:lang w:val="en-US"/>
              </w:rPr>
              <w:fldChar w:fldCharType="separate"/>
            </w:r>
            <w:r w:rsidRPr="00EE4749">
              <w:rPr>
                <w:rFonts w:ascii="Times New Roman" w:hAnsi="Times New Roman" w:cs="Times New Roman"/>
                <w:noProof/>
                <w:sz w:val="20"/>
                <w:szCs w:val="20"/>
                <w:lang w:val="en-US"/>
              </w:rPr>
              <w:t>[25]</w:t>
            </w:r>
            <w:r w:rsidRPr="00EE4749">
              <w:rPr>
                <w:rFonts w:ascii="Times New Roman" w:hAnsi="Times New Roman" w:cs="Times New Roman"/>
                <w:sz w:val="20"/>
                <w:szCs w:val="20"/>
                <w:lang w:val="en-US"/>
              </w:rPr>
              <w:fldChar w:fldCharType="end"/>
            </w:r>
            <w:bookmarkEnd w:id="24"/>
          </w:p>
        </w:tc>
        <w:tc>
          <w:tcPr>
            <w:tcW w:w="2226" w:type="dxa"/>
          </w:tcPr>
          <w:p w14:paraId="354983CE" w14:textId="7A779584" w:rsidR="00087227" w:rsidRPr="00EE4749" w:rsidRDefault="00087227"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84" w:type="dxa"/>
          </w:tcPr>
          <w:p w14:paraId="60525538" w14:textId="58AFD72C" w:rsidR="00087227" w:rsidRPr="00EE4749" w:rsidRDefault="00087227"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36" w:type="dxa"/>
          </w:tcPr>
          <w:p w14:paraId="519C27F3" w14:textId="6CDE9450" w:rsidR="00087227" w:rsidRPr="00EE4749" w:rsidRDefault="00087227"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196" w:type="dxa"/>
          </w:tcPr>
          <w:p w14:paraId="6EB5709D" w14:textId="31ECBF65" w:rsidR="00087227" w:rsidRPr="00EE4749" w:rsidRDefault="00087227"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706" w:type="dxa"/>
          </w:tcPr>
          <w:p w14:paraId="41AE20FC" w14:textId="627742C2" w:rsidR="00087227" w:rsidRPr="00EE4749" w:rsidRDefault="00087227"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446" w:type="dxa"/>
          </w:tcPr>
          <w:p w14:paraId="50343764" w14:textId="1448E7BE" w:rsidR="00087227" w:rsidRPr="00EE4749" w:rsidRDefault="00087227"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022" w:type="dxa"/>
          </w:tcPr>
          <w:p w14:paraId="7E3DDAFB" w14:textId="4BEF20A4" w:rsidR="00087227" w:rsidRPr="00EE4749" w:rsidRDefault="00087227"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1255" w:type="dxa"/>
          </w:tcPr>
          <w:p w14:paraId="2606BF5A" w14:textId="2FC40B65" w:rsidR="00087227" w:rsidRPr="00EE4749" w:rsidRDefault="00087227" w:rsidP="007248D9">
            <w:pPr>
              <w:jc w:val="center"/>
              <w:rPr>
                <w:rFonts w:ascii="Times New Roman" w:hAnsi="Times New Roman" w:cs="Times New Roman"/>
                <w:color w:val="000000"/>
                <w:sz w:val="20"/>
                <w:szCs w:val="20"/>
              </w:rPr>
            </w:pPr>
            <w:r w:rsidRPr="00EE4749">
              <w:rPr>
                <w:rFonts w:ascii="Times New Roman" w:hAnsi="Times New Roman" w:cs="Times New Roman"/>
                <w:color w:val="000000"/>
                <w:sz w:val="20"/>
                <w:szCs w:val="20"/>
              </w:rPr>
              <w:t>*</w:t>
            </w:r>
          </w:p>
        </w:tc>
        <w:tc>
          <w:tcPr>
            <w:tcW w:w="823" w:type="dxa"/>
          </w:tcPr>
          <w:p w14:paraId="6BE7B663" w14:textId="0EF5F70A" w:rsidR="00087227" w:rsidRPr="00EE4749" w:rsidRDefault="00087227" w:rsidP="007248D9">
            <w:pPr>
              <w:jc w:val="center"/>
              <w:rPr>
                <w:rFonts w:ascii="Times New Roman" w:hAnsi="Times New Roman" w:cs="Times New Roman"/>
                <w:sz w:val="20"/>
                <w:szCs w:val="20"/>
              </w:rPr>
            </w:pPr>
            <w:r w:rsidRPr="00EE4749">
              <w:rPr>
                <w:rFonts w:ascii="Times New Roman" w:hAnsi="Times New Roman" w:cs="Times New Roman"/>
                <w:sz w:val="20"/>
                <w:szCs w:val="20"/>
              </w:rPr>
              <w:t>6</w:t>
            </w:r>
          </w:p>
        </w:tc>
      </w:tr>
    </w:tbl>
    <w:p w14:paraId="3ABF0D66" w14:textId="4E71C8A3" w:rsidR="006762CB" w:rsidRPr="00EE4749" w:rsidRDefault="006762CB">
      <w:pPr>
        <w:rPr>
          <w:rFonts w:ascii="Times New Roman" w:hAnsi="Times New Roman" w:cs="Times New Roman"/>
          <w:sz w:val="20"/>
          <w:szCs w:val="20"/>
          <w:lang w:val="en-US"/>
        </w:rPr>
      </w:pPr>
    </w:p>
    <w:p w14:paraId="50BCF6C6" w14:textId="77777777" w:rsidR="006762CB" w:rsidRPr="00EE4749" w:rsidRDefault="006762CB" w:rsidP="006762CB">
      <w:pPr>
        <w:spacing w:line="240" w:lineRule="auto"/>
        <w:rPr>
          <w:rFonts w:ascii="Times New Roman" w:hAnsi="Times New Roman" w:cs="Times New Roman"/>
          <w:sz w:val="20"/>
          <w:szCs w:val="20"/>
        </w:rPr>
      </w:pPr>
      <w:r w:rsidRPr="00EE4749">
        <w:rPr>
          <w:rFonts w:ascii="Times New Roman" w:hAnsi="Times New Roman" w:cs="Times New Roman"/>
          <w:sz w:val="20"/>
          <w:szCs w:val="20"/>
          <w:vertAlign w:val="superscript"/>
        </w:rPr>
        <w:t xml:space="preserve">1 </w:t>
      </w:r>
      <w:r w:rsidRPr="00EE4749">
        <w:rPr>
          <w:rFonts w:ascii="Times New Roman" w:hAnsi="Times New Roman" w:cs="Times New Roman"/>
          <w:sz w:val="20"/>
          <w:szCs w:val="20"/>
        </w:rPr>
        <w:t>If the exposure data was obtained from prescription database or medical record, a point was assigned.</w:t>
      </w:r>
    </w:p>
    <w:p w14:paraId="7C53EAF5" w14:textId="77777777" w:rsidR="006762CB" w:rsidRPr="00EE4749" w:rsidRDefault="006762CB" w:rsidP="006762CB">
      <w:pPr>
        <w:spacing w:line="240" w:lineRule="auto"/>
        <w:rPr>
          <w:rFonts w:ascii="Times New Roman" w:hAnsi="Times New Roman" w:cs="Times New Roman"/>
          <w:sz w:val="20"/>
          <w:szCs w:val="20"/>
          <w:lang w:bidi="ar-EG"/>
        </w:rPr>
      </w:pPr>
      <w:r w:rsidRPr="00EE4749">
        <w:rPr>
          <w:rFonts w:ascii="Times New Roman" w:hAnsi="Times New Roman" w:cs="Times New Roman"/>
          <w:sz w:val="20"/>
          <w:szCs w:val="20"/>
          <w:vertAlign w:val="superscript"/>
        </w:rPr>
        <w:t>2</w:t>
      </w:r>
      <w:r w:rsidRPr="00EE4749">
        <w:rPr>
          <w:rFonts w:ascii="Times New Roman" w:hAnsi="Times New Roman" w:cs="Times New Roman"/>
          <w:sz w:val="20"/>
          <w:szCs w:val="20"/>
        </w:rPr>
        <w:t xml:space="preserve"> If the study design is prospective study, a point was assigned.</w:t>
      </w:r>
    </w:p>
    <w:p w14:paraId="77E09784" w14:textId="6A189750" w:rsidR="00C7045D" w:rsidRPr="00EE4749" w:rsidRDefault="006762CB" w:rsidP="00C7045D">
      <w:pPr>
        <w:spacing w:line="360" w:lineRule="auto"/>
        <w:rPr>
          <w:rFonts w:ascii="Times New Roman" w:hAnsi="Times New Roman" w:cs="Times New Roman"/>
          <w:sz w:val="20"/>
          <w:szCs w:val="20"/>
        </w:rPr>
      </w:pPr>
      <w:r w:rsidRPr="00EE4749">
        <w:rPr>
          <w:rFonts w:ascii="Times New Roman" w:hAnsi="Times New Roman" w:cs="Times New Roman"/>
          <w:sz w:val="20"/>
          <w:szCs w:val="20"/>
          <w:vertAlign w:val="superscript"/>
        </w:rPr>
        <w:t>3</w:t>
      </w:r>
      <w:r w:rsidRPr="00EE4749">
        <w:rPr>
          <w:rFonts w:ascii="Times New Roman" w:hAnsi="Times New Roman" w:cs="Times New Roman"/>
          <w:sz w:val="20"/>
          <w:szCs w:val="20"/>
        </w:rPr>
        <w:t xml:space="preserve"> If adjusted for age, a point was assigned.</w:t>
      </w:r>
      <w:r w:rsidRPr="00EE4749">
        <w:rPr>
          <w:rFonts w:ascii="Times New Roman" w:hAnsi="Times New Roman" w:cs="Times New Roman"/>
          <w:sz w:val="20"/>
          <w:szCs w:val="20"/>
        </w:rPr>
        <w:br/>
      </w:r>
      <w:r w:rsidRPr="00EE4749">
        <w:rPr>
          <w:rFonts w:ascii="Times New Roman" w:hAnsi="Times New Roman" w:cs="Times New Roman"/>
          <w:sz w:val="20"/>
          <w:szCs w:val="20"/>
          <w:vertAlign w:val="superscript"/>
        </w:rPr>
        <w:t>4</w:t>
      </w:r>
      <w:r w:rsidRPr="00EE4749">
        <w:rPr>
          <w:rFonts w:ascii="Times New Roman" w:hAnsi="Times New Roman" w:cs="Times New Roman"/>
          <w:sz w:val="20"/>
          <w:szCs w:val="20"/>
        </w:rPr>
        <w:t xml:space="preserve"> If adjusted for any other additional factors, a point was assigned.</w:t>
      </w:r>
      <w:r w:rsidRPr="00EE4749">
        <w:rPr>
          <w:rFonts w:ascii="Times New Roman" w:hAnsi="Times New Roman" w:cs="Times New Roman"/>
          <w:sz w:val="20"/>
          <w:szCs w:val="20"/>
        </w:rPr>
        <w:br/>
      </w:r>
      <w:r w:rsidRPr="00EE4749">
        <w:rPr>
          <w:rFonts w:ascii="Times New Roman" w:hAnsi="Times New Roman" w:cs="Times New Roman"/>
          <w:sz w:val="20"/>
          <w:szCs w:val="20"/>
          <w:vertAlign w:val="superscript"/>
        </w:rPr>
        <w:t xml:space="preserve">5 </w:t>
      </w:r>
      <w:r w:rsidRPr="00EE4749">
        <w:rPr>
          <w:rFonts w:ascii="Times New Roman" w:hAnsi="Times New Roman" w:cs="Times New Roman"/>
          <w:sz w:val="20"/>
          <w:szCs w:val="20"/>
        </w:rPr>
        <w:t>If the completeness of follow-up was 80% or more, a point was assigned.</w:t>
      </w:r>
    </w:p>
    <w:p w14:paraId="4C71C4C8" w14:textId="43971C00" w:rsidR="00C7045D" w:rsidRPr="00EE4749" w:rsidRDefault="00C7045D">
      <w:pPr>
        <w:rPr>
          <w:rFonts w:ascii="Times New Roman" w:hAnsi="Times New Roman" w:cs="Times New Roman"/>
          <w:sz w:val="20"/>
          <w:szCs w:val="20"/>
        </w:rPr>
      </w:pPr>
      <w:r w:rsidRPr="00EE4749">
        <w:rPr>
          <w:rFonts w:ascii="Times New Roman" w:hAnsi="Times New Roman" w:cs="Times New Roman"/>
          <w:sz w:val="20"/>
          <w:szCs w:val="20"/>
        </w:rPr>
        <w:br w:type="page"/>
      </w:r>
    </w:p>
    <w:p w14:paraId="647D0049" w14:textId="77777777" w:rsidR="00C7045D" w:rsidRPr="00EE4749" w:rsidRDefault="00C7045D" w:rsidP="00C7045D">
      <w:pPr>
        <w:rPr>
          <w:rFonts w:ascii="Times New Roman" w:hAnsi="Times New Roman" w:cs="Times New Roman"/>
          <w:sz w:val="20"/>
          <w:szCs w:val="20"/>
        </w:rPr>
      </w:pPr>
      <w:r w:rsidRPr="00EE4749">
        <w:rPr>
          <w:rFonts w:ascii="Times New Roman" w:hAnsi="Times New Roman" w:cs="Times New Roman"/>
          <w:noProof/>
          <w:sz w:val="20"/>
          <w:szCs w:val="20"/>
        </w:rPr>
        <w:lastRenderedPageBreak/>
        <w:drawing>
          <wp:inline distT="0" distB="0" distL="0" distR="0" wp14:anchorId="0E592210" wp14:editId="0C7C6DBF">
            <wp:extent cx="5943600" cy="3458845"/>
            <wp:effectExtent l="0" t="0" r="0" b="8255"/>
            <wp:docPr id="1" name="Picture 1"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box and whisker char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458845"/>
                    </a:xfrm>
                    <a:prstGeom prst="rect">
                      <a:avLst/>
                    </a:prstGeom>
                    <a:noFill/>
                    <a:ln>
                      <a:noFill/>
                    </a:ln>
                  </pic:spPr>
                </pic:pic>
              </a:graphicData>
            </a:graphic>
          </wp:inline>
        </w:drawing>
      </w:r>
    </w:p>
    <w:p w14:paraId="5BE62035" w14:textId="6773E74A" w:rsidR="00C7045D" w:rsidRPr="00EE4749" w:rsidRDefault="00C7045D" w:rsidP="00C7045D">
      <w:pPr>
        <w:rPr>
          <w:rFonts w:ascii="Times New Roman" w:hAnsi="Times New Roman" w:cs="Times New Roman"/>
          <w:sz w:val="20"/>
          <w:szCs w:val="20"/>
        </w:rPr>
      </w:pPr>
      <w:r w:rsidRPr="00EE4749">
        <w:rPr>
          <w:rFonts w:ascii="Times New Roman" w:hAnsi="Times New Roman" w:cs="Times New Roman"/>
          <w:b/>
          <w:bCs/>
          <w:sz w:val="20"/>
          <w:szCs w:val="20"/>
        </w:rPr>
        <w:t>Appendix Fig. 1</w:t>
      </w:r>
      <w:r w:rsidRPr="00EE4749">
        <w:rPr>
          <w:rFonts w:ascii="Times New Roman" w:hAnsi="Times New Roman" w:cs="Times New Roman"/>
          <w:sz w:val="20"/>
          <w:szCs w:val="20"/>
        </w:rPr>
        <w:t xml:space="preserve"> Forest plot of visual analogue scale comparing HTO vs UKA.</w:t>
      </w:r>
    </w:p>
    <w:p w14:paraId="6ACA217F" w14:textId="77777777" w:rsidR="00C7045D" w:rsidRPr="00EE4749" w:rsidRDefault="00C7045D" w:rsidP="00C7045D">
      <w:pPr>
        <w:rPr>
          <w:rFonts w:ascii="Times New Roman" w:hAnsi="Times New Roman" w:cs="Times New Roman"/>
          <w:sz w:val="20"/>
          <w:szCs w:val="20"/>
        </w:rPr>
      </w:pPr>
      <w:r w:rsidRPr="00EE4749">
        <w:rPr>
          <w:rFonts w:ascii="Times New Roman" w:hAnsi="Times New Roman" w:cs="Times New Roman"/>
          <w:noProof/>
          <w:sz w:val="20"/>
          <w:szCs w:val="20"/>
        </w:rPr>
        <w:lastRenderedPageBreak/>
        <w:drawing>
          <wp:inline distT="0" distB="0" distL="0" distR="0" wp14:anchorId="1C8AF921" wp14:editId="1A841812">
            <wp:extent cx="5943600" cy="3458845"/>
            <wp:effectExtent l="0" t="0" r="0" b="8255"/>
            <wp:docPr id="3" name="Picture 3"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ox and whisker char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458845"/>
                    </a:xfrm>
                    <a:prstGeom prst="rect">
                      <a:avLst/>
                    </a:prstGeom>
                    <a:noFill/>
                    <a:ln>
                      <a:noFill/>
                    </a:ln>
                  </pic:spPr>
                </pic:pic>
              </a:graphicData>
            </a:graphic>
          </wp:inline>
        </w:drawing>
      </w:r>
      <w:r w:rsidRPr="00EE4749">
        <w:rPr>
          <w:rFonts w:ascii="Times New Roman" w:hAnsi="Times New Roman" w:cs="Times New Roman"/>
          <w:sz w:val="20"/>
          <w:szCs w:val="20"/>
        </w:rPr>
        <w:t xml:space="preserve"> </w:t>
      </w:r>
    </w:p>
    <w:p w14:paraId="266E7E47" w14:textId="61B4A927" w:rsidR="00C7045D" w:rsidRPr="00EE4749" w:rsidRDefault="00C7045D" w:rsidP="00C7045D">
      <w:pPr>
        <w:rPr>
          <w:rFonts w:ascii="Times New Roman" w:hAnsi="Times New Roman" w:cs="Times New Roman"/>
          <w:sz w:val="20"/>
          <w:szCs w:val="20"/>
        </w:rPr>
      </w:pPr>
      <w:r w:rsidRPr="00EE4749">
        <w:rPr>
          <w:rFonts w:ascii="Times New Roman" w:hAnsi="Times New Roman" w:cs="Times New Roman"/>
          <w:b/>
          <w:bCs/>
          <w:sz w:val="20"/>
          <w:szCs w:val="20"/>
        </w:rPr>
        <w:t>Appendix Fig. 2</w:t>
      </w:r>
      <w:r w:rsidRPr="00EE4749">
        <w:rPr>
          <w:rFonts w:ascii="Times New Roman" w:hAnsi="Times New Roman" w:cs="Times New Roman"/>
          <w:sz w:val="20"/>
          <w:szCs w:val="20"/>
        </w:rPr>
        <w:t xml:space="preserve"> Forest plot of range of motion comparing HTO vs UKA.</w:t>
      </w:r>
    </w:p>
    <w:p w14:paraId="77EF2848" w14:textId="77777777" w:rsidR="00C7045D" w:rsidRPr="00EE4749" w:rsidRDefault="00C7045D" w:rsidP="00C7045D">
      <w:pPr>
        <w:rPr>
          <w:rFonts w:ascii="Times New Roman" w:hAnsi="Times New Roman" w:cs="Times New Roman"/>
          <w:sz w:val="20"/>
          <w:szCs w:val="20"/>
        </w:rPr>
      </w:pPr>
    </w:p>
    <w:p w14:paraId="55ACD001" w14:textId="77777777" w:rsidR="00C7045D" w:rsidRPr="00EE4749" w:rsidRDefault="00C7045D" w:rsidP="00C7045D">
      <w:pPr>
        <w:rPr>
          <w:rFonts w:ascii="Times New Roman" w:hAnsi="Times New Roman" w:cs="Times New Roman"/>
          <w:sz w:val="20"/>
          <w:szCs w:val="20"/>
        </w:rPr>
      </w:pPr>
      <w:r w:rsidRPr="00EE4749">
        <w:rPr>
          <w:rFonts w:ascii="Times New Roman" w:hAnsi="Times New Roman" w:cs="Times New Roman"/>
          <w:noProof/>
          <w:sz w:val="20"/>
          <w:szCs w:val="20"/>
        </w:rPr>
        <w:lastRenderedPageBreak/>
        <w:drawing>
          <wp:inline distT="0" distB="0" distL="0" distR="0" wp14:anchorId="589C1D0A" wp14:editId="7812F2CE">
            <wp:extent cx="5943600" cy="3458845"/>
            <wp:effectExtent l="0" t="0" r="0" b="8255"/>
            <wp:docPr id="4" name="Picture 4"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ox and whisker char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458845"/>
                    </a:xfrm>
                    <a:prstGeom prst="rect">
                      <a:avLst/>
                    </a:prstGeom>
                    <a:noFill/>
                    <a:ln>
                      <a:noFill/>
                    </a:ln>
                  </pic:spPr>
                </pic:pic>
              </a:graphicData>
            </a:graphic>
          </wp:inline>
        </w:drawing>
      </w:r>
      <w:r w:rsidRPr="00EE4749">
        <w:rPr>
          <w:rFonts w:ascii="Times New Roman" w:hAnsi="Times New Roman" w:cs="Times New Roman"/>
          <w:sz w:val="20"/>
          <w:szCs w:val="20"/>
        </w:rPr>
        <w:t xml:space="preserve"> </w:t>
      </w:r>
    </w:p>
    <w:p w14:paraId="2CE93EBB" w14:textId="61ECD4CE" w:rsidR="00C7045D" w:rsidRPr="00EE4749" w:rsidRDefault="00C7045D" w:rsidP="00C7045D">
      <w:pPr>
        <w:rPr>
          <w:rFonts w:ascii="Times New Roman" w:hAnsi="Times New Roman" w:cs="Times New Roman"/>
          <w:sz w:val="20"/>
          <w:szCs w:val="20"/>
        </w:rPr>
      </w:pPr>
      <w:r w:rsidRPr="00EE4749">
        <w:rPr>
          <w:rFonts w:ascii="Times New Roman" w:hAnsi="Times New Roman" w:cs="Times New Roman"/>
          <w:b/>
          <w:bCs/>
          <w:sz w:val="20"/>
          <w:szCs w:val="20"/>
        </w:rPr>
        <w:t>Appendix Fig. 3</w:t>
      </w:r>
      <w:r w:rsidRPr="00EE4749">
        <w:rPr>
          <w:rFonts w:ascii="Times New Roman" w:hAnsi="Times New Roman" w:cs="Times New Roman"/>
          <w:sz w:val="20"/>
          <w:szCs w:val="20"/>
        </w:rPr>
        <w:t xml:space="preserve"> Forest plot of free walking speed (velocity) comparing HTO vs UKA.</w:t>
      </w:r>
    </w:p>
    <w:p w14:paraId="15EDE166" w14:textId="77777777" w:rsidR="00C7045D" w:rsidRPr="00EE4749" w:rsidRDefault="00C7045D" w:rsidP="00C7045D">
      <w:pPr>
        <w:rPr>
          <w:rFonts w:ascii="Times New Roman" w:hAnsi="Times New Roman" w:cs="Times New Roman"/>
          <w:sz w:val="20"/>
          <w:szCs w:val="20"/>
        </w:rPr>
      </w:pPr>
      <w:r w:rsidRPr="00EE4749">
        <w:rPr>
          <w:rFonts w:ascii="Times New Roman" w:hAnsi="Times New Roman" w:cs="Times New Roman"/>
          <w:noProof/>
          <w:sz w:val="20"/>
          <w:szCs w:val="20"/>
        </w:rPr>
        <w:lastRenderedPageBreak/>
        <w:drawing>
          <wp:inline distT="0" distB="0" distL="0" distR="0" wp14:anchorId="09F9B171" wp14:editId="4B18DF0B">
            <wp:extent cx="5943600" cy="3458845"/>
            <wp:effectExtent l="0" t="0" r="0" b="8255"/>
            <wp:docPr id="5" name="Picture 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scatter 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458845"/>
                    </a:xfrm>
                    <a:prstGeom prst="rect">
                      <a:avLst/>
                    </a:prstGeom>
                    <a:noFill/>
                    <a:ln>
                      <a:noFill/>
                    </a:ln>
                  </pic:spPr>
                </pic:pic>
              </a:graphicData>
            </a:graphic>
          </wp:inline>
        </w:drawing>
      </w:r>
      <w:r w:rsidRPr="00EE4749">
        <w:rPr>
          <w:rFonts w:ascii="Times New Roman" w:hAnsi="Times New Roman" w:cs="Times New Roman"/>
          <w:sz w:val="20"/>
          <w:szCs w:val="20"/>
        </w:rPr>
        <w:t xml:space="preserve"> </w:t>
      </w:r>
    </w:p>
    <w:p w14:paraId="0B18470E" w14:textId="032DFA74" w:rsidR="00C7045D" w:rsidRPr="00EE4749" w:rsidRDefault="00C7045D" w:rsidP="00C7045D">
      <w:pPr>
        <w:rPr>
          <w:rFonts w:ascii="Times New Roman" w:hAnsi="Times New Roman" w:cs="Times New Roman"/>
          <w:sz w:val="20"/>
          <w:szCs w:val="20"/>
        </w:rPr>
      </w:pPr>
      <w:r w:rsidRPr="00EE4749">
        <w:rPr>
          <w:rFonts w:ascii="Times New Roman" w:hAnsi="Times New Roman" w:cs="Times New Roman"/>
          <w:b/>
          <w:bCs/>
          <w:sz w:val="20"/>
          <w:szCs w:val="20"/>
        </w:rPr>
        <w:t>Appendix Fig. 4</w:t>
      </w:r>
      <w:r w:rsidRPr="00EE4749">
        <w:rPr>
          <w:rFonts w:ascii="Times New Roman" w:hAnsi="Times New Roman" w:cs="Times New Roman"/>
          <w:sz w:val="20"/>
          <w:szCs w:val="20"/>
        </w:rPr>
        <w:t xml:space="preserve"> Funnel plot of complications.</w:t>
      </w:r>
    </w:p>
    <w:p w14:paraId="3D6AA3A0" w14:textId="77777777" w:rsidR="00C7045D" w:rsidRPr="00EE4749" w:rsidRDefault="00C7045D" w:rsidP="00C7045D">
      <w:pPr>
        <w:rPr>
          <w:rFonts w:ascii="Times New Roman" w:hAnsi="Times New Roman" w:cs="Times New Roman"/>
          <w:sz w:val="20"/>
          <w:szCs w:val="20"/>
        </w:rPr>
      </w:pPr>
    </w:p>
    <w:p w14:paraId="3F140C2A" w14:textId="77777777" w:rsidR="00C7045D" w:rsidRPr="00EE4749" w:rsidRDefault="00C7045D" w:rsidP="00C7045D">
      <w:pPr>
        <w:rPr>
          <w:rFonts w:ascii="Times New Roman" w:hAnsi="Times New Roman" w:cs="Times New Roman"/>
          <w:sz w:val="20"/>
          <w:szCs w:val="20"/>
        </w:rPr>
      </w:pPr>
    </w:p>
    <w:p w14:paraId="10395992" w14:textId="77777777" w:rsidR="00C7045D" w:rsidRPr="00EE4749" w:rsidRDefault="00C7045D" w:rsidP="00C7045D">
      <w:pPr>
        <w:rPr>
          <w:rFonts w:ascii="Times New Roman" w:hAnsi="Times New Roman" w:cs="Times New Roman"/>
          <w:sz w:val="20"/>
          <w:szCs w:val="20"/>
        </w:rPr>
      </w:pPr>
      <w:r w:rsidRPr="00EE4749">
        <w:rPr>
          <w:rFonts w:ascii="Times New Roman" w:hAnsi="Times New Roman" w:cs="Times New Roman"/>
          <w:noProof/>
          <w:sz w:val="20"/>
          <w:szCs w:val="20"/>
        </w:rPr>
        <w:lastRenderedPageBreak/>
        <w:drawing>
          <wp:inline distT="0" distB="0" distL="0" distR="0" wp14:anchorId="14317C2B" wp14:editId="497548EC">
            <wp:extent cx="5943600" cy="3458845"/>
            <wp:effectExtent l="0" t="0" r="0" b="8255"/>
            <wp:docPr id="6" name="Picture 6"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scatter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458845"/>
                    </a:xfrm>
                    <a:prstGeom prst="rect">
                      <a:avLst/>
                    </a:prstGeom>
                    <a:noFill/>
                    <a:ln>
                      <a:noFill/>
                    </a:ln>
                  </pic:spPr>
                </pic:pic>
              </a:graphicData>
            </a:graphic>
          </wp:inline>
        </w:drawing>
      </w:r>
    </w:p>
    <w:p w14:paraId="7F237554" w14:textId="223617BC" w:rsidR="00C7045D" w:rsidRPr="00EE4749" w:rsidRDefault="00C7045D" w:rsidP="00C7045D">
      <w:pPr>
        <w:rPr>
          <w:rFonts w:ascii="Times New Roman" w:hAnsi="Times New Roman" w:cs="Times New Roman"/>
          <w:sz w:val="20"/>
          <w:szCs w:val="20"/>
        </w:rPr>
      </w:pPr>
      <w:r w:rsidRPr="00EE4749">
        <w:rPr>
          <w:rFonts w:ascii="Times New Roman" w:hAnsi="Times New Roman" w:cs="Times New Roman"/>
          <w:b/>
          <w:bCs/>
          <w:sz w:val="20"/>
          <w:szCs w:val="20"/>
        </w:rPr>
        <w:t>Appendix Fig. 5</w:t>
      </w:r>
      <w:r w:rsidRPr="00EE4749">
        <w:rPr>
          <w:rFonts w:ascii="Times New Roman" w:hAnsi="Times New Roman" w:cs="Times New Roman"/>
          <w:sz w:val="20"/>
          <w:szCs w:val="20"/>
        </w:rPr>
        <w:t xml:space="preserve"> Funnel plot of revision.</w:t>
      </w:r>
    </w:p>
    <w:p w14:paraId="171A02B2" w14:textId="77777777" w:rsidR="00C7045D" w:rsidRPr="00EE4749" w:rsidRDefault="00C7045D" w:rsidP="00C7045D">
      <w:pPr>
        <w:spacing w:line="360" w:lineRule="auto"/>
        <w:rPr>
          <w:rFonts w:ascii="Times New Roman" w:hAnsi="Times New Roman" w:cs="Times New Roman"/>
          <w:sz w:val="20"/>
          <w:szCs w:val="20"/>
        </w:rPr>
      </w:pPr>
    </w:p>
    <w:p w14:paraId="333AC1C3" w14:textId="4895539D" w:rsidR="00087227" w:rsidRPr="00EE4749" w:rsidRDefault="00087227" w:rsidP="006762CB">
      <w:pPr>
        <w:spacing w:line="360" w:lineRule="auto"/>
        <w:rPr>
          <w:rFonts w:ascii="Times New Roman" w:hAnsi="Times New Roman" w:cs="Times New Roman"/>
          <w:sz w:val="20"/>
          <w:szCs w:val="20"/>
        </w:rPr>
      </w:pPr>
    </w:p>
    <w:p w14:paraId="23B58D32" w14:textId="06F684DE" w:rsidR="00416C8A" w:rsidRPr="00EE4749" w:rsidRDefault="00416C8A" w:rsidP="006762CB">
      <w:pPr>
        <w:spacing w:line="360" w:lineRule="auto"/>
        <w:rPr>
          <w:rFonts w:ascii="Times New Roman" w:hAnsi="Times New Roman" w:cs="Times New Roman"/>
          <w:sz w:val="20"/>
          <w:szCs w:val="20"/>
        </w:rPr>
      </w:pPr>
    </w:p>
    <w:p w14:paraId="3A53F9FD" w14:textId="42AA215F" w:rsidR="00416C8A" w:rsidRPr="00EE4749" w:rsidRDefault="00416C8A" w:rsidP="006762CB">
      <w:pPr>
        <w:spacing w:line="360" w:lineRule="auto"/>
        <w:rPr>
          <w:rFonts w:ascii="Times New Roman" w:hAnsi="Times New Roman" w:cs="Times New Roman"/>
          <w:sz w:val="20"/>
          <w:szCs w:val="20"/>
        </w:rPr>
      </w:pPr>
    </w:p>
    <w:p w14:paraId="13CF17C6" w14:textId="18754585" w:rsidR="00416C8A" w:rsidRDefault="00416C8A" w:rsidP="006762CB">
      <w:pPr>
        <w:spacing w:line="360" w:lineRule="auto"/>
        <w:rPr>
          <w:rFonts w:ascii="Times New Roman" w:hAnsi="Times New Roman" w:cs="Times New Roman"/>
          <w:sz w:val="20"/>
          <w:szCs w:val="20"/>
        </w:rPr>
      </w:pPr>
    </w:p>
    <w:p w14:paraId="65F8B94F" w14:textId="77777777" w:rsidR="00EE4749" w:rsidRPr="00EE4749" w:rsidRDefault="00EE4749" w:rsidP="006762CB">
      <w:pPr>
        <w:spacing w:line="360" w:lineRule="auto"/>
        <w:rPr>
          <w:rFonts w:ascii="Times New Roman" w:hAnsi="Times New Roman" w:cs="Times New Roman"/>
          <w:sz w:val="20"/>
          <w:szCs w:val="20"/>
        </w:rPr>
      </w:pPr>
    </w:p>
    <w:p w14:paraId="61149816" w14:textId="77777777" w:rsidR="00416C8A" w:rsidRPr="00EE4749" w:rsidRDefault="00416C8A" w:rsidP="006762CB">
      <w:pPr>
        <w:spacing w:line="360" w:lineRule="auto"/>
        <w:rPr>
          <w:rFonts w:ascii="Times New Roman" w:hAnsi="Times New Roman" w:cs="Times New Roman"/>
          <w:sz w:val="20"/>
          <w:szCs w:val="20"/>
        </w:rPr>
      </w:pPr>
    </w:p>
    <w:p w14:paraId="51D3AB35" w14:textId="37FED3D8" w:rsidR="00087227" w:rsidRPr="00EE4749" w:rsidRDefault="00087227" w:rsidP="006762CB">
      <w:pPr>
        <w:spacing w:line="360" w:lineRule="auto"/>
        <w:rPr>
          <w:rFonts w:ascii="Times New Roman" w:hAnsi="Times New Roman" w:cs="Times New Roman"/>
          <w:b/>
          <w:bCs/>
          <w:sz w:val="20"/>
          <w:szCs w:val="20"/>
        </w:rPr>
      </w:pPr>
      <w:r w:rsidRPr="00EE4749">
        <w:rPr>
          <w:rFonts w:ascii="Times New Roman" w:hAnsi="Times New Roman" w:cs="Times New Roman"/>
          <w:b/>
          <w:bCs/>
          <w:sz w:val="20"/>
          <w:szCs w:val="20"/>
        </w:rPr>
        <w:lastRenderedPageBreak/>
        <w:t>References</w:t>
      </w:r>
    </w:p>
    <w:p w14:paraId="796D21D7" w14:textId="3F912B7A" w:rsidR="00A44DE7" w:rsidRPr="00EE4749" w:rsidRDefault="0008722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sz w:val="20"/>
          <w:szCs w:val="20"/>
        </w:rPr>
        <w:fldChar w:fldCharType="begin" w:fldLock="1"/>
      </w:r>
      <w:r w:rsidRPr="00EE4749">
        <w:rPr>
          <w:rFonts w:ascii="Times New Roman" w:hAnsi="Times New Roman" w:cs="Times New Roman"/>
          <w:sz w:val="20"/>
          <w:szCs w:val="20"/>
        </w:rPr>
        <w:instrText xml:space="preserve">ADDIN Mendeley Bibliography CSL_BIBLIOGRAPHY </w:instrText>
      </w:r>
      <w:r w:rsidRPr="00EE4749">
        <w:rPr>
          <w:rFonts w:ascii="Times New Roman" w:hAnsi="Times New Roman" w:cs="Times New Roman"/>
          <w:sz w:val="20"/>
          <w:szCs w:val="20"/>
        </w:rPr>
        <w:fldChar w:fldCharType="separate"/>
      </w:r>
      <w:r w:rsidR="00A44DE7" w:rsidRPr="00EE4749">
        <w:rPr>
          <w:rFonts w:ascii="Times New Roman" w:hAnsi="Times New Roman" w:cs="Times New Roman"/>
          <w:noProof/>
          <w:sz w:val="20"/>
          <w:szCs w:val="20"/>
        </w:rPr>
        <w:t>[1]</w:t>
      </w:r>
      <w:r w:rsidR="00A44DE7" w:rsidRPr="00EE4749">
        <w:rPr>
          <w:rFonts w:ascii="Times New Roman" w:hAnsi="Times New Roman" w:cs="Times New Roman"/>
          <w:noProof/>
          <w:sz w:val="20"/>
          <w:szCs w:val="20"/>
        </w:rPr>
        <w:tab/>
        <w:t>Ryu SM, Park JW, Na HD, Shon OJ. High Tibial Osteotomy versus Unicompartmental Knee Arthroplasty for Medial Compartment Arthrosis with Kissing Lesions in Relatively Young Patients. Knee Surg Relat Res 2018;30:17–22. https://doi.org/10.5792/ksrr.17.006.</w:t>
      </w:r>
    </w:p>
    <w:p w14:paraId="6AB83B99"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[2]</w:t>
      </w:r>
      <w:r w:rsidRPr="00EE4749">
        <w:rPr>
          <w:rFonts w:ascii="Times New Roman" w:hAnsi="Times New Roman" w:cs="Times New Roman"/>
          <w:noProof/>
          <w:sz w:val="20"/>
          <w:szCs w:val="20"/>
        </w:rPr>
        <w:tab/>
        <w:t>Jeon YS, Ahn CH, Kim MK. Comparison of HTO with articular cartilage surgery and UKA in unicompartmental OA. J Orthop Surg 2017;25:1–6. https://doi.org/10.1177/2309499016684092.</w:t>
      </w:r>
    </w:p>
    <w:p w14:paraId="38D35E95"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[3]</w:t>
      </w:r>
      <w:r w:rsidRPr="00EE4749">
        <w:rPr>
          <w:rFonts w:ascii="Times New Roman" w:hAnsi="Times New Roman" w:cs="Times New Roman"/>
          <w:noProof/>
          <w:sz w:val="20"/>
          <w:szCs w:val="20"/>
        </w:rPr>
        <w:tab/>
        <w:t>Krych AJ, Reardon P, Sousa P, Pareek A, Stuart M, Pagnano M. Unicompartmental knee arthroplasty provides higher activity and durability than valgus-producing proximal tibial osteotomy at 5 to 7 years. J Bone Jt Surg - Am Vol 2017;99:113–22. https://doi.org/10.2106/JBJS.15.01031.</w:t>
      </w:r>
    </w:p>
    <w:p w14:paraId="1FE05997"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[4]</w:t>
      </w:r>
      <w:r w:rsidRPr="00EE4749">
        <w:rPr>
          <w:rFonts w:ascii="Times New Roman" w:hAnsi="Times New Roman" w:cs="Times New Roman"/>
          <w:noProof/>
          <w:sz w:val="20"/>
          <w:szCs w:val="20"/>
        </w:rPr>
        <w:tab/>
        <w:t>Petersen W, Metzlaff S. Open wedge high tibial osteotomy (HTO) versus mobile bearing unicondylar medial joint replacement: five years results. Arch Orthop Trauma Surg 2016;136:983–9. https://doi.org/10.1007/s00402-016-2465-1.</w:t>
      </w:r>
    </w:p>
    <w:p w14:paraId="7CD9B910"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[5]</w:t>
      </w:r>
      <w:r w:rsidRPr="00EE4749">
        <w:rPr>
          <w:rFonts w:ascii="Times New Roman" w:hAnsi="Times New Roman" w:cs="Times New Roman"/>
          <w:noProof/>
          <w:sz w:val="20"/>
          <w:szCs w:val="20"/>
        </w:rPr>
        <w:tab/>
        <w:t>Börjesson M, Weidenhielm L, Mattsson E, Olsson E. Gait and clinical measurements in patients with knee osteoarthritis after surgery: A prospective 5-year follow-up study. Knee 2005;12:121–7. https://doi.org/10.1016/j.knee.2004.04.002.</w:t>
      </w:r>
    </w:p>
    <w:p w14:paraId="479D9864"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[6]</w:t>
      </w:r>
      <w:r w:rsidRPr="00EE4749">
        <w:rPr>
          <w:rFonts w:ascii="Times New Roman" w:hAnsi="Times New Roman" w:cs="Times New Roman"/>
          <w:noProof/>
          <w:sz w:val="20"/>
          <w:szCs w:val="20"/>
        </w:rPr>
        <w:tab/>
        <w:t>Stukenborg-Colsman C, Wirth CJ, Lazovic D, Wefer A. High tibial osteotomy versus unicompartmental joint replacement in unicompartmental knee joint osteoarthritis: 7-10-Year follow-up prospective randomised study. Knee 2001;8:187–94. https://doi.org/10.1016/S0968-0160(01)00097-7.</w:t>
      </w:r>
    </w:p>
    <w:p w14:paraId="03EC1EA8"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[7]</w:t>
      </w:r>
      <w:r w:rsidRPr="00EE4749">
        <w:rPr>
          <w:rFonts w:ascii="Times New Roman" w:hAnsi="Times New Roman" w:cs="Times New Roman"/>
          <w:noProof/>
          <w:sz w:val="20"/>
          <w:szCs w:val="20"/>
        </w:rPr>
        <w:tab/>
        <w:t>Takeuchi R, Umemoto Y, Aratake M, Bito H, Saito I, Kumagai K, et al. A mid term comparison of open wedge high tibial osteotomy vs unicompartmental knee arthroplasty for medial compartment osteoarthritis of the knee. J Orthop Surg Res 2010;5:1–8. https://doi.org/10.1186/1749-799X-5-65.</w:t>
      </w:r>
    </w:p>
    <w:p w14:paraId="1460BCD8"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[8]</w:t>
      </w:r>
      <w:r w:rsidRPr="00EE4749">
        <w:rPr>
          <w:rFonts w:ascii="Times New Roman" w:hAnsi="Times New Roman" w:cs="Times New Roman"/>
          <w:noProof/>
          <w:sz w:val="20"/>
          <w:szCs w:val="20"/>
        </w:rPr>
        <w:tab/>
        <w:t>Yim JH, Song EK, Seo HY, Kim MS, Seon JK. Comparison of High Tibial Osteotomy and Unicompartmental Knee Arthroplasty at a Minimum Follow-Up of 3 Years. J Arthroplasty 2013;28:243–7. https://doi.org/10.1016/j.arth.2012.06.011.</w:t>
      </w:r>
    </w:p>
    <w:p w14:paraId="5E396B94"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[9]</w:t>
      </w:r>
      <w:r w:rsidRPr="00EE4749">
        <w:rPr>
          <w:rFonts w:ascii="Times New Roman" w:hAnsi="Times New Roman" w:cs="Times New Roman"/>
          <w:noProof/>
          <w:sz w:val="20"/>
          <w:szCs w:val="20"/>
        </w:rPr>
        <w:tab/>
        <w:t>Weidenhielm L, Svensson OK, Broström LÅ, Rudberg U. Change in adduction moment about the knee after high tibial osteotomy and prosthetic replacement in osteoarthrosis of the knee. Clin Biomech 1992;7:91–6. https://doi.org/10.1016/0268-0033(92)90021-U.</w:t>
      </w:r>
    </w:p>
    <w:p w14:paraId="5BE1070C"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[10]</w:t>
      </w:r>
      <w:r w:rsidRPr="00EE4749">
        <w:rPr>
          <w:rFonts w:ascii="Times New Roman" w:hAnsi="Times New Roman" w:cs="Times New Roman"/>
          <w:noProof/>
          <w:sz w:val="20"/>
          <w:szCs w:val="20"/>
        </w:rPr>
        <w:tab/>
        <w:t>Weidenhielm L, Olsson E, … LB-S journal, 1993  undefined. Improvement in gait one year after surgery for knee osteoarthrosis: a comparison between high tibial osteotomy and prosthetic replacement in a prospective. EuropepmcOrg n.d.</w:t>
      </w:r>
    </w:p>
    <w:p w14:paraId="62D841FB"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lastRenderedPageBreak/>
        <w:t>[11]</w:t>
      </w:r>
      <w:r w:rsidRPr="00EE4749">
        <w:rPr>
          <w:rFonts w:ascii="Times New Roman" w:hAnsi="Times New Roman" w:cs="Times New Roman"/>
          <w:noProof/>
          <w:sz w:val="20"/>
          <w:szCs w:val="20"/>
        </w:rPr>
        <w:tab/>
        <w:t>Ivarsson I, research JG-C orthopaedics and related, 1991  undefined. Rehabilitation after high tibial osteotomy and unicompartmental arthroplasty. A comparative study. EuropepmcOrg n.d.</w:t>
      </w:r>
    </w:p>
    <w:p w14:paraId="1D68263C"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[12]</w:t>
      </w:r>
      <w:r w:rsidRPr="00EE4749">
        <w:rPr>
          <w:rFonts w:ascii="Times New Roman" w:hAnsi="Times New Roman" w:cs="Times New Roman"/>
          <w:noProof/>
          <w:sz w:val="20"/>
          <w:szCs w:val="20"/>
        </w:rPr>
        <w:tab/>
        <w:t>Bouguennec N, Mergenthaler G, Gicquel T, Briand C, Nadau E, Pailhé R, et al. Medium-term survival and clinical and radiological results in high tibial osteotomy: Factors for failure and comparison with unicompartmental arthroplasty. Orthop Traumatol Surg Res 2020;106:S223–30. https://doi.org/10.1016/j.otsr.2020.08.002.</w:t>
      </w:r>
    </w:p>
    <w:p w14:paraId="3F8F7C6D"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[13]</w:t>
      </w:r>
      <w:r w:rsidRPr="00EE4749">
        <w:rPr>
          <w:rFonts w:ascii="Times New Roman" w:hAnsi="Times New Roman" w:cs="Times New Roman"/>
          <w:noProof/>
          <w:sz w:val="20"/>
          <w:szCs w:val="20"/>
        </w:rPr>
        <w:tab/>
        <w:t>Jacquet C, Gulagaci F, Schmidt A, Pendse A, Parratte S, Argenson JN, et al. Opening wedge high tibial osteotomy allows better outcomes than unicompartmental knee arthroplasty in patients expecting to return to impact sports. Knee Surgery, Sport Traumatol Arthrosc 2020;28:3849–57. https://doi.org/10.1007/s00167-020-05857-1.</w:t>
      </w:r>
    </w:p>
    <w:p w14:paraId="7EA53703"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[14]</w:t>
      </w:r>
      <w:r w:rsidRPr="00EE4749">
        <w:rPr>
          <w:rFonts w:ascii="Times New Roman" w:hAnsi="Times New Roman" w:cs="Times New Roman"/>
          <w:noProof/>
          <w:sz w:val="20"/>
          <w:szCs w:val="20"/>
        </w:rPr>
        <w:tab/>
        <w:t>Jin QH, Lee WG, Song EK, Jin C, Seon JK. Comparison of Long-Term Survival Analysis Between Open-Wedge High Tibial Osteotomy and Unicompartmental Knee Arthroplasty. J Arthroplasty 2020:1–7. https://doi.org/10.1016/j.arth.2020.11.008.</w:t>
      </w:r>
    </w:p>
    <w:p w14:paraId="233C70FE"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[15]</w:t>
      </w:r>
      <w:r w:rsidRPr="00EE4749">
        <w:rPr>
          <w:rFonts w:ascii="Times New Roman" w:hAnsi="Times New Roman" w:cs="Times New Roman"/>
          <w:noProof/>
          <w:sz w:val="20"/>
          <w:szCs w:val="20"/>
        </w:rPr>
        <w:tab/>
        <w:t>Ziqi Z, Yufeng M, Lei Z, Chunsheng W, Pei Y, Kunzheng W. Therapeutic Effects Comparison and Revision Case Analysis of Unicompartmental Knee Arthroplasty and Open Wedge High Tibial Osteotomy in Treating Medial Knee Osteoarthritis in Patients Under 60 years: A 2–6-year Follow-up Study. Orthop Surg 2020;12:1635–43. https://doi.org/10.1111/os.12761.</w:t>
      </w:r>
    </w:p>
    <w:p w14:paraId="60C78056"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[16]</w:t>
      </w:r>
      <w:r w:rsidRPr="00EE4749">
        <w:rPr>
          <w:rFonts w:ascii="Times New Roman" w:hAnsi="Times New Roman" w:cs="Times New Roman"/>
          <w:noProof/>
          <w:sz w:val="20"/>
          <w:szCs w:val="20"/>
        </w:rPr>
        <w:tab/>
        <w:t>Kim MS, Koh IJ, Sohn S, Jeong JH, In Y. Unicompartmental knee arthroplasty is superior to high tibial osteotomy in post-operative recovery and participation in recreational and sports activities. Int Orthop 2019;43:2493–501. https://doi.org/10.1007/s00264-018-4272-5.</w:t>
      </w:r>
    </w:p>
    <w:p w14:paraId="609348B2"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[17]</w:t>
      </w:r>
      <w:r w:rsidRPr="00EE4749">
        <w:rPr>
          <w:rFonts w:ascii="Times New Roman" w:hAnsi="Times New Roman" w:cs="Times New Roman"/>
          <w:noProof/>
          <w:sz w:val="20"/>
          <w:szCs w:val="20"/>
        </w:rPr>
        <w:tab/>
        <w:t>Koh IJ, Kim MS, Sohn S, Song KY, Choi NY, Jung H, et al. Predictive factors for satisfaction after contemporary unicompartmental knee arthroplasty and high tibial osteotomy in isolated medial femorotibial osteoarthritis. Orthop Traumatol Surg Res 2019;105:77–83. https://doi.org/10.1016/j.otsr.2018.11.001.</w:t>
      </w:r>
    </w:p>
    <w:p w14:paraId="0D58AC42"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[18]</w:t>
      </w:r>
      <w:r w:rsidRPr="00EE4749">
        <w:rPr>
          <w:rFonts w:ascii="Times New Roman" w:hAnsi="Times New Roman" w:cs="Times New Roman"/>
          <w:noProof/>
          <w:sz w:val="20"/>
          <w:szCs w:val="20"/>
        </w:rPr>
        <w:tab/>
        <w:t>Tuncay I, Bilsel K, Elmadağ M, Erkoçak ÖF, Aşçi M, Şen C. Evaluation of mobile bearing unicompartmental knee arthroplasty, opening wedge, and dome-type high tibial osteotomies for knee arthritis. Acta Orthop Traumatol Turc 2015;49:280–7. https://doi.org/10.3944/AOTT.2015.14.0320.</w:t>
      </w:r>
    </w:p>
    <w:p w14:paraId="1DD5206B"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[19]</w:t>
      </w:r>
      <w:r w:rsidRPr="00EE4749">
        <w:rPr>
          <w:rFonts w:ascii="Times New Roman" w:hAnsi="Times New Roman" w:cs="Times New Roman"/>
          <w:noProof/>
          <w:sz w:val="20"/>
          <w:szCs w:val="20"/>
        </w:rPr>
        <w:tab/>
        <w:t>Karamitev SS, Stavrev VP, Chifligarov AG. Comparative analysis of the results obtained after unicondylar knee arthroplasty and high tibial osteotomy in isolated gonarthrosis. Folia Med (Plovdiv) 2014;56:11–9. https://doi.org/10.2478/folmed-2014-0002.</w:t>
      </w:r>
    </w:p>
    <w:p w14:paraId="14496471"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[20]</w:t>
      </w:r>
      <w:r w:rsidRPr="00EE4749">
        <w:rPr>
          <w:rFonts w:ascii="Times New Roman" w:hAnsi="Times New Roman" w:cs="Times New Roman"/>
          <w:noProof/>
          <w:sz w:val="20"/>
          <w:szCs w:val="20"/>
        </w:rPr>
        <w:tab/>
        <w:t xml:space="preserve">W-Dahl A, Robertsson O, Lidgren L. Surgery for knee osteoarthritis in younger patients A Swedish Register Study. Acta Orthop 2010;81:161–4. </w:t>
      </w:r>
      <w:r w:rsidRPr="00EE4749">
        <w:rPr>
          <w:rFonts w:ascii="Times New Roman" w:hAnsi="Times New Roman" w:cs="Times New Roman"/>
          <w:noProof/>
          <w:sz w:val="20"/>
          <w:szCs w:val="20"/>
        </w:rPr>
        <w:lastRenderedPageBreak/>
        <w:t>https://doi.org/10.3109/17453670903413186.</w:t>
      </w:r>
    </w:p>
    <w:p w14:paraId="5E9F0609"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[21]</w:t>
      </w:r>
      <w:r w:rsidRPr="00EE4749">
        <w:rPr>
          <w:rFonts w:ascii="Times New Roman" w:hAnsi="Times New Roman" w:cs="Times New Roman"/>
          <w:noProof/>
          <w:sz w:val="20"/>
          <w:szCs w:val="20"/>
        </w:rPr>
        <w:tab/>
        <w:t>Dettoni F, Bonasia DE, Castoldi F, Bruzzone M, Blonna D, Rossi R. High tibial osteotomy versus unicompartmental knee arthroplasty for medial compartment arthrosis of the knee: a review of the literature. Iowa Orthop J 2010;30:131–40.</w:t>
      </w:r>
    </w:p>
    <w:p w14:paraId="15B76FF2"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[22]</w:t>
      </w:r>
      <w:r w:rsidRPr="00EE4749">
        <w:rPr>
          <w:rFonts w:ascii="Times New Roman" w:hAnsi="Times New Roman" w:cs="Times New Roman"/>
          <w:noProof/>
          <w:sz w:val="20"/>
          <w:szCs w:val="20"/>
        </w:rPr>
        <w:tab/>
        <w:t>Weale A, related JN-C orthopaedics and, 1994  undefined. Unicompartmental arthroplasty and high tibial osteotomy for osteoarthrosis of the knee. A comparative study with a 12-to 17-year follow-up period. EuropepmcOrg n.d.</w:t>
      </w:r>
    </w:p>
    <w:p w14:paraId="394E673D"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[23]</w:t>
      </w:r>
      <w:r w:rsidRPr="00EE4749">
        <w:rPr>
          <w:rFonts w:ascii="Times New Roman" w:hAnsi="Times New Roman" w:cs="Times New Roman"/>
          <w:noProof/>
          <w:sz w:val="20"/>
          <w:szCs w:val="20"/>
        </w:rPr>
        <w:tab/>
        <w:t>Jefferson RJ, Whittle MW. Biomechanical assessment of unicompartmental knee arthroplasty, total condylar arthroplasty and tibial osteotom. Clin Biomech 1989;4:232–42. https://doi.org/10.1016/0268-0033(89)90008-9.</w:t>
      </w:r>
    </w:p>
    <w:p w14:paraId="0FDB5E36" w14:textId="77777777" w:rsidR="00A44DE7" w:rsidRPr="00EE4749" w:rsidRDefault="00A44DE7" w:rsidP="00A44DE7">
      <w:pPr>
        <w:widowControl w:val="0"/>
        <w:autoSpaceDE w:val="0"/>
        <w:autoSpaceDN w:val="0"/>
        <w:adjustRightInd w:val="0"/>
        <w:spacing w:line="360" w:lineRule="auto"/>
        <w:ind w:left="640" w:hanging="640"/>
        <w:rPr>
          <w:rFonts w:ascii="Times New Roman" w:hAnsi="Times New Roman" w:cs="Times New Roman"/>
          <w:noProof/>
          <w:sz w:val="20"/>
          <w:szCs w:val="20"/>
        </w:rPr>
      </w:pPr>
      <w:r w:rsidRPr="00EE4749">
        <w:rPr>
          <w:rFonts w:ascii="Times New Roman" w:hAnsi="Times New Roman" w:cs="Times New Roman"/>
          <w:noProof/>
          <w:sz w:val="20"/>
          <w:szCs w:val="20"/>
        </w:rPr>
        <w:t>[24]</w:t>
      </w:r>
      <w:r w:rsidRPr="00EE4749">
        <w:rPr>
          <w:rFonts w:ascii="Times New Roman" w:hAnsi="Times New Roman" w:cs="Times New Roman"/>
          <w:noProof/>
          <w:sz w:val="20"/>
          <w:szCs w:val="20"/>
        </w:rPr>
        <w:tab/>
        <w:t>Broughton NS, Newman JH, Baily RAJ. Unicompartmental replacement and high tibial osteotomy for osteoarthritis of the knee. A comparative study after 5-10 years’ follow-up. J Bone Jt Surg - Ser B 1986;68:447–52. https://doi.org/10.1302/0301-620x.68b3.3733813.</w:t>
      </w:r>
    </w:p>
    <w:p w14:paraId="7E2AF319" w14:textId="2C7DF3F2" w:rsidR="006762CB" w:rsidRPr="00EE4749" w:rsidRDefault="00A44DE7" w:rsidP="00416C8A">
      <w:pPr>
        <w:widowControl w:val="0"/>
        <w:autoSpaceDE w:val="0"/>
        <w:autoSpaceDN w:val="0"/>
        <w:adjustRightInd w:val="0"/>
        <w:spacing w:line="360" w:lineRule="auto"/>
        <w:ind w:left="640" w:hanging="640"/>
        <w:rPr>
          <w:rFonts w:ascii="Times New Roman" w:hAnsi="Times New Roman" w:cs="Times New Roman"/>
          <w:sz w:val="20"/>
          <w:szCs w:val="20"/>
        </w:rPr>
      </w:pPr>
      <w:r w:rsidRPr="00EE4749">
        <w:rPr>
          <w:rFonts w:ascii="Times New Roman" w:hAnsi="Times New Roman" w:cs="Times New Roman"/>
          <w:noProof/>
          <w:sz w:val="20"/>
          <w:szCs w:val="20"/>
        </w:rPr>
        <w:t>[25]</w:t>
      </w:r>
      <w:r w:rsidRPr="00EE4749">
        <w:rPr>
          <w:rFonts w:ascii="Times New Roman" w:hAnsi="Times New Roman" w:cs="Times New Roman"/>
          <w:noProof/>
          <w:sz w:val="20"/>
          <w:szCs w:val="20"/>
        </w:rPr>
        <w:tab/>
        <w:t>Karpman RR, Volz RG. Osteotomy versus unicompartmental prosthetic replacement in the treatment of unicompartmental arthritis of the knee. Orthopedics 1982;5:989–91. https://doi.org/10.3928/0147-7447-19820801-05.</w:t>
      </w:r>
      <w:r w:rsidR="00087227" w:rsidRPr="00EE4749">
        <w:rPr>
          <w:rFonts w:ascii="Times New Roman" w:hAnsi="Times New Roman" w:cs="Times New Roman"/>
          <w:sz w:val="20"/>
          <w:szCs w:val="20"/>
        </w:rPr>
        <w:fldChar w:fldCharType="end"/>
      </w:r>
    </w:p>
    <w:sectPr w:rsidR="006762CB" w:rsidRPr="00EE4749" w:rsidSect="006762CB">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7MwNTIwMbawMDA0MzZR0lEKTi0uzszPAykwrAUAPV98ZSwAAAA="/>
  </w:docVars>
  <w:rsids>
    <w:rsidRoot w:val="00D72819"/>
    <w:rsid w:val="00087227"/>
    <w:rsid w:val="00295AA9"/>
    <w:rsid w:val="002C54AB"/>
    <w:rsid w:val="00416C8A"/>
    <w:rsid w:val="005E2078"/>
    <w:rsid w:val="006762CB"/>
    <w:rsid w:val="0068774E"/>
    <w:rsid w:val="0070688C"/>
    <w:rsid w:val="007248D9"/>
    <w:rsid w:val="00774187"/>
    <w:rsid w:val="00876BAB"/>
    <w:rsid w:val="00A40E8D"/>
    <w:rsid w:val="00A44DE7"/>
    <w:rsid w:val="00C7045D"/>
    <w:rsid w:val="00CE01D5"/>
    <w:rsid w:val="00D71F1B"/>
    <w:rsid w:val="00D72819"/>
    <w:rsid w:val="00EC47C0"/>
    <w:rsid w:val="00EE4749"/>
    <w:rsid w:val="00FA6214"/>
    <w:rsid w:val="00FF06F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DA7C9"/>
  <w15:chartTrackingRefBased/>
  <w15:docId w15:val="{2C245CF2-8DF3-4375-A399-56D4F1538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762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3C866B9C-BAC2-4E8F-9381-E4879977A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11526</Words>
  <Characters>65702</Characters>
  <Application>Microsoft Office Word</Application>
  <DocSecurity>0</DocSecurity>
  <Lines>547</Lines>
  <Paragraphs>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Ishith Seth</dc:creator>
  <cp:keywords/>
  <dc:description/>
  <cp:lastModifiedBy>Ishith Seth</cp:lastModifiedBy>
  <cp:revision>6</cp:revision>
  <dcterms:created xsi:type="dcterms:W3CDTF">2021-07-30T11:58:00Z</dcterms:created>
  <dcterms:modified xsi:type="dcterms:W3CDTF">2021-09-23T06:27:00Z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http://www.zotero.org/styles/clinical-oncology</vt:lpwstr>
  </property>
  <property fmtid="{D5CDD505-2E9C-101B-9397-08002B2CF9AE}" pid="11" name="Mendeley Recent Style Name 4_1">
    <vt:lpwstr>Clinical Oncology</vt:lpwstr>
  </property>
  <property fmtid="{D5CDD505-2E9C-101B-9397-08002B2CF9AE}" pid="12" name="Mendeley Recent Style Id 5_1">
    <vt:lpwstr>http://www.zotero.org/styles/expert-review-of-neurotherapeutics</vt:lpwstr>
  </property>
  <property fmtid="{D5CDD505-2E9C-101B-9397-08002B2CF9AE}" pid="13" name="Mendeley Recent Style Name 5_1">
    <vt:lpwstr>Expert Review of Neurotherapeutics</vt:lpwstr>
  </property>
  <property fmtid="{D5CDD505-2E9C-101B-9397-08002B2CF9AE}" pid="14" name="Mendeley Recent Style Id 6_1">
    <vt:lpwstr>http://www.zotero.org/styles/foot-and-ankle-surgery</vt:lpwstr>
  </property>
  <property fmtid="{D5CDD505-2E9C-101B-9397-08002B2CF9AE}" pid="15" name="Mendeley Recent Style Name 6_1">
    <vt:lpwstr>Foot and Ankle Surgery</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http://www.zotero.org/styles/international-orthopaedics</vt:lpwstr>
  </property>
  <property fmtid="{D5CDD505-2E9C-101B-9397-08002B2CF9AE}" pid="19" name="Mendeley Recent Style Name 8_1">
    <vt:lpwstr>International Orthopaedics</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505118fc-5946-377e-b91f-35bdfcffcb06</vt:lpwstr>
  </property>
  <property fmtid="{D5CDD505-2E9C-101B-9397-08002B2CF9AE}" pid="24" name="Mendeley Citation Style_1">
    <vt:lpwstr>http://www.zotero.org/styles/foot-and-ankle-surgery</vt:lpwstr>
  </property>
</Properties>
</file>